
<file path=[Content_Types].xml><?xml version="1.0" encoding="utf-8"?>
<Types xmlns="http://schemas.openxmlformats.org/package/2006/content-types">
  <Default Extension="xml" ContentType="application/xml"/>
  <Default Extension="xlsx" ContentType="application/vnd.openxmlformats-officedocument.spreadsheetml.sheet"/>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olors1.xml" ContentType="application/vnd.ms-office.chartcolorstyle+xml"/>
  <Override PartName="/word/charts/style1.xml" ContentType="application/vnd.ms-office.chartstyle+xml"/>
  <Override PartName="/word/document.xml" ContentType="application/vnd.openxmlformats-officedocument.wordprocessingml.document.main+xml"/>
  <Override PartName="/word/drawings/drawing1.xml" ContentType="application/vnd.openxmlformats-officedocument.drawingml.chartshapes+xml"/>
  <Override PartName="/word/drawings/drawing2.xml" ContentType="application/vnd.openxmlformats-officedocument.drawingml.chartshapes+xml"/>
  <Override PartName="/word/drawings/drawing3.xml" ContentType="application/vnd.openxmlformats-officedocument.drawingml.chartshap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7"/>
        <w:spacing w:beforeLines="0"/>
        <w:rPr>
          <w:rFonts w:ascii="Times New Roman" w:eastAsia="方正小标宋简体"/>
          <w:kern w:val="2"/>
          <w:sz w:val="44"/>
          <w:szCs w:val="44"/>
        </w:rPr>
      </w:pPr>
      <w:bookmarkStart w:id="0" w:name="_Toc15306267"/>
      <w:bookmarkStart w:id="1" w:name="_Toc15396597"/>
      <w:bookmarkStart w:id="2" w:name="_Toc15396475"/>
      <w:bookmarkStart w:id="3" w:name="_Toc15377193"/>
      <w:bookmarkStart w:id="4" w:name="_Toc15378441"/>
      <w:bookmarkStart w:id="5" w:name="_Toc15377425"/>
    </w:p>
    <w:p>
      <w:pPr>
        <w:pStyle w:val="7"/>
        <w:spacing w:beforeLines="0"/>
        <w:jc w:val="center"/>
        <w:rPr>
          <w:rFonts w:ascii="Times New Roman" w:eastAsia="方正小标宋简体"/>
          <w:kern w:val="2"/>
          <w:sz w:val="44"/>
          <w:szCs w:val="44"/>
        </w:rPr>
      </w:pPr>
    </w:p>
    <w:p>
      <w:pPr>
        <w:adjustRightInd w:val="0"/>
        <w:snapToGrid w:val="0"/>
        <w:spacing w:line="360" w:lineRule="auto"/>
        <w:outlineLvl w:val="0"/>
        <w:rPr>
          <w:rFonts w:ascii="方正小标宋简体" w:hAnsi="方正小标宋简体" w:eastAsia="方正小标宋简体" w:cs="方正小标宋简体"/>
          <w:sz w:val="36"/>
          <w:szCs w:val="36"/>
        </w:rPr>
      </w:pPr>
      <w:bookmarkStart w:id="6" w:name="_Toc177568903"/>
    </w:p>
    <w:p>
      <w:pPr>
        <w:adjustRightInd w:val="0"/>
        <w:snapToGrid w:val="0"/>
        <w:spacing w:line="360" w:lineRule="auto"/>
        <w:outlineLvl w:val="0"/>
        <w:rPr>
          <w:rFonts w:eastAsia="方正小标宋简体"/>
          <w:sz w:val="44"/>
          <w:szCs w:val="44"/>
        </w:rPr>
      </w:pPr>
    </w:p>
    <w:p>
      <w:pPr>
        <w:adjustRightInd w:val="0"/>
        <w:snapToGrid w:val="0"/>
        <w:spacing w:line="360" w:lineRule="auto"/>
        <w:outlineLvl w:val="0"/>
        <w:rPr>
          <w:rFonts w:eastAsia="方正小标宋简体"/>
          <w:sz w:val="44"/>
          <w:szCs w:val="44"/>
        </w:rPr>
      </w:pPr>
    </w:p>
    <w:p>
      <w:pPr>
        <w:adjustRightInd w:val="0"/>
        <w:snapToGrid w:val="0"/>
        <w:spacing w:line="360" w:lineRule="auto"/>
        <w:outlineLvl w:val="0"/>
        <w:rPr>
          <w:rFonts w:eastAsia="方正小标宋简体"/>
          <w:sz w:val="44"/>
          <w:szCs w:val="44"/>
        </w:rPr>
      </w:pPr>
    </w:p>
    <w:p>
      <w:pPr>
        <w:adjustRightInd w:val="0"/>
        <w:snapToGrid w:val="0"/>
        <w:spacing w:line="360" w:lineRule="auto"/>
        <w:outlineLvl w:val="0"/>
        <w:rPr>
          <w:rFonts w:eastAsia="方正小标宋简体"/>
          <w:sz w:val="44"/>
          <w:szCs w:val="44"/>
        </w:rPr>
      </w:pPr>
    </w:p>
    <w:p>
      <w:pPr>
        <w:adjustRightInd w:val="0"/>
        <w:snapToGrid w:val="0"/>
        <w:spacing w:line="360" w:lineRule="auto"/>
        <w:jc w:val="center"/>
        <w:outlineLvl w:val="0"/>
        <w:rPr>
          <w:rFonts w:eastAsia="方正小标宋简体"/>
          <w:sz w:val="72"/>
          <w:szCs w:val="72"/>
        </w:rPr>
      </w:pPr>
      <w:r>
        <w:rPr>
          <w:rFonts w:hint="eastAsia" w:eastAsia="方正小标宋简体"/>
          <w:sz w:val="72"/>
          <w:szCs w:val="72"/>
        </w:rPr>
        <w:t>2025年度</w:t>
      </w:r>
      <w:bookmarkEnd w:id="6"/>
      <w:bookmarkStart w:id="7" w:name="_Toc15396598"/>
      <w:bookmarkStart w:id="8" w:name="_Toc15378442"/>
      <w:bookmarkStart w:id="9" w:name="_Toc15377426"/>
      <w:bookmarkStart w:id="10" w:name="_Toc15396476"/>
      <w:bookmarkStart w:id="11" w:name="_Toc177568904"/>
      <w:bookmarkStart w:id="12" w:name="_Toc15306268"/>
      <w:bookmarkStart w:id="13" w:name="_Toc15377194"/>
    </w:p>
    <w:p>
      <w:pPr>
        <w:adjustRightInd w:val="0"/>
        <w:snapToGrid w:val="0"/>
        <w:spacing w:line="360" w:lineRule="auto"/>
        <w:jc w:val="center"/>
        <w:outlineLvl w:val="0"/>
        <w:rPr>
          <w:rFonts w:eastAsia="方正小标宋简体"/>
          <w:sz w:val="56"/>
          <w:szCs w:val="72"/>
        </w:rPr>
      </w:pPr>
      <w:r>
        <w:rPr>
          <w:rFonts w:hint="eastAsia" w:eastAsia="方正小标宋简体"/>
          <w:sz w:val="56"/>
          <w:szCs w:val="72"/>
        </w:rPr>
        <w:t>攀枝花市交通运输</w:t>
      </w:r>
    </w:p>
    <w:p>
      <w:pPr>
        <w:adjustRightInd w:val="0"/>
        <w:snapToGrid w:val="0"/>
        <w:spacing w:line="360" w:lineRule="auto"/>
        <w:jc w:val="center"/>
        <w:outlineLvl w:val="0"/>
        <w:rPr>
          <w:rFonts w:ascii="方正小标宋简体" w:hAnsi="方正小标宋简体" w:eastAsia="方正小标宋简体" w:cs="方正小标宋简体"/>
          <w:sz w:val="56"/>
          <w:szCs w:val="72"/>
        </w:rPr>
      </w:pPr>
      <w:r>
        <w:rPr>
          <w:rFonts w:hint="eastAsia" w:eastAsia="方正小标宋简体"/>
          <w:sz w:val="56"/>
          <w:szCs w:val="72"/>
        </w:rPr>
        <w:t>综合行政执法支队单位决算</w:t>
      </w:r>
      <w:bookmarkEnd w:id="7"/>
      <w:bookmarkEnd w:id="8"/>
      <w:bookmarkEnd w:id="9"/>
      <w:bookmarkEnd w:id="10"/>
      <w:bookmarkEnd w:id="11"/>
      <w:bookmarkEnd w:id="12"/>
      <w:bookmarkEnd w:id="13"/>
    </w:p>
    <w:p>
      <w:pPr>
        <w:pStyle w:val="7"/>
        <w:spacing w:beforeLines="0"/>
        <w:jc w:val="center"/>
        <w:rPr>
          <w:rFonts w:ascii="Times New Roman" w:eastAsia="方正小标宋简体"/>
          <w:kern w:val="2"/>
          <w:sz w:val="84"/>
          <w:szCs w:val="84"/>
        </w:rPr>
      </w:pPr>
    </w:p>
    <w:p>
      <w:pPr>
        <w:pStyle w:val="2"/>
        <w:spacing w:before="0" w:after="0"/>
        <w:rPr>
          <w:rFonts w:ascii="Times New Roman" w:hAnsi="Times New Roman"/>
        </w:rPr>
      </w:pPr>
    </w:p>
    <w:p>
      <w:pPr>
        <w:pStyle w:val="2"/>
        <w:sectPr>
          <w:headerReference r:id="rId3" w:type="default"/>
          <w:footerReference r:id="rId5" w:type="default"/>
          <w:headerReference r:id="rId4" w:type="even"/>
          <w:footerReference r:id="rId6" w:type="even"/>
          <w:pgSz w:w="11906" w:h="16838"/>
          <w:pgMar w:top="1440" w:right="1800" w:bottom="1440" w:left="1800" w:header="851" w:footer="992" w:gutter="0"/>
          <w:pgNumType w:start="1"/>
          <w:cols w:space="425" w:num="1"/>
          <w:titlePg/>
          <w:docGrid w:type="lines" w:linePitch="312" w:charSpace="0"/>
        </w:sectPr>
      </w:pPr>
    </w:p>
    <w:bookmarkEnd w:id="0"/>
    <w:bookmarkEnd w:id="1"/>
    <w:bookmarkEnd w:id="2"/>
    <w:bookmarkEnd w:id="3"/>
    <w:bookmarkEnd w:id="4"/>
    <w:bookmarkEnd w:id="5"/>
    <w:p>
      <w:pPr>
        <w:widowControl/>
        <w:jc w:val="center"/>
        <w:rPr>
          <w:rFonts w:eastAsia="黑体"/>
          <w:sz w:val="48"/>
          <w:szCs w:val="48"/>
        </w:rPr>
      </w:pPr>
      <w:r>
        <w:rPr>
          <w:rFonts w:hint="eastAsia" w:eastAsia="黑体"/>
          <w:sz w:val="48"/>
          <w:szCs w:val="48"/>
        </w:rPr>
        <w:t>目录</w:t>
      </w:r>
    </w:p>
    <w:p>
      <w:pPr>
        <w:widowControl/>
        <w:jc w:val="center"/>
        <w:rPr>
          <w:rFonts w:eastAsia="黑体" w:cstheme="minorBidi"/>
          <w:sz w:val="28"/>
          <w:szCs w:val="28"/>
        </w:rPr>
      </w:pPr>
    </w:p>
    <w:p>
      <w:pPr>
        <w:pStyle w:val="14"/>
        <w:spacing w:before="0"/>
        <w:rPr>
          <w:rFonts w:ascii="Times New Roman" w:hAnsi="Times New Roman" w:eastAsia="仿宋_GB2312" w:cs="仿宋_GB2312"/>
          <w:sz w:val="32"/>
          <w:szCs w:val="32"/>
        </w:rPr>
      </w:pPr>
      <w:r>
        <w:rPr>
          <w:rFonts w:hint="eastAsia" w:ascii="Times New Roman" w:hAnsi="Times New Roman" w:eastAsia="仿宋_GB2312" w:cs="仿宋_GB2312"/>
          <w:sz w:val="32"/>
          <w:szCs w:val="32"/>
        </w:rPr>
        <w:t>公开时间：2025年9月15日</w:t>
      </w:r>
    </w:p>
    <w:p/>
    <w:p>
      <w:pPr>
        <w:pStyle w:val="14"/>
        <w:adjustRightInd w:val="0"/>
        <w:snapToGrid w:val="0"/>
        <w:spacing w:before="0" w:line="560" w:lineRule="exact"/>
        <w:jc w:val="left"/>
        <w:rPr>
          <w:rFonts w:ascii="Times New Roman" w:hAnsi="Times New Roman" w:eastAsia="黑体" w:cs="黑体"/>
          <w:sz w:val="32"/>
          <w:szCs w:val="32"/>
        </w:rPr>
      </w:pPr>
      <w:r>
        <w:rPr>
          <w:rFonts w:hint="eastAsia" w:ascii="Times New Roman" w:hAnsi="Times New Roman" w:eastAsia="黑体" w:cs="黑体"/>
          <w:sz w:val="32"/>
          <w:szCs w:val="32"/>
        </w:rPr>
        <w:t>第一部分 单位概况</w:t>
      </w:r>
    </w:p>
    <w:p>
      <w:pPr>
        <w:pStyle w:val="16"/>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一、单位职责.......................................................................3</w:t>
      </w:r>
    </w:p>
    <w:p>
      <w:pPr>
        <w:pStyle w:val="16"/>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二、机构设置 .....................................................................3</w:t>
      </w:r>
    </w:p>
    <w:p>
      <w:pPr>
        <w:pStyle w:val="14"/>
        <w:adjustRightInd w:val="0"/>
        <w:snapToGrid w:val="0"/>
        <w:spacing w:before="0" w:line="560" w:lineRule="exact"/>
        <w:jc w:val="left"/>
        <w:rPr>
          <w:rFonts w:ascii="Times New Roman" w:hAnsi="Times New Roman" w:eastAsia="黑体" w:cs="黑体"/>
          <w:sz w:val="32"/>
          <w:szCs w:val="32"/>
        </w:rPr>
      </w:pPr>
      <w:r>
        <w:rPr>
          <w:rFonts w:hint="eastAsia" w:ascii="Times New Roman" w:hAnsi="Times New Roman" w:eastAsia="黑体" w:cs="黑体"/>
          <w:sz w:val="32"/>
          <w:szCs w:val="32"/>
        </w:rPr>
        <w:t>第二部分 2025年度单位决算情况说明</w:t>
      </w:r>
    </w:p>
    <w:p>
      <w:pPr>
        <w:pStyle w:val="16"/>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一、收入支出决算总体情况说明.......................................4</w:t>
      </w:r>
    </w:p>
    <w:p>
      <w:pPr>
        <w:pStyle w:val="16"/>
        <w:adjustRightInd w:val="0"/>
        <w:snapToGrid w:val="0"/>
        <w:spacing w:line="560" w:lineRule="exact"/>
        <w:ind w:left="0" w:leftChars="0" w:firstLine="640" w:firstLineChars="200"/>
        <w:rPr>
          <w:rFonts w:eastAsia="仿宋_GB2312" w:cs="仿宋_GB2312"/>
          <w:sz w:val="32"/>
          <w:szCs w:val="32"/>
        </w:rPr>
      </w:pPr>
      <w:r>
        <w:rPr>
          <w:rFonts w:hint="eastAsia" w:eastAsia="仿宋_GB2312" w:cs="仿宋_GB2312"/>
          <w:sz w:val="32"/>
          <w:szCs w:val="32"/>
        </w:rPr>
        <w:t>二、收入决算情况说明.......................................................5</w:t>
      </w:r>
    </w:p>
    <w:p>
      <w:pPr>
        <w:pStyle w:val="16"/>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三、支出决算情况说明.......................................................5</w:t>
      </w:r>
    </w:p>
    <w:p>
      <w:pPr>
        <w:pStyle w:val="16"/>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四、财政拨款收入支出决算总体情况说明.......................6</w:t>
      </w:r>
    </w:p>
    <w:p>
      <w:pPr>
        <w:pStyle w:val="16"/>
        <w:adjustRightInd w:val="0"/>
        <w:snapToGrid w:val="0"/>
        <w:spacing w:line="560" w:lineRule="exact"/>
        <w:ind w:left="638" w:leftChars="304"/>
        <w:jc w:val="left"/>
        <w:rPr>
          <w:rFonts w:eastAsia="仿宋_GB2312" w:cs="仿宋_GB2312"/>
          <w:sz w:val="32"/>
          <w:szCs w:val="32"/>
        </w:rPr>
      </w:pPr>
      <w:r>
        <w:rPr>
          <w:rFonts w:hint="eastAsia" w:eastAsia="仿宋_GB2312" w:cs="仿宋_GB2312"/>
          <w:sz w:val="32"/>
          <w:szCs w:val="32"/>
        </w:rPr>
        <w:t>五、一般公共预算财政拨款支出决算情况说明...............7六、一般公共预算财政拨款基本支出决算情况说明.......9</w:t>
      </w:r>
    </w:p>
    <w:p>
      <w:pPr>
        <w:pStyle w:val="16"/>
        <w:adjustRightInd w:val="0"/>
        <w:snapToGrid w:val="0"/>
        <w:spacing w:line="560" w:lineRule="exact"/>
        <w:ind w:left="0" w:leftChars="0" w:firstLine="640" w:firstLineChars="200"/>
        <w:rPr>
          <w:rFonts w:eastAsia="仿宋_GB2312" w:cs="仿宋_GB2312"/>
          <w:sz w:val="32"/>
          <w:szCs w:val="32"/>
        </w:rPr>
      </w:pPr>
      <w:r>
        <w:rPr>
          <w:rFonts w:hint="eastAsia" w:eastAsia="仿宋_GB2312" w:cs="仿宋_GB2312"/>
          <w:sz w:val="32"/>
          <w:szCs w:val="32"/>
        </w:rPr>
        <w:t>七、财政拨款“三公”经费支出决算情况说明...............10</w:t>
      </w:r>
    </w:p>
    <w:p>
      <w:pPr>
        <w:pStyle w:val="16"/>
        <w:adjustRightInd w:val="0"/>
        <w:snapToGrid w:val="0"/>
        <w:spacing w:line="560" w:lineRule="exact"/>
        <w:ind w:left="0" w:leftChars="0" w:firstLine="640" w:firstLineChars="200"/>
        <w:rPr>
          <w:rFonts w:eastAsia="仿宋_GB2312" w:cs="仿宋_GB2312"/>
          <w:sz w:val="32"/>
          <w:szCs w:val="32"/>
        </w:rPr>
      </w:pPr>
      <w:r>
        <w:rPr>
          <w:rFonts w:hint="eastAsia" w:eastAsia="仿宋_GB2312" w:cs="仿宋_GB2312"/>
          <w:sz w:val="32"/>
          <w:szCs w:val="32"/>
        </w:rPr>
        <w:t>八、政府性基金预算支出决算情况说明...........................12</w:t>
      </w:r>
    </w:p>
    <w:p>
      <w:pPr>
        <w:pStyle w:val="16"/>
        <w:adjustRightInd w:val="0"/>
        <w:snapToGrid w:val="0"/>
        <w:spacing w:line="560" w:lineRule="exact"/>
        <w:ind w:left="0" w:leftChars="0" w:firstLine="640" w:firstLineChars="200"/>
        <w:rPr>
          <w:rFonts w:eastAsia="仿宋_GB2312" w:cs="仿宋_GB2312"/>
          <w:sz w:val="32"/>
          <w:szCs w:val="32"/>
        </w:rPr>
      </w:pPr>
      <w:r>
        <w:rPr>
          <w:rFonts w:hint="eastAsia" w:eastAsia="仿宋_GB2312" w:cs="仿宋_GB2312"/>
          <w:sz w:val="32"/>
          <w:szCs w:val="32"/>
        </w:rPr>
        <w:t>九、国有资本经营预算支出决算情况说明.......................12</w:t>
      </w:r>
    </w:p>
    <w:p>
      <w:pPr>
        <w:pStyle w:val="16"/>
        <w:adjustRightInd w:val="0"/>
        <w:snapToGrid w:val="0"/>
        <w:spacing w:line="560" w:lineRule="exact"/>
        <w:ind w:left="0" w:leftChars="0" w:firstLine="640" w:firstLineChars="200"/>
        <w:rPr>
          <w:rFonts w:eastAsia="仿宋_GB2312" w:cs="仿宋_GB2312"/>
          <w:sz w:val="32"/>
          <w:szCs w:val="32"/>
        </w:rPr>
      </w:pPr>
      <w:r>
        <w:rPr>
          <w:rFonts w:hint="eastAsia" w:eastAsia="仿宋_GB2312" w:cs="仿宋_GB2312"/>
          <w:sz w:val="32"/>
          <w:szCs w:val="32"/>
        </w:rPr>
        <w:t>十、其他重要事项的情况说明...........................................12</w:t>
      </w:r>
    </w:p>
    <w:p>
      <w:pPr>
        <w:pStyle w:val="14"/>
        <w:adjustRightInd w:val="0"/>
        <w:snapToGrid w:val="0"/>
        <w:spacing w:before="0" w:line="560" w:lineRule="exact"/>
        <w:jc w:val="left"/>
        <w:rPr>
          <w:rFonts w:ascii="Times New Roman" w:hAnsi="Times New Roman" w:eastAsia="黑体" w:cs="黑体"/>
          <w:sz w:val="32"/>
          <w:szCs w:val="32"/>
        </w:rPr>
      </w:pPr>
      <w:r>
        <w:rPr>
          <w:rFonts w:hint="eastAsia" w:ascii="Times New Roman" w:hAnsi="Times New Roman" w:eastAsia="黑体" w:cs="黑体"/>
          <w:sz w:val="32"/>
          <w:szCs w:val="32"/>
        </w:rPr>
        <w:t>第三部分 名词解释....................................................................14</w:t>
      </w:r>
    </w:p>
    <w:p>
      <w:pPr>
        <w:pStyle w:val="14"/>
        <w:adjustRightInd w:val="0"/>
        <w:snapToGrid w:val="0"/>
        <w:spacing w:before="0" w:line="560" w:lineRule="exact"/>
        <w:jc w:val="left"/>
        <w:rPr>
          <w:rFonts w:ascii="Times New Roman" w:hAnsi="Times New Roman" w:eastAsia="黑体" w:cs="黑体"/>
          <w:sz w:val="32"/>
          <w:szCs w:val="32"/>
        </w:rPr>
      </w:pPr>
      <w:r>
        <w:rPr>
          <w:rFonts w:hint="eastAsia" w:ascii="Times New Roman" w:hAnsi="Times New Roman" w:eastAsia="黑体" w:cs="黑体"/>
          <w:sz w:val="32"/>
          <w:szCs w:val="32"/>
        </w:rPr>
        <w:t>第四部分 附件............................................................................17</w:t>
      </w:r>
    </w:p>
    <w:p>
      <w:pPr>
        <w:pStyle w:val="14"/>
        <w:adjustRightInd w:val="0"/>
        <w:snapToGrid w:val="0"/>
        <w:spacing w:before="0" w:line="560" w:lineRule="exact"/>
        <w:jc w:val="left"/>
        <w:rPr>
          <w:rFonts w:ascii="Times New Roman" w:hAnsi="Times New Roman" w:eastAsia="黑体" w:cs="黑体"/>
          <w:sz w:val="32"/>
          <w:szCs w:val="32"/>
        </w:rPr>
      </w:pPr>
      <w:r>
        <w:rPr>
          <w:rFonts w:hint="eastAsia" w:ascii="Times New Roman" w:hAnsi="Times New Roman" w:eastAsia="黑体" w:cs="黑体"/>
          <w:sz w:val="32"/>
          <w:szCs w:val="32"/>
        </w:rPr>
        <w:t>第五部分 附表............................................................................18</w:t>
      </w:r>
    </w:p>
    <w:p>
      <w:pPr>
        <w:pStyle w:val="16"/>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一、收入支出决算总表......................................................18</w:t>
      </w:r>
    </w:p>
    <w:p>
      <w:pPr>
        <w:pStyle w:val="16"/>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二、收入决算表................................................................18</w:t>
      </w:r>
    </w:p>
    <w:p>
      <w:pPr>
        <w:pStyle w:val="16"/>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三、支出决算表................................................................18</w:t>
      </w:r>
    </w:p>
    <w:p>
      <w:pPr>
        <w:pStyle w:val="16"/>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四、财政拨款收入支出决算总表....................................18</w:t>
      </w:r>
    </w:p>
    <w:p>
      <w:pPr>
        <w:pStyle w:val="16"/>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五、财政拨款支出决算明细表........................................18</w:t>
      </w:r>
    </w:p>
    <w:p>
      <w:pPr>
        <w:pStyle w:val="16"/>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六、一般公共预算财政拨款支出决算表........................18</w:t>
      </w:r>
    </w:p>
    <w:p>
      <w:pPr>
        <w:pStyle w:val="16"/>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七、一般公共预算财政拨款支出决算明细表................18</w:t>
      </w:r>
    </w:p>
    <w:p>
      <w:pPr>
        <w:pStyle w:val="16"/>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八、一般公共预算财政拨款基本支出决算明细表........18</w:t>
      </w:r>
    </w:p>
    <w:p>
      <w:pPr>
        <w:pStyle w:val="16"/>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九、一般公共预算财政拨款项目支出决算表................18</w:t>
      </w:r>
    </w:p>
    <w:p>
      <w:pPr>
        <w:pStyle w:val="16"/>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十、政府性基金预算财政拨款收入支出决算表............18</w:t>
      </w:r>
    </w:p>
    <w:p>
      <w:pPr>
        <w:pStyle w:val="16"/>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十一、国有资本经营预算财政拨款收入支出决算表....18</w:t>
      </w:r>
    </w:p>
    <w:p>
      <w:pPr>
        <w:pStyle w:val="16"/>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十二、国有资本经营预算财政拨款支出决算表............18</w:t>
      </w:r>
    </w:p>
    <w:p>
      <w:pPr>
        <w:pStyle w:val="16"/>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十三、财政拨款“三公”经费支出决算表....................18</w:t>
      </w:r>
    </w:p>
    <w:p>
      <w:pPr>
        <w:widowControl/>
        <w:spacing w:line="560" w:lineRule="exact"/>
        <w:jc w:val="left"/>
        <w:rPr>
          <w:rFonts w:eastAsia="仿宋_GB2312" w:cs="仿宋_GB2312"/>
          <w:bCs/>
          <w:kern w:val="44"/>
          <w:sz w:val="32"/>
          <w:szCs w:val="32"/>
        </w:rPr>
      </w:pPr>
      <w:r>
        <w:rPr>
          <w:rFonts w:hint="eastAsia" w:eastAsia="仿宋_GB2312" w:cs="仿宋_GB2312"/>
          <w:b/>
          <w:sz w:val="32"/>
          <w:szCs w:val="32"/>
        </w:rPr>
        <w:br w:type="page"/>
      </w:r>
    </w:p>
    <w:p>
      <w:pPr>
        <w:pStyle w:val="3"/>
        <w:spacing w:before="0" w:after="0"/>
        <w:jc w:val="center"/>
        <w:rPr>
          <w:rFonts w:eastAsia="黑体"/>
          <w:sz w:val="32"/>
          <w:szCs w:val="32"/>
        </w:rPr>
      </w:pPr>
      <w:bookmarkStart w:id="14" w:name="_Toc15396599"/>
      <w:bookmarkStart w:id="15" w:name="_Toc15377196"/>
      <w:r>
        <w:rPr>
          <w:rFonts w:hint="eastAsia" w:ascii="方正小标宋_GBK" w:hAnsi="方正小标宋_GBK" w:eastAsia="方正小标宋_GBK" w:cs="方正小标宋_GBK"/>
          <w:b w:val="0"/>
        </w:rPr>
        <w:t>第一部分 单位</w:t>
      </w:r>
      <w:r>
        <w:rPr>
          <w:rStyle w:val="31"/>
          <w:rFonts w:hint="eastAsia" w:ascii="方正小标宋_GBK" w:hAnsi="方正小标宋_GBK" w:eastAsia="方正小标宋_GBK" w:cs="方正小标宋_GBK"/>
          <w:b w:val="0"/>
          <w:bCs w:val="0"/>
        </w:rPr>
        <w:t>概况</w:t>
      </w:r>
      <w:bookmarkEnd w:id="14"/>
      <w:bookmarkEnd w:id="15"/>
    </w:p>
    <w:p>
      <w:pPr>
        <w:pStyle w:val="4"/>
        <w:spacing w:before="0" w:after="0" w:line="560" w:lineRule="exact"/>
        <w:ind w:firstLine="640" w:firstLineChars="200"/>
        <w:rPr>
          <w:rFonts w:ascii="方正黑体_GBK" w:hAnsi="方正黑体_GBK" w:eastAsia="方正黑体_GBK" w:cs="方正黑体_GBK"/>
          <w:b w:val="0"/>
        </w:rPr>
      </w:pPr>
    </w:p>
    <w:p>
      <w:pPr>
        <w:pStyle w:val="4"/>
        <w:spacing w:before="0" w:after="0" w:line="560" w:lineRule="exact"/>
        <w:ind w:firstLine="640" w:firstLineChars="200"/>
        <w:rPr>
          <w:rFonts w:ascii="方正黑体_GBK" w:hAnsi="方正黑体_GBK" w:eastAsia="方正黑体_GBK" w:cs="方正黑体_GBK"/>
          <w:b w:val="0"/>
        </w:rPr>
      </w:pPr>
      <w:r>
        <w:rPr>
          <w:rFonts w:hint="eastAsia" w:ascii="方正黑体_GBK" w:hAnsi="方正黑体_GBK" w:eastAsia="方正黑体_GBK" w:cs="方正黑体_GBK"/>
          <w:b w:val="0"/>
        </w:rPr>
        <w:t>一、单位职责</w:t>
      </w:r>
    </w:p>
    <w:p>
      <w:pPr>
        <w:pStyle w:val="16"/>
        <w:adjustRightInd w:val="0"/>
        <w:snapToGrid w:val="0"/>
        <w:spacing w:line="560" w:lineRule="exact"/>
        <w:ind w:left="0" w:leftChars="0" w:firstLine="640" w:firstLineChars="200"/>
        <w:jc w:val="left"/>
        <w:rPr>
          <w:rFonts w:eastAsia="仿宋_GB2312" w:cs="仿宋_GB2312"/>
          <w:sz w:val="32"/>
          <w:szCs w:val="32"/>
        </w:rPr>
      </w:pPr>
      <w:r>
        <w:rPr>
          <w:rFonts w:eastAsia="仿宋_GB2312" w:cs="仿宋_GB2312"/>
          <w:sz w:val="32"/>
          <w:szCs w:val="32"/>
        </w:rPr>
        <w:t>攀枝花市交通运输综合行政执法支队负责全市交通运输综合行政执法监督指导、重大案件查处和跨区域执法的组织协调工作；承担依法取得的市本级、东区和西区公路路政、道路运政、水路运政、航道行政、港口行政、地方海事行政、工程质量监督管理等执法职责和仁和区、米易县、盐边县境内现行国省道路的路政执法职责。</w:t>
      </w:r>
    </w:p>
    <w:p>
      <w:pPr>
        <w:pStyle w:val="4"/>
        <w:spacing w:before="0" w:after="0" w:line="560" w:lineRule="exact"/>
        <w:ind w:firstLine="640" w:firstLineChars="200"/>
        <w:rPr>
          <w:rStyle w:val="32"/>
          <w:rFonts w:ascii="方正黑体_GBK" w:hAnsi="方正黑体_GBK" w:eastAsia="方正黑体_GBK" w:cs="方正黑体_GBK"/>
          <w:b w:val="0"/>
          <w:bCs w:val="0"/>
        </w:rPr>
      </w:pPr>
      <w:bookmarkStart w:id="16" w:name="_Toc15396601"/>
      <w:bookmarkStart w:id="17" w:name="_Toc15377200"/>
      <w:r>
        <w:rPr>
          <w:rFonts w:hint="eastAsia" w:ascii="方正黑体_GBK" w:hAnsi="方正黑体_GBK" w:eastAsia="方正黑体_GBK" w:cs="方正黑体_GBK"/>
          <w:b w:val="0"/>
        </w:rPr>
        <w:t>二、机</w:t>
      </w:r>
      <w:r>
        <w:rPr>
          <w:rStyle w:val="32"/>
          <w:rFonts w:hint="eastAsia" w:ascii="方正黑体_GBK" w:hAnsi="方正黑体_GBK" w:eastAsia="方正黑体_GBK" w:cs="方正黑体_GBK"/>
          <w:b w:val="0"/>
          <w:bCs w:val="0"/>
        </w:rPr>
        <w:t>构设置</w:t>
      </w:r>
      <w:bookmarkEnd w:id="16"/>
      <w:bookmarkEnd w:id="17"/>
    </w:p>
    <w:p>
      <w:pPr>
        <w:pStyle w:val="16"/>
        <w:adjustRightInd w:val="0"/>
        <w:snapToGrid w:val="0"/>
        <w:spacing w:line="560" w:lineRule="exact"/>
        <w:ind w:left="0" w:leftChars="0" w:firstLine="640" w:firstLineChars="200"/>
        <w:jc w:val="left"/>
        <w:rPr>
          <w:rFonts w:eastAsia="仿宋_GB2312" w:cs="仿宋_GB2312"/>
          <w:sz w:val="32"/>
          <w:szCs w:val="32"/>
        </w:rPr>
      </w:pPr>
      <w:bookmarkStart w:id="18" w:name="_Toc15377204"/>
      <w:bookmarkStart w:id="19" w:name="_Toc15396602"/>
      <w:r>
        <w:rPr>
          <w:rFonts w:eastAsia="仿宋_GB2312" w:cs="仿宋_GB2312"/>
          <w:sz w:val="32"/>
          <w:szCs w:val="32"/>
        </w:rPr>
        <w:t>攀枝花市交通运输综合行政执法支队内设6个业务科室和10个行政执法大队，具体为：办公室、干部人事科、政策法规科、客运科、货运科、安全与综合业务科、一大队、二大队、三大队、四大队、五大队、六大队、七大队、特勤大队、海事行政执法大队、工程质量监督行政执法大队。</w:t>
      </w:r>
    </w:p>
    <w:p>
      <w:pPr>
        <w:pStyle w:val="16"/>
        <w:adjustRightInd w:val="0"/>
        <w:snapToGrid w:val="0"/>
        <w:spacing w:line="560" w:lineRule="exact"/>
        <w:ind w:left="0" w:leftChars="0" w:firstLine="640" w:firstLineChars="200"/>
        <w:jc w:val="left"/>
        <w:rPr>
          <w:rFonts w:eastAsia="仿宋_GB2312" w:cs="仿宋_GB2312"/>
          <w:sz w:val="32"/>
          <w:szCs w:val="32"/>
        </w:rPr>
      </w:pPr>
      <w:r>
        <w:rPr>
          <w:rFonts w:eastAsia="仿宋_GB2312" w:cs="仿宋_GB2312"/>
          <w:sz w:val="32"/>
          <w:szCs w:val="32"/>
        </w:rPr>
        <w:t>一大队、二大队、三大队、四大队、五大队、六大队、七大队实行派驻制，工作接受辖区地方政府的指导和监督，队伍相对固定且定期轮岗交流。</w:t>
      </w:r>
    </w:p>
    <w:p>
      <w:pPr>
        <w:pStyle w:val="2"/>
        <w:spacing w:before="0" w:after="0" w:line="760" w:lineRule="exact"/>
        <w:rPr>
          <w:rFonts w:ascii="方正小标宋_GBK" w:hAnsi="方正小标宋_GBK" w:eastAsia="方正小标宋_GBK" w:cs="方正小标宋_GBK"/>
          <w:b w:val="0"/>
          <w:bCs/>
          <w:sz w:val="44"/>
          <w:szCs w:val="44"/>
        </w:rPr>
      </w:pPr>
    </w:p>
    <w:p>
      <w:pPr>
        <w:rPr>
          <w:rFonts w:ascii="方正小标宋_GBK" w:hAnsi="方正小标宋_GBK" w:eastAsia="方正小标宋_GBK" w:cs="方正小标宋_GBK"/>
          <w:bCs/>
          <w:sz w:val="44"/>
          <w:szCs w:val="44"/>
        </w:rPr>
      </w:pPr>
    </w:p>
    <w:p>
      <w:pPr>
        <w:pStyle w:val="2"/>
        <w:spacing w:before="0" w:after="0" w:line="760" w:lineRule="exact"/>
        <w:jc w:val="both"/>
        <w:rPr>
          <w:rFonts w:ascii="方正小标宋_GBK" w:hAnsi="方正小标宋_GBK" w:eastAsia="方正小标宋_GBK" w:cs="方正小标宋_GBK"/>
          <w:b w:val="0"/>
          <w:bCs/>
          <w:sz w:val="44"/>
          <w:szCs w:val="44"/>
        </w:rPr>
      </w:pPr>
      <w:r>
        <w:rPr>
          <w:rFonts w:hint="eastAsia" w:ascii="方正小标宋_GBK" w:hAnsi="方正小标宋_GBK" w:eastAsia="方正小标宋_GBK" w:cs="方正小标宋_GBK"/>
          <w:b w:val="0"/>
          <w:bCs/>
          <w:sz w:val="44"/>
          <w:szCs w:val="44"/>
        </w:rPr>
        <w:t>第二部分 2025年度单位决算情况说明</w:t>
      </w:r>
    </w:p>
    <w:bookmarkEnd w:id="18"/>
    <w:bookmarkEnd w:id="19"/>
    <w:p>
      <w:pPr>
        <w:pStyle w:val="30"/>
        <w:spacing w:line="560" w:lineRule="exact"/>
        <w:ind w:firstLine="640"/>
        <w:outlineLvl w:val="1"/>
        <w:rPr>
          <w:rFonts w:ascii="方正黑体_GBK" w:hAnsi="方正黑体_GBK" w:eastAsia="方正黑体_GBK" w:cs="方正黑体_GBK"/>
          <w:sz w:val="32"/>
          <w:szCs w:val="32"/>
        </w:rPr>
      </w:pPr>
      <w:bookmarkStart w:id="20" w:name="_Toc15377205"/>
      <w:bookmarkStart w:id="21" w:name="_Toc15396603"/>
    </w:p>
    <w:p>
      <w:pPr>
        <w:pStyle w:val="30"/>
        <w:spacing w:line="560" w:lineRule="exact"/>
        <w:ind w:firstLine="640"/>
        <w:outlineLvl w:val="1"/>
        <w:rPr>
          <w:rStyle w:val="32"/>
          <w:rFonts w:ascii="方正黑体_GBK" w:hAnsi="方正黑体_GBK" w:eastAsia="方正黑体_GBK" w:cs="方正黑体_GBK"/>
          <w:b w:val="0"/>
        </w:rPr>
      </w:pPr>
      <w:r>
        <w:rPr>
          <w:rFonts w:hint="eastAsia" w:ascii="方正黑体_GBK" w:hAnsi="方正黑体_GBK" w:eastAsia="方正黑体_GBK" w:cs="方正黑体_GBK"/>
          <w:sz w:val="32"/>
          <w:szCs w:val="32"/>
        </w:rPr>
        <w:t>一、收</w:t>
      </w:r>
      <w:r>
        <w:rPr>
          <w:rStyle w:val="32"/>
          <w:rFonts w:hint="eastAsia" w:ascii="方正黑体_GBK" w:hAnsi="方正黑体_GBK" w:eastAsia="方正黑体_GBK" w:cs="方正黑体_GBK"/>
          <w:b w:val="0"/>
        </w:rPr>
        <w:t>入支出决算总体情况说明</w:t>
      </w:r>
      <w:bookmarkEnd w:id="20"/>
      <w:bookmarkEnd w:id="21"/>
    </w:p>
    <w:p>
      <w:pPr>
        <w:pStyle w:val="16"/>
        <w:adjustRightInd w:val="0"/>
        <w:snapToGrid w:val="0"/>
        <w:spacing w:line="560" w:lineRule="exact"/>
        <w:ind w:left="0" w:leftChars="0" w:firstLine="640" w:firstLineChars="200"/>
        <w:jc w:val="left"/>
        <w:rPr>
          <w:rFonts w:eastAsia="仿宋_GB2312" w:cs="仿宋_GB2312"/>
          <w:sz w:val="32"/>
          <w:szCs w:val="32"/>
        </w:rPr>
      </w:pPr>
      <w:r>
        <w:rPr>
          <w:rFonts w:eastAsia="仿宋_GB2312" w:cs="仿宋_GB2312"/>
          <w:sz w:val="32"/>
          <w:szCs w:val="32"/>
        </w:rPr>
        <w:t>202</w:t>
      </w:r>
      <w:r>
        <w:rPr>
          <w:rFonts w:hint="eastAsia" w:eastAsia="仿宋_GB2312" w:cs="仿宋_GB2312"/>
          <w:sz w:val="32"/>
          <w:szCs w:val="32"/>
        </w:rPr>
        <w:t>5</w:t>
      </w:r>
      <w:r>
        <w:rPr>
          <w:rFonts w:eastAsia="仿宋_GB2312" w:cs="仿宋_GB2312"/>
          <w:sz w:val="32"/>
          <w:szCs w:val="32"/>
        </w:rPr>
        <w:t>年度收入、支出总计均为</w:t>
      </w:r>
      <w:r>
        <w:rPr>
          <w:rFonts w:hint="eastAsia" w:eastAsia="仿宋_GB2312" w:cs="仿宋_GB2312"/>
          <w:sz w:val="32"/>
          <w:szCs w:val="32"/>
        </w:rPr>
        <w:t>3468</w:t>
      </w:r>
      <w:r>
        <w:rPr>
          <w:rFonts w:eastAsia="仿宋_GB2312" w:cs="仿宋_GB2312"/>
          <w:sz w:val="32"/>
          <w:szCs w:val="32"/>
        </w:rPr>
        <w:t>.8</w:t>
      </w:r>
      <w:r>
        <w:rPr>
          <w:rFonts w:hint="eastAsia" w:eastAsia="仿宋_GB2312" w:cs="仿宋_GB2312"/>
          <w:sz w:val="32"/>
          <w:szCs w:val="32"/>
        </w:rPr>
        <w:t>8</w:t>
      </w:r>
      <w:r>
        <w:rPr>
          <w:rFonts w:eastAsia="仿宋_GB2312" w:cs="仿宋_GB2312"/>
          <w:sz w:val="32"/>
          <w:szCs w:val="32"/>
        </w:rPr>
        <w:t>万元。与202</w:t>
      </w:r>
      <w:r>
        <w:rPr>
          <w:rFonts w:hint="eastAsia" w:eastAsia="仿宋_GB2312" w:cs="仿宋_GB2312"/>
          <w:sz w:val="32"/>
          <w:szCs w:val="32"/>
        </w:rPr>
        <w:t>4</w:t>
      </w:r>
      <w:r>
        <w:rPr>
          <w:rFonts w:eastAsia="仿宋_GB2312" w:cs="仿宋_GB2312"/>
          <w:sz w:val="32"/>
          <w:szCs w:val="32"/>
        </w:rPr>
        <w:t>年度相比，收入、支出总计各</w:t>
      </w:r>
      <w:r>
        <w:rPr>
          <w:rFonts w:hint="eastAsia" w:eastAsia="仿宋_GB2312" w:cs="仿宋_GB2312"/>
          <w:sz w:val="32"/>
          <w:szCs w:val="32"/>
        </w:rPr>
        <w:t>增加1148.99</w:t>
      </w:r>
      <w:r>
        <w:rPr>
          <w:rFonts w:eastAsia="仿宋_GB2312" w:cs="仿宋_GB2312"/>
          <w:sz w:val="32"/>
          <w:szCs w:val="32"/>
        </w:rPr>
        <w:t>万元，</w:t>
      </w:r>
      <w:r>
        <w:rPr>
          <w:rFonts w:hint="eastAsia" w:eastAsia="仿宋_GB2312" w:cs="仿宋_GB2312"/>
          <w:sz w:val="32"/>
          <w:szCs w:val="32"/>
        </w:rPr>
        <w:t>上升49.5</w:t>
      </w:r>
      <w:r>
        <w:rPr>
          <w:rFonts w:eastAsia="仿宋_GB2312" w:cs="仿宋_GB2312"/>
          <w:sz w:val="32"/>
          <w:szCs w:val="32"/>
        </w:rPr>
        <w:t>%。主要变动原因</w:t>
      </w:r>
      <w:r>
        <w:rPr>
          <w:rFonts w:hint="eastAsia" w:eastAsia="仿宋_GB2312" w:cs="仿宋_GB2312"/>
          <w:sz w:val="32"/>
          <w:szCs w:val="32"/>
        </w:rPr>
        <w:t>，机构改革，并入其他执法单位人员及增加了项目支出。</w:t>
      </w:r>
    </w:p>
    <w:p>
      <w:pPr>
        <w:pStyle w:val="30"/>
        <w:spacing w:line="560" w:lineRule="exact"/>
        <w:ind w:firstLine="640"/>
        <w:outlineLvl w:val="1"/>
        <w:rPr>
          <w:rFonts w:eastAsia="方正仿宋_GBK"/>
          <w:sz w:val="32"/>
          <w:szCs w:val="32"/>
        </w:rPr>
      </w:pPr>
      <w:r>
        <w:rPr>
          <w:rFonts w:eastAsia="仿宋_GB2312" w:cs="仿宋_GB2312"/>
          <w:sz w:val="32"/>
          <w:szCs w:val="32"/>
        </w:rPr>
        <w:drawing>
          <wp:anchor distT="0" distB="0" distL="114300" distR="114300" simplePos="0" relativeHeight="251659264" behindDoc="0" locked="0" layoutInCell="1" allowOverlap="1">
            <wp:simplePos x="0" y="0"/>
            <wp:positionH relativeFrom="column">
              <wp:posOffset>95250</wp:posOffset>
            </wp:positionH>
            <wp:positionV relativeFrom="paragraph">
              <wp:posOffset>125095</wp:posOffset>
            </wp:positionV>
            <wp:extent cx="5514975" cy="4668520"/>
            <wp:effectExtent l="5080" t="4445" r="4445" b="13335"/>
            <wp:wrapNone/>
            <wp:docPr id="4"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anchor>
        </w:drawing>
      </w:r>
    </w:p>
    <w:p>
      <w:pPr>
        <w:pStyle w:val="30"/>
        <w:spacing w:line="600" w:lineRule="exact"/>
        <w:ind w:firstLine="640"/>
        <w:outlineLvl w:val="1"/>
        <w:rPr>
          <w:rFonts w:eastAsia="仿宋_GB2312" w:cs="仿宋_GB2312"/>
          <w:sz w:val="32"/>
          <w:szCs w:val="32"/>
        </w:rPr>
      </w:pPr>
    </w:p>
    <w:p>
      <w:pPr>
        <w:pStyle w:val="30"/>
        <w:spacing w:line="600" w:lineRule="exact"/>
        <w:ind w:firstLine="640"/>
        <w:outlineLvl w:val="1"/>
        <w:rPr>
          <w:rFonts w:eastAsia="仿宋_GB2312" w:cs="仿宋_GB2312"/>
          <w:sz w:val="32"/>
          <w:szCs w:val="32"/>
        </w:rPr>
      </w:pPr>
    </w:p>
    <w:p>
      <w:pPr>
        <w:pStyle w:val="30"/>
        <w:spacing w:line="600" w:lineRule="exact"/>
        <w:ind w:firstLine="640"/>
        <w:outlineLvl w:val="1"/>
        <w:rPr>
          <w:rFonts w:eastAsia="仿宋_GB2312" w:cs="仿宋_GB2312"/>
          <w:sz w:val="32"/>
          <w:szCs w:val="32"/>
        </w:rPr>
      </w:pPr>
    </w:p>
    <w:p>
      <w:pPr>
        <w:pStyle w:val="30"/>
        <w:spacing w:line="600" w:lineRule="exact"/>
        <w:ind w:firstLine="640"/>
        <w:outlineLvl w:val="1"/>
        <w:rPr>
          <w:rFonts w:eastAsia="仿宋_GB2312" w:cs="仿宋_GB2312"/>
          <w:sz w:val="32"/>
          <w:szCs w:val="32"/>
        </w:rPr>
      </w:pPr>
    </w:p>
    <w:p>
      <w:pPr>
        <w:pStyle w:val="30"/>
        <w:spacing w:line="600" w:lineRule="exact"/>
        <w:ind w:firstLine="640"/>
        <w:outlineLvl w:val="1"/>
        <w:rPr>
          <w:rFonts w:eastAsia="仿宋_GB2312" w:cs="仿宋_GB2312"/>
          <w:sz w:val="32"/>
          <w:szCs w:val="32"/>
        </w:rPr>
      </w:pPr>
    </w:p>
    <w:p>
      <w:pPr>
        <w:pStyle w:val="30"/>
        <w:spacing w:line="600" w:lineRule="exact"/>
        <w:ind w:firstLine="640"/>
        <w:outlineLvl w:val="1"/>
        <w:rPr>
          <w:rFonts w:eastAsia="仿宋_GB2312" w:cs="仿宋_GB2312"/>
          <w:sz w:val="32"/>
          <w:szCs w:val="32"/>
        </w:rPr>
      </w:pPr>
    </w:p>
    <w:p>
      <w:pPr>
        <w:pStyle w:val="30"/>
        <w:spacing w:line="600" w:lineRule="exact"/>
        <w:ind w:firstLine="640"/>
        <w:outlineLvl w:val="1"/>
        <w:rPr>
          <w:rFonts w:eastAsia="仿宋_GB2312" w:cs="仿宋_GB2312"/>
          <w:sz w:val="32"/>
          <w:szCs w:val="32"/>
        </w:rPr>
      </w:pPr>
    </w:p>
    <w:p>
      <w:pPr>
        <w:pStyle w:val="30"/>
        <w:spacing w:line="600" w:lineRule="exact"/>
        <w:ind w:firstLine="640"/>
        <w:outlineLvl w:val="1"/>
        <w:rPr>
          <w:rFonts w:eastAsia="仿宋_GB2312" w:cs="仿宋_GB2312"/>
          <w:sz w:val="32"/>
          <w:szCs w:val="32"/>
        </w:rPr>
      </w:pPr>
    </w:p>
    <w:p>
      <w:pPr>
        <w:pStyle w:val="30"/>
        <w:spacing w:line="600" w:lineRule="exact"/>
        <w:ind w:firstLine="0" w:firstLineChars="0"/>
        <w:outlineLvl w:val="1"/>
        <w:rPr>
          <w:rFonts w:eastAsia="仿宋_GB2312" w:cs="仿宋_GB2312"/>
          <w:sz w:val="32"/>
          <w:szCs w:val="32"/>
        </w:rPr>
      </w:pPr>
    </w:p>
    <w:p>
      <w:pPr>
        <w:spacing w:line="560" w:lineRule="exact"/>
        <w:jc w:val="center"/>
        <w:outlineLvl w:val="1"/>
        <w:rPr>
          <w:rFonts w:ascii="方正仿宋_GBK" w:hAnsi="方正仿宋_GBK" w:eastAsia="方正仿宋_GBK" w:cs="方正仿宋_GBK"/>
          <w:sz w:val="30"/>
          <w:szCs w:val="30"/>
        </w:rPr>
      </w:pPr>
      <w:r>
        <w:rPr>
          <w:rFonts w:hint="eastAsia" w:ascii="方正仿宋_GBK" w:hAnsi="方正仿宋_GBK" w:eastAsia="方正仿宋_GBK" w:cs="方正仿宋_GBK"/>
          <w:sz w:val="30"/>
          <w:szCs w:val="30"/>
        </w:rPr>
        <w:t>（图1：收入、支出决算总计变动情况图）</w:t>
      </w:r>
    </w:p>
    <w:p>
      <w:pPr>
        <w:spacing w:line="560" w:lineRule="exact"/>
        <w:ind w:firstLine="640" w:firstLineChars="200"/>
        <w:outlineLvl w:val="1"/>
        <w:rPr>
          <w:rFonts w:ascii="方正黑体_GBK" w:hAnsi="方正黑体_GBK" w:eastAsia="方正黑体_GBK" w:cs="方正黑体_GBK"/>
          <w:sz w:val="32"/>
          <w:szCs w:val="32"/>
        </w:rPr>
      </w:pPr>
      <w:bookmarkStart w:id="22" w:name="_Toc15377206"/>
      <w:bookmarkStart w:id="23" w:name="_Toc15396604"/>
      <w:r>
        <w:rPr>
          <w:rFonts w:hint="eastAsia" w:ascii="方正黑体_GBK" w:hAnsi="方正黑体_GBK" w:eastAsia="方正黑体_GBK" w:cs="方正黑体_GBK"/>
          <w:sz w:val="32"/>
          <w:szCs w:val="32"/>
        </w:rPr>
        <w:t>二、收入决算情况说明</w:t>
      </w:r>
      <w:bookmarkEnd w:id="22"/>
      <w:bookmarkEnd w:id="23"/>
    </w:p>
    <w:p>
      <w:pPr>
        <w:pStyle w:val="16"/>
        <w:adjustRightInd w:val="0"/>
        <w:snapToGrid w:val="0"/>
        <w:spacing w:line="560" w:lineRule="exact"/>
        <w:ind w:left="0" w:leftChars="0" w:firstLine="640" w:firstLineChars="200"/>
        <w:jc w:val="left"/>
        <w:rPr>
          <w:rFonts w:eastAsia="仿宋_GB2312" w:cs="仿宋_GB2312"/>
          <w:sz w:val="32"/>
          <w:szCs w:val="32"/>
        </w:rPr>
      </w:pPr>
      <w:r>
        <w:rPr>
          <w:rFonts w:eastAsia="仿宋_GB2312" w:cs="仿宋_GB2312"/>
          <w:sz w:val="32"/>
          <w:szCs w:val="32"/>
        </w:rPr>
        <w:t>202</w:t>
      </w:r>
      <w:r>
        <w:rPr>
          <w:rFonts w:hint="eastAsia" w:eastAsia="仿宋_GB2312" w:cs="仿宋_GB2312"/>
          <w:sz w:val="32"/>
          <w:szCs w:val="32"/>
        </w:rPr>
        <w:t>5</w:t>
      </w:r>
      <w:r>
        <w:rPr>
          <w:rFonts w:eastAsia="仿宋_GB2312" w:cs="仿宋_GB2312"/>
          <w:sz w:val="32"/>
          <w:szCs w:val="32"/>
        </w:rPr>
        <w:t>年度本年收入合计</w:t>
      </w:r>
      <w:r>
        <w:rPr>
          <w:rFonts w:hint="eastAsia" w:eastAsia="仿宋_GB2312" w:cs="仿宋_GB2312"/>
          <w:sz w:val="32"/>
          <w:szCs w:val="32"/>
        </w:rPr>
        <w:t>3468.88</w:t>
      </w:r>
      <w:r>
        <w:rPr>
          <w:rFonts w:eastAsia="仿宋_GB2312" w:cs="仿宋_GB2312"/>
          <w:sz w:val="32"/>
          <w:szCs w:val="32"/>
        </w:rPr>
        <w:t>万元，其中：一般公共预算财政拨款收入</w:t>
      </w:r>
      <w:r>
        <w:rPr>
          <w:rFonts w:hint="eastAsia" w:eastAsia="仿宋_GB2312" w:cs="仿宋_GB2312"/>
          <w:sz w:val="32"/>
          <w:szCs w:val="32"/>
        </w:rPr>
        <w:t>3468.88</w:t>
      </w:r>
      <w:r>
        <w:rPr>
          <w:rFonts w:eastAsia="仿宋_GB2312" w:cs="仿宋_GB2312"/>
          <w:sz w:val="32"/>
          <w:szCs w:val="32"/>
        </w:rPr>
        <w:t>万元，占100%；政府性基金预算财政拨款收入0万元，占0%%；国有资本经营预算财政拨款收入0万元，占0%；上级补助收入0万元，占0%；事业收入0万元，占0%；经营收入0万元，占0%；附属单位上缴收入0万元，占0%；其他收入0万元，占0%。</w:t>
      </w:r>
    </w:p>
    <w:p>
      <w:pPr>
        <w:ind w:firstLine="803" w:firstLineChars="250"/>
        <w:rPr>
          <w:rFonts w:eastAsia="仿宋_GB2312" w:cs="仿宋_GB2312"/>
          <w:sz w:val="32"/>
          <w:szCs w:val="32"/>
        </w:rPr>
      </w:pPr>
      <w:r>
        <w:rPr>
          <w:rFonts w:hint="eastAsia" w:eastAsia="仿宋_GB2312" w:cs="仿宋_GB2312"/>
          <w:b/>
          <w:bCs/>
          <w:sz w:val="32"/>
          <w:szCs w:val="32"/>
        </w:rPr>
        <w:drawing>
          <wp:inline distT="0" distB="0" distL="0" distR="0">
            <wp:extent cx="4505960" cy="3172460"/>
            <wp:effectExtent l="4445" t="4445" r="23495" b="23495"/>
            <wp:docPr id="3"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pPr>
        <w:ind w:firstLine="1950" w:firstLineChars="650"/>
        <w:rPr>
          <w:rFonts w:eastAsia="方正仿宋_GBK"/>
          <w:sz w:val="30"/>
          <w:szCs w:val="30"/>
        </w:rPr>
      </w:pPr>
      <w:r>
        <w:rPr>
          <w:rFonts w:eastAsia="方正仿宋_GBK"/>
          <w:sz w:val="30"/>
          <w:szCs w:val="30"/>
        </w:rPr>
        <w:t>（图2：收入决算结构图）</w:t>
      </w:r>
    </w:p>
    <w:p>
      <w:pPr>
        <w:pStyle w:val="30"/>
        <w:spacing w:line="560" w:lineRule="exact"/>
        <w:ind w:firstLine="640"/>
        <w:outlineLvl w:val="1"/>
        <w:rPr>
          <w:rStyle w:val="32"/>
          <w:rFonts w:ascii="方正黑体_GBK" w:hAnsi="方正黑体_GBK" w:eastAsia="方正黑体_GBK" w:cs="方正黑体_GBK"/>
          <w:b w:val="0"/>
        </w:rPr>
      </w:pPr>
      <w:bookmarkStart w:id="24" w:name="_Toc15396605"/>
      <w:bookmarkStart w:id="25" w:name="_Toc15377207"/>
      <w:r>
        <w:rPr>
          <w:rFonts w:hint="eastAsia" w:ascii="方正黑体_GBK" w:hAnsi="方正黑体_GBK" w:eastAsia="方正黑体_GBK" w:cs="方正黑体_GBK"/>
          <w:sz w:val="32"/>
          <w:szCs w:val="32"/>
        </w:rPr>
        <w:t>三、支</w:t>
      </w:r>
      <w:r>
        <w:rPr>
          <w:rStyle w:val="32"/>
          <w:rFonts w:hint="eastAsia" w:ascii="方正黑体_GBK" w:hAnsi="方正黑体_GBK" w:eastAsia="方正黑体_GBK" w:cs="方正黑体_GBK"/>
          <w:b w:val="0"/>
        </w:rPr>
        <w:t>出决算情况说明</w:t>
      </w:r>
      <w:bookmarkEnd w:id="24"/>
      <w:bookmarkEnd w:id="25"/>
    </w:p>
    <w:p>
      <w:pPr>
        <w:pStyle w:val="16"/>
        <w:adjustRightInd w:val="0"/>
        <w:snapToGrid w:val="0"/>
        <w:spacing w:line="560" w:lineRule="exact"/>
        <w:ind w:left="0" w:leftChars="0" w:firstLine="640" w:firstLineChars="200"/>
        <w:jc w:val="left"/>
        <w:rPr>
          <w:rFonts w:eastAsia="仿宋_GB2312" w:cs="仿宋_GB2312"/>
          <w:sz w:val="32"/>
          <w:szCs w:val="32"/>
        </w:rPr>
      </w:pPr>
      <w:r>
        <w:rPr>
          <w:rFonts w:eastAsia="仿宋_GB2312" w:cs="仿宋_GB2312"/>
          <w:sz w:val="32"/>
          <w:szCs w:val="32"/>
        </w:rPr>
        <w:t>202</w:t>
      </w:r>
      <w:r>
        <w:rPr>
          <w:rFonts w:hint="eastAsia" w:eastAsia="仿宋_GB2312" w:cs="仿宋_GB2312"/>
          <w:sz w:val="32"/>
          <w:szCs w:val="32"/>
        </w:rPr>
        <w:t>5</w:t>
      </w:r>
      <w:r>
        <w:rPr>
          <w:rFonts w:eastAsia="仿宋_GB2312" w:cs="仿宋_GB2312"/>
          <w:sz w:val="32"/>
          <w:szCs w:val="32"/>
        </w:rPr>
        <w:t>年度本年支出合计</w:t>
      </w:r>
      <w:r>
        <w:rPr>
          <w:rFonts w:hint="eastAsia" w:eastAsia="仿宋_GB2312" w:cs="仿宋_GB2312"/>
          <w:sz w:val="32"/>
          <w:szCs w:val="32"/>
        </w:rPr>
        <w:t>3468.88</w:t>
      </w:r>
      <w:r>
        <w:rPr>
          <w:rFonts w:eastAsia="仿宋_GB2312" w:cs="仿宋_GB2312"/>
          <w:sz w:val="32"/>
          <w:szCs w:val="32"/>
        </w:rPr>
        <w:t>万元，其中：基本支出</w:t>
      </w:r>
      <w:r>
        <w:rPr>
          <w:rFonts w:hint="eastAsia" w:eastAsia="仿宋_GB2312" w:cs="仿宋_GB2312"/>
          <w:sz w:val="32"/>
          <w:szCs w:val="32"/>
        </w:rPr>
        <w:t>3263.43</w:t>
      </w:r>
      <w:r>
        <w:rPr>
          <w:rFonts w:eastAsia="仿宋_GB2312" w:cs="仿宋_GB2312"/>
          <w:sz w:val="32"/>
          <w:szCs w:val="32"/>
        </w:rPr>
        <w:t>万元，占</w:t>
      </w:r>
      <w:r>
        <w:rPr>
          <w:rFonts w:hint="eastAsia" w:eastAsia="仿宋_GB2312" w:cs="仿宋_GB2312"/>
          <w:sz w:val="32"/>
          <w:szCs w:val="32"/>
        </w:rPr>
        <w:t>94.1</w:t>
      </w:r>
      <w:r>
        <w:rPr>
          <w:rFonts w:eastAsia="仿宋_GB2312" w:cs="仿宋_GB2312"/>
          <w:sz w:val="32"/>
          <w:szCs w:val="32"/>
        </w:rPr>
        <w:t>%；项目支出</w:t>
      </w:r>
      <w:r>
        <w:rPr>
          <w:rFonts w:hint="eastAsia" w:eastAsia="仿宋_GB2312" w:cs="仿宋_GB2312"/>
          <w:sz w:val="32"/>
          <w:szCs w:val="32"/>
        </w:rPr>
        <w:t>205.45</w:t>
      </w:r>
      <w:r>
        <w:rPr>
          <w:rFonts w:eastAsia="仿宋_GB2312" w:cs="仿宋_GB2312"/>
          <w:sz w:val="32"/>
          <w:szCs w:val="32"/>
        </w:rPr>
        <w:t>万元，占</w:t>
      </w:r>
      <w:r>
        <w:rPr>
          <w:rFonts w:hint="eastAsia" w:eastAsia="仿宋_GB2312" w:cs="仿宋_GB2312"/>
          <w:sz w:val="32"/>
          <w:szCs w:val="32"/>
        </w:rPr>
        <w:t>5.9</w:t>
      </w:r>
      <w:r>
        <w:rPr>
          <w:rFonts w:eastAsia="仿宋_GB2312" w:cs="仿宋_GB2312"/>
          <w:sz w:val="32"/>
          <w:szCs w:val="32"/>
        </w:rPr>
        <w:t>%；上缴上级支出0万元，占0%；经营支出0万元，占0%；对附属单位补助支出0万元，占0%。</w:t>
      </w:r>
    </w:p>
    <w:p>
      <w:pPr>
        <w:jc w:val="center"/>
        <w:rPr>
          <w:rFonts w:eastAsia="仿宋_GB2312" w:cs="仿宋_GB2312"/>
          <w:sz w:val="32"/>
          <w:szCs w:val="32"/>
        </w:rPr>
      </w:pPr>
      <w:r>
        <w:rPr>
          <w:rFonts w:hint="eastAsia" w:eastAsia="仿宋_GB2312" w:cs="仿宋_GB2312"/>
          <w:sz w:val="32"/>
          <w:szCs w:val="32"/>
        </w:rPr>
        <w:drawing>
          <wp:inline distT="0" distB="0" distL="0" distR="0">
            <wp:extent cx="4347210" cy="1633220"/>
            <wp:effectExtent l="4445" t="4445" r="10795" b="19685"/>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pPr>
        <w:jc w:val="center"/>
        <w:rPr>
          <w:rFonts w:eastAsia="仿宋_GB2312" w:cs="仿宋_GB2312"/>
          <w:sz w:val="30"/>
          <w:szCs w:val="30"/>
        </w:rPr>
      </w:pPr>
      <w:r>
        <w:rPr>
          <w:rFonts w:hint="eastAsia" w:eastAsia="仿宋_GB2312" w:cs="仿宋_GB2312"/>
          <w:sz w:val="30"/>
          <w:szCs w:val="30"/>
        </w:rPr>
        <w:t>（图3：支出决算结构图）</w:t>
      </w:r>
    </w:p>
    <w:p>
      <w:pPr>
        <w:spacing w:line="600" w:lineRule="exact"/>
        <w:ind w:firstLine="480" w:firstLineChars="150"/>
        <w:outlineLvl w:val="1"/>
        <w:rPr>
          <w:rStyle w:val="32"/>
          <w:rFonts w:ascii="方正黑体_GBK" w:hAnsi="方正黑体_GBK" w:eastAsia="方正黑体_GBK" w:cs="方正黑体_GBK"/>
          <w:b w:val="0"/>
        </w:rPr>
      </w:pPr>
      <w:bookmarkStart w:id="26" w:name="_Toc15377208"/>
      <w:bookmarkStart w:id="27" w:name="_Toc15396606"/>
      <w:r>
        <w:rPr>
          <w:rFonts w:hint="eastAsia" w:ascii="方正黑体_GBK" w:hAnsi="方正黑体_GBK" w:eastAsia="方正黑体_GBK" w:cs="方正黑体_GBK"/>
          <w:sz w:val="32"/>
          <w:szCs w:val="32"/>
        </w:rPr>
        <w:t>四、财</w:t>
      </w:r>
      <w:r>
        <w:rPr>
          <w:rStyle w:val="32"/>
          <w:rFonts w:hint="eastAsia" w:ascii="方正黑体_GBK" w:hAnsi="方正黑体_GBK" w:eastAsia="方正黑体_GBK" w:cs="方正黑体_GBK"/>
          <w:b w:val="0"/>
        </w:rPr>
        <w:t>政拨款收入支出决算总体情况说明</w:t>
      </w:r>
      <w:bookmarkEnd w:id="26"/>
      <w:bookmarkEnd w:id="27"/>
    </w:p>
    <w:p>
      <w:pPr>
        <w:pStyle w:val="16"/>
        <w:adjustRightInd w:val="0"/>
        <w:snapToGrid w:val="0"/>
        <w:spacing w:line="560" w:lineRule="exact"/>
        <w:ind w:left="0" w:leftChars="0" w:firstLine="640" w:firstLineChars="200"/>
        <w:jc w:val="left"/>
        <w:rPr>
          <w:rFonts w:eastAsia="仿宋_GB2312" w:cs="仿宋_GB2312"/>
          <w:sz w:val="32"/>
          <w:szCs w:val="32"/>
        </w:rPr>
      </w:pPr>
      <w:r>
        <w:rPr>
          <w:rFonts w:eastAsia="仿宋_GB2312" w:cs="仿宋_GB2312"/>
          <w:sz w:val="32"/>
          <w:szCs w:val="32"/>
        </w:rPr>
        <w:t>202</w:t>
      </w:r>
      <w:r>
        <w:rPr>
          <w:rFonts w:hint="eastAsia" w:eastAsia="仿宋_GB2312" w:cs="仿宋_GB2312"/>
          <w:sz w:val="32"/>
          <w:szCs w:val="32"/>
        </w:rPr>
        <w:t>5</w:t>
      </w:r>
      <w:r>
        <w:rPr>
          <w:rFonts w:eastAsia="仿宋_GB2312" w:cs="仿宋_GB2312"/>
          <w:sz w:val="32"/>
          <w:szCs w:val="32"/>
        </w:rPr>
        <w:t>年度收入、支出总计均为</w:t>
      </w:r>
      <w:r>
        <w:rPr>
          <w:rFonts w:hint="eastAsia" w:eastAsia="仿宋_GB2312" w:cs="仿宋_GB2312"/>
          <w:sz w:val="32"/>
          <w:szCs w:val="32"/>
        </w:rPr>
        <w:t>3468</w:t>
      </w:r>
      <w:r>
        <w:rPr>
          <w:rFonts w:eastAsia="仿宋_GB2312" w:cs="仿宋_GB2312"/>
          <w:sz w:val="32"/>
          <w:szCs w:val="32"/>
        </w:rPr>
        <w:t>.8</w:t>
      </w:r>
      <w:r>
        <w:rPr>
          <w:rFonts w:hint="eastAsia" w:eastAsia="仿宋_GB2312" w:cs="仿宋_GB2312"/>
          <w:sz w:val="32"/>
          <w:szCs w:val="32"/>
        </w:rPr>
        <w:t>8</w:t>
      </w:r>
      <w:r>
        <w:rPr>
          <w:rFonts w:eastAsia="仿宋_GB2312" w:cs="仿宋_GB2312"/>
          <w:sz w:val="32"/>
          <w:szCs w:val="32"/>
        </w:rPr>
        <w:t>万元。与202</w:t>
      </w:r>
      <w:r>
        <w:rPr>
          <w:rFonts w:hint="eastAsia" w:eastAsia="仿宋_GB2312" w:cs="仿宋_GB2312"/>
          <w:sz w:val="32"/>
          <w:szCs w:val="32"/>
        </w:rPr>
        <w:t>4</w:t>
      </w:r>
      <w:r>
        <w:rPr>
          <w:rFonts w:eastAsia="仿宋_GB2312" w:cs="仿宋_GB2312"/>
          <w:sz w:val="32"/>
          <w:szCs w:val="32"/>
        </w:rPr>
        <w:t>年度相比，收入、支出总计各</w:t>
      </w:r>
      <w:r>
        <w:rPr>
          <w:rFonts w:hint="eastAsia" w:eastAsia="仿宋_GB2312" w:cs="仿宋_GB2312"/>
          <w:sz w:val="32"/>
          <w:szCs w:val="32"/>
        </w:rPr>
        <w:t>增加1148.99</w:t>
      </w:r>
      <w:r>
        <w:rPr>
          <w:rFonts w:eastAsia="仿宋_GB2312" w:cs="仿宋_GB2312"/>
          <w:sz w:val="32"/>
          <w:szCs w:val="32"/>
        </w:rPr>
        <w:t>万元，</w:t>
      </w:r>
      <w:r>
        <w:rPr>
          <w:rFonts w:hint="eastAsia" w:eastAsia="仿宋_GB2312" w:cs="仿宋_GB2312"/>
          <w:sz w:val="32"/>
          <w:szCs w:val="32"/>
        </w:rPr>
        <w:t>上升49.5</w:t>
      </w:r>
      <w:r>
        <w:rPr>
          <w:rFonts w:eastAsia="仿宋_GB2312" w:cs="仿宋_GB2312"/>
          <w:sz w:val="32"/>
          <w:szCs w:val="32"/>
        </w:rPr>
        <w:t>%。主要变动原因</w:t>
      </w:r>
      <w:r>
        <w:rPr>
          <w:rFonts w:hint="eastAsia" w:eastAsia="仿宋_GB2312" w:cs="仿宋_GB2312"/>
          <w:sz w:val="32"/>
          <w:szCs w:val="32"/>
        </w:rPr>
        <w:t>，机构改革，并入其他执法单位人员及增加了项目支出。</w:t>
      </w:r>
    </w:p>
    <w:p>
      <w:pPr>
        <w:spacing w:line="600" w:lineRule="exact"/>
        <w:jc w:val="center"/>
        <w:rPr>
          <w:rFonts w:eastAsia="仿宋_GB2312" w:cs="仿宋_GB2312"/>
          <w:sz w:val="30"/>
          <w:szCs w:val="30"/>
        </w:rPr>
      </w:pPr>
      <w:r>
        <w:rPr>
          <w:rFonts w:hint="eastAsia" w:eastAsia="仿宋_GB2312" w:cs="仿宋_GB2312"/>
          <w:sz w:val="32"/>
          <w:szCs w:val="32"/>
        </w:rPr>
        <w:drawing>
          <wp:anchor distT="0" distB="0" distL="114300" distR="114300" simplePos="0" relativeHeight="251660288" behindDoc="0" locked="0" layoutInCell="1" allowOverlap="1">
            <wp:simplePos x="0" y="0"/>
            <wp:positionH relativeFrom="column">
              <wp:posOffset>238760</wp:posOffset>
            </wp:positionH>
            <wp:positionV relativeFrom="paragraph">
              <wp:posOffset>195580</wp:posOffset>
            </wp:positionV>
            <wp:extent cx="5304790" cy="2903855"/>
            <wp:effectExtent l="4445" t="4445" r="5715" b="6350"/>
            <wp:wrapSquare wrapText="bothSides"/>
            <wp:docPr id="7"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anchor>
        </w:drawing>
      </w:r>
      <w:r>
        <w:rPr>
          <w:rFonts w:hint="eastAsia" w:eastAsia="仿宋_GB2312" w:cs="仿宋_GB2312"/>
          <w:sz w:val="30"/>
          <w:szCs w:val="30"/>
        </w:rPr>
        <w:t>（图4：财政拨款收、支决算总计变动情况）</w:t>
      </w:r>
    </w:p>
    <w:p>
      <w:pPr>
        <w:pStyle w:val="30"/>
        <w:spacing w:line="560" w:lineRule="exact"/>
        <w:ind w:firstLine="640"/>
        <w:outlineLvl w:val="1"/>
        <w:rPr>
          <w:rFonts w:eastAsia="仿宋_GB2312" w:cs="仿宋_GB2312"/>
          <w:sz w:val="32"/>
          <w:szCs w:val="32"/>
        </w:rPr>
      </w:pPr>
    </w:p>
    <w:p>
      <w:pPr>
        <w:spacing w:line="560" w:lineRule="exact"/>
        <w:ind w:firstLine="640" w:firstLineChars="200"/>
        <w:outlineLvl w:val="1"/>
        <w:rPr>
          <w:rStyle w:val="32"/>
          <w:rFonts w:ascii="方正黑体_GBK" w:hAnsi="方正黑体_GBK" w:eastAsia="方正黑体_GBK" w:cs="方正黑体_GBK"/>
          <w:b w:val="0"/>
        </w:rPr>
      </w:pPr>
      <w:bookmarkStart w:id="28" w:name="_Toc15377209"/>
      <w:bookmarkStart w:id="29" w:name="_Toc15396607"/>
      <w:r>
        <w:rPr>
          <w:rFonts w:hint="eastAsia" w:ascii="方正黑体_GBK" w:hAnsi="方正黑体_GBK" w:eastAsia="方正黑体_GBK" w:cs="方正黑体_GBK"/>
          <w:sz w:val="32"/>
          <w:szCs w:val="32"/>
        </w:rPr>
        <w:t>五、</w:t>
      </w:r>
      <w:r>
        <w:rPr>
          <w:rFonts w:hint="eastAsia" w:ascii="方正黑体_GBK" w:hAnsi="方正黑体_GBK" w:eastAsia="方正黑体_GBK" w:cs="方正黑体_GBK"/>
          <w:b/>
          <w:sz w:val="32"/>
          <w:szCs w:val="32"/>
        </w:rPr>
        <w:t>一</w:t>
      </w:r>
      <w:r>
        <w:rPr>
          <w:rStyle w:val="32"/>
          <w:rFonts w:hint="eastAsia" w:ascii="方正黑体_GBK" w:hAnsi="方正黑体_GBK" w:eastAsia="方正黑体_GBK" w:cs="方正黑体_GBK"/>
          <w:b w:val="0"/>
        </w:rPr>
        <w:t>般公共预算财政拨款支出决算情况说明</w:t>
      </w:r>
      <w:bookmarkEnd w:id="28"/>
      <w:bookmarkEnd w:id="29"/>
    </w:p>
    <w:p>
      <w:pPr>
        <w:spacing w:line="560" w:lineRule="exact"/>
        <w:ind w:firstLine="642" w:firstLineChars="200"/>
        <w:outlineLvl w:val="2"/>
        <w:rPr>
          <w:rFonts w:ascii="方正楷体_GBK" w:hAnsi="方正楷体_GBK" w:eastAsia="方正楷体_GBK" w:cs="方正楷体_GBK"/>
          <w:b/>
          <w:sz w:val="32"/>
          <w:szCs w:val="32"/>
        </w:rPr>
      </w:pPr>
      <w:bookmarkStart w:id="30" w:name="_Toc15377210"/>
      <w:r>
        <w:rPr>
          <w:rFonts w:hint="eastAsia" w:ascii="方正楷体_GBK" w:hAnsi="方正楷体_GBK" w:eastAsia="方正楷体_GBK" w:cs="方正楷体_GBK"/>
          <w:b/>
          <w:sz w:val="32"/>
          <w:szCs w:val="32"/>
        </w:rPr>
        <w:t>（一）一般公共预算财政拨款支出决算总体情况</w:t>
      </w:r>
      <w:bookmarkEnd w:id="30"/>
    </w:p>
    <w:p>
      <w:pPr>
        <w:pStyle w:val="16"/>
        <w:adjustRightInd w:val="0"/>
        <w:snapToGrid w:val="0"/>
        <w:spacing w:line="560" w:lineRule="exact"/>
        <w:ind w:left="0" w:leftChars="0" w:firstLine="640" w:firstLineChars="200"/>
        <w:jc w:val="left"/>
        <w:rPr>
          <w:rFonts w:eastAsia="仿宋_GB2312" w:cs="仿宋_GB2312"/>
          <w:sz w:val="32"/>
          <w:szCs w:val="32"/>
        </w:rPr>
      </w:pPr>
      <w:r>
        <w:rPr>
          <w:rFonts w:eastAsia="仿宋_GB2312" w:cs="仿宋_GB2312"/>
          <w:sz w:val="32"/>
          <w:szCs w:val="32"/>
        </w:rPr>
        <w:t>202</w:t>
      </w:r>
      <w:r>
        <w:rPr>
          <w:rFonts w:hint="eastAsia" w:eastAsia="仿宋_GB2312" w:cs="仿宋_GB2312"/>
          <w:sz w:val="32"/>
          <w:szCs w:val="32"/>
        </w:rPr>
        <w:t>5</w:t>
      </w:r>
      <w:r>
        <w:rPr>
          <w:rFonts w:eastAsia="仿宋_GB2312" w:cs="仿宋_GB2312"/>
          <w:sz w:val="32"/>
          <w:szCs w:val="32"/>
        </w:rPr>
        <w:t>年度一般公共预算财政拨款支出</w:t>
      </w:r>
      <w:r>
        <w:rPr>
          <w:rFonts w:hint="eastAsia" w:eastAsia="仿宋_GB2312" w:cs="仿宋_GB2312"/>
          <w:sz w:val="32"/>
          <w:szCs w:val="32"/>
        </w:rPr>
        <w:t>3468.88</w:t>
      </w:r>
      <w:r>
        <w:rPr>
          <w:rFonts w:eastAsia="仿宋_GB2312" w:cs="仿宋_GB2312"/>
          <w:sz w:val="32"/>
          <w:szCs w:val="32"/>
        </w:rPr>
        <w:t>万元，占本年支出合计的100%。与202</w:t>
      </w:r>
      <w:r>
        <w:rPr>
          <w:rFonts w:hint="eastAsia" w:eastAsia="仿宋_GB2312" w:cs="仿宋_GB2312"/>
          <w:sz w:val="32"/>
          <w:szCs w:val="32"/>
        </w:rPr>
        <w:t>4</w:t>
      </w:r>
      <w:r>
        <w:rPr>
          <w:rFonts w:eastAsia="仿宋_GB2312" w:cs="仿宋_GB2312"/>
          <w:sz w:val="32"/>
          <w:szCs w:val="32"/>
        </w:rPr>
        <w:t>年度相比，一般公共预算财政拨款支出</w:t>
      </w:r>
      <w:r>
        <w:rPr>
          <w:rFonts w:hint="eastAsia" w:eastAsia="仿宋_GB2312" w:cs="仿宋_GB2312"/>
          <w:sz w:val="32"/>
          <w:szCs w:val="32"/>
        </w:rPr>
        <w:t>增加1148.99</w:t>
      </w:r>
      <w:r>
        <w:rPr>
          <w:rFonts w:eastAsia="仿宋_GB2312" w:cs="仿宋_GB2312"/>
          <w:sz w:val="32"/>
          <w:szCs w:val="32"/>
        </w:rPr>
        <w:t>万元，</w:t>
      </w:r>
      <w:r>
        <w:rPr>
          <w:rFonts w:hint="eastAsia" w:eastAsia="仿宋_GB2312" w:cs="仿宋_GB2312"/>
          <w:sz w:val="32"/>
          <w:szCs w:val="32"/>
        </w:rPr>
        <w:t>上升49.5</w:t>
      </w:r>
      <w:r>
        <w:rPr>
          <w:rFonts w:eastAsia="仿宋_GB2312" w:cs="仿宋_GB2312"/>
          <w:sz w:val="32"/>
          <w:szCs w:val="32"/>
        </w:rPr>
        <w:t>%。主要变动原因</w:t>
      </w:r>
      <w:r>
        <w:rPr>
          <w:rFonts w:hint="eastAsia" w:eastAsia="仿宋_GB2312" w:cs="仿宋_GB2312"/>
          <w:sz w:val="32"/>
          <w:szCs w:val="32"/>
        </w:rPr>
        <w:t>，机构改革，并入其他执法单位人员及增加了项目支出。</w:t>
      </w:r>
    </w:p>
    <w:p>
      <w:pPr>
        <w:pStyle w:val="2"/>
        <w:spacing w:before="0" w:after="0"/>
      </w:pPr>
      <w:r>
        <w:rPr>
          <w:rFonts w:hint="eastAsia" w:ascii="仿宋_GB2312" w:hAnsi="仿宋_GB2312" w:eastAsia="仿宋_GB2312" w:cs="仿宋_GB2312"/>
          <w:sz w:val="32"/>
          <w:szCs w:val="32"/>
        </w:rPr>
        <w:drawing>
          <wp:inline distT="0" distB="0" distL="0" distR="0">
            <wp:extent cx="5384800" cy="3710940"/>
            <wp:effectExtent l="4445" t="4445" r="20955" b="18415"/>
            <wp:docPr id="15" name="图表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pPr>
        <w:spacing w:line="560" w:lineRule="exact"/>
        <w:ind w:firstLine="300" w:firstLineChars="100"/>
        <w:jc w:val="center"/>
        <w:rPr>
          <w:rFonts w:eastAsia="方正仿宋_GBK"/>
          <w:sz w:val="30"/>
          <w:szCs w:val="30"/>
        </w:rPr>
      </w:pPr>
      <w:r>
        <w:rPr>
          <w:rFonts w:eastAsia="方正仿宋_GBK"/>
          <w:sz w:val="30"/>
          <w:szCs w:val="30"/>
        </w:rPr>
        <w:t>（图5：一般公共预算财政拨款支出决算变动情况）</w:t>
      </w:r>
    </w:p>
    <w:p>
      <w:pPr>
        <w:spacing w:line="560" w:lineRule="exact"/>
        <w:ind w:firstLine="642" w:firstLineChars="200"/>
        <w:outlineLvl w:val="2"/>
        <w:rPr>
          <w:rFonts w:ascii="方正楷体_GBK" w:hAnsi="方正楷体_GBK" w:eastAsia="方正楷体_GBK" w:cs="方正楷体_GBK"/>
          <w:b/>
          <w:sz w:val="32"/>
          <w:szCs w:val="32"/>
        </w:rPr>
      </w:pPr>
      <w:bookmarkStart w:id="31" w:name="_Toc15377211"/>
      <w:r>
        <w:rPr>
          <w:rFonts w:hint="eastAsia" w:ascii="方正楷体_GBK" w:hAnsi="方正楷体_GBK" w:eastAsia="方正楷体_GBK" w:cs="方正楷体_GBK"/>
          <w:b/>
          <w:sz w:val="32"/>
          <w:szCs w:val="32"/>
        </w:rPr>
        <w:t>（二）一般公共预算财政拨款支出决算结构情况</w:t>
      </w:r>
      <w:bookmarkEnd w:id="31"/>
    </w:p>
    <w:p>
      <w:pPr>
        <w:spacing w:line="560" w:lineRule="exact"/>
        <w:ind w:firstLine="640"/>
        <w:rPr>
          <w:rFonts w:eastAsia="方正仿宋_GBK"/>
          <w:sz w:val="32"/>
          <w:szCs w:val="32"/>
        </w:rPr>
      </w:pPr>
      <w:r>
        <w:rPr>
          <w:rFonts w:eastAsia="仿宋_GB2312" w:cs="仿宋_GB2312"/>
          <w:sz w:val="32"/>
          <w:szCs w:val="32"/>
        </w:rPr>
        <w:t>202</w:t>
      </w:r>
      <w:r>
        <w:rPr>
          <w:rFonts w:hint="eastAsia" w:eastAsia="仿宋_GB2312" w:cs="仿宋_GB2312"/>
          <w:sz w:val="32"/>
          <w:szCs w:val="32"/>
        </w:rPr>
        <w:t>5</w:t>
      </w:r>
      <w:r>
        <w:rPr>
          <w:rFonts w:eastAsia="方正仿宋_GBK"/>
          <w:sz w:val="32"/>
          <w:szCs w:val="32"/>
        </w:rPr>
        <w:t>年度一般公共预算财政拨款支出</w:t>
      </w:r>
      <w:r>
        <w:rPr>
          <w:rFonts w:hint="eastAsia" w:eastAsia="方正仿宋_GBK"/>
          <w:sz w:val="32"/>
          <w:szCs w:val="32"/>
        </w:rPr>
        <w:t>3468</w:t>
      </w:r>
      <w:r>
        <w:rPr>
          <w:rFonts w:eastAsia="方正仿宋_GBK"/>
          <w:sz w:val="32"/>
          <w:szCs w:val="32"/>
        </w:rPr>
        <w:t>.8</w:t>
      </w:r>
      <w:r>
        <w:rPr>
          <w:rFonts w:hint="eastAsia" w:eastAsia="方正仿宋_GBK"/>
          <w:sz w:val="32"/>
          <w:szCs w:val="32"/>
        </w:rPr>
        <w:t>8</w:t>
      </w:r>
      <w:r>
        <w:rPr>
          <w:rFonts w:eastAsia="方正仿宋_GBK"/>
          <w:sz w:val="32"/>
          <w:szCs w:val="32"/>
        </w:rPr>
        <w:t>万元，主要用于以下方面：</w:t>
      </w:r>
      <w:r>
        <w:rPr>
          <w:rFonts w:eastAsia="方正仿宋_GBK"/>
          <w:b/>
          <w:sz w:val="32"/>
          <w:szCs w:val="32"/>
        </w:rPr>
        <w:t>社会保障和就业</w:t>
      </w:r>
      <w:r>
        <w:rPr>
          <w:rFonts w:eastAsia="方正仿宋_GBK"/>
          <w:b/>
          <w:bCs/>
          <w:sz w:val="32"/>
          <w:szCs w:val="32"/>
        </w:rPr>
        <w:t>支出</w:t>
      </w:r>
      <w:r>
        <w:rPr>
          <w:rFonts w:hint="eastAsia" w:eastAsia="方正仿宋_GBK"/>
          <w:b/>
          <w:bCs/>
          <w:sz w:val="32"/>
          <w:szCs w:val="32"/>
        </w:rPr>
        <w:t>379</w:t>
      </w:r>
      <w:r>
        <w:rPr>
          <w:rFonts w:eastAsia="方正仿宋_GBK"/>
          <w:sz w:val="32"/>
          <w:szCs w:val="32"/>
        </w:rPr>
        <w:t>.</w:t>
      </w:r>
      <w:r>
        <w:rPr>
          <w:rFonts w:hint="eastAsia" w:eastAsia="方正仿宋_GBK"/>
          <w:sz w:val="32"/>
          <w:szCs w:val="32"/>
        </w:rPr>
        <w:t>2</w:t>
      </w:r>
      <w:r>
        <w:rPr>
          <w:rFonts w:eastAsia="方正仿宋_GBK"/>
          <w:sz w:val="32"/>
          <w:szCs w:val="32"/>
        </w:rPr>
        <w:t>万元，占1</w:t>
      </w:r>
      <w:r>
        <w:rPr>
          <w:rFonts w:hint="eastAsia" w:eastAsia="方正仿宋_GBK"/>
          <w:sz w:val="32"/>
          <w:szCs w:val="32"/>
        </w:rPr>
        <w:t>0</w:t>
      </w:r>
      <w:r>
        <w:rPr>
          <w:rFonts w:eastAsia="方正仿宋_GBK"/>
          <w:sz w:val="32"/>
          <w:szCs w:val="32"/>
        </w:rPr>
        <w:t>.</w:t>
      </w:r>
      <w:r>
        <w:rPr>
          <w:rFonts w:hint="eastAsia" w:eastAsia="方正仿宋_GBK"/>
          <w:sz w:val="32"/>
          <w:szCs w:val="32"/>
        </w:rPr>
        <w:t>9</w:t>
      </w:r>
      <w:r>
        <w:rPr>
          <w:rFonts w:eastAsia="方正仿宋_GBK"/>
          <w:sz w:val="32"/>
          <w:szCs w:val="32"/>
        </w:rPr>
        <w:t>%；</w:t>
      </w:r>
      <w:r>
        <w:rPr>
          <w:rFonts w:eastAsia="方正仿宋_GBK"/>
          <w:b/>
          <w:bCs/>
          <w:sz w:val="32"/>
          <w:szCs w:val="32"/>
        </w:rPr>
        <w:t>卫生健康支出</w:t>
      </w:r>
      <w:r>
        <w:rPr>
          <w:rFonts w:eastAsia="方正仿宋_GBK"/>
          <w:sz w:val="32"/>
          <w:szCs w:val="32"/>
        </w:rPr>
        <w:t>1</w:t>
      </w:r>
      <w:r>
        <w:rPr>
          <w:rFonts w:hint="eastAsia" w:eastAsia="方正仿宋_GBK"/>
          <w:sz w:val="32"/>
          <w:szCs w:val="32"/>
        </w:rPr>
        <w:t>66</w:t>
      </w:r>
      <w:r>
        <w:rPr>
          <w:rFonts w:eastAsia="方正仿宋_GBK"/>
          <w:sz w:val="32"/>
          <w:szCs w:val="32"/>
        </w:rPr>
        <w:t>.</w:t>
      </w:r>
      <w:r>
        <w:rPr>
          <w:rFonts w:hint="eastAsia" w:eastAsia="方正仿宋_GBK"/>
          <w:sz w:val="32"/>
          <w:szCs w:val="32"/>
        </w:rPr>
        <w:t>40</w:t>
      </w:r>
      <w:r>
        <w:rPr>
          <w:rFonts w:eastAsia="方正仿宋_GBK"/>
          <w:sz w:val="32"/>
          <w:szCs w:val="32"/>
        </w:rPr>
        <w:t>万元，占4.</w:t>
      </w:r>
      <w:r>
        <w:rPr>
          <w:rFonts w:hint="eastAsia" w:eastAsia="方正仿宋_GBK"/>
          <w:sz w:val="32"/>
          <w:szCs w:val="32"/>
        </w:rPr>
        <w:t>8</w:t>
      </w:r>
      <w:r>
        <w:rPr>
          <w:rFonts w:eastAsia="方正仿宋_GBK"/>
          <w:sz w:val="32"/>
          <w:szCs w:val="32"/>
        </w:rPr>
        <w:t>%；</w:t>
      </w:r>
      <w:r>
        <w:rPr>
          <w:rFonts w:eastAsia="方正仿宋_GBK"/>
          <w:b/>
          <w:bCs/>
          <w:sz w:val="32"/>
          <w:szCs w:val="32"/>
        </w:rPr>
        <w:t>住房保障支出</w:t>
      </w:r>
      <w:r>
        <w:rPr>
          <w:rFonts w:hint="eastAsia" w:eastAsia="方正仿宋_GBK"/>
          <w:b/>
          <w:bCs/>
          <w:sz w:val="32"/>
          <w:szCs w:val="32"/>
        </w:rPr>
        <w:t>208</w:t>
      </w:r>
      <w:r>
        <w:rPr>
          <w:rFonts w:eastAsia="方正仿宋_GBK"/>
          <w:sz w:val="32"/>
          <w:szCs w:val="32"/>
        </w:rPr>
        <w:t>.</w:t>
      </w:r>
      <w:r>
        <w:rPr>
          <w:rFonts w:hint="eastAsia" w:eastAsia="方正仿宋_GBK"/>
          <w:sz w:val="32"/>
          <w:szCs w:val="32"/>
        </w:rPr>
        <w:t>23</w:t>
      </w:r>
      <w:r>
        <w:rPr>
          <w:rFonts w:eastAsia="方正仿宋_GBK"/>
          <w:sz w:val="32"/>
          <w:szCs w:val="32"/>
        </w:rPr>
        <w:t>万元，占6%；</w:t>
      </w:r>
      <w:r>
        <w:rPr>
          <w:rFonts w:eastAsia="方正仿宋_GBK"/>
          <w:b/>
          <w:sz w:val="32"/>
          <w:szCs w:val="32"/>
        </w:rPr>
        <w:t>交通运输支出</w:t>
      </w:r>
      <w:r>
        <w:rPr>
          <w:rFonts w:hint="eastAsia" w:eastAsia="方正仿宋_GBK"/>
          <w:b/>
          <w:sz w:val="32"/>
          <w:szCs w:val="32"/>
        </w:rPr>
        <w:t>2715</w:t>
      </w:r>
      <w:r>
        <w:rPr>
          <w:rFonts w:eastAsia="方正仿宋_GBK"/>
          <w:sz w:val="32"/>
          <w:szCs w:val="32"/>
        </w:rPr>
        <w:t>.</w:t>
      </w:r>
      <w:r>
        <w:rPr>
          <w:rFonts w:hint="eastAsia" w:eastAsia="方正仿宋_GBK"/>
          <w:sz w:val="32"/>
          <w:szCs w:val="32"/>
        </w:rPr>
        <w:t>04</w:t>
      </w:r>
      <w:r>
        <w:rPr>
          <w:rFonts w:eastAsia="方正仿宋_GBK"/>
          <w:sz w:val="32"/>
          <w:szCs w:val="32"/>
        </w:rPr>
        <w:t>万元，占7</w:t>
      </w:r>
      <w:r>
        <w:rPr>
          <w:rFonts w:hint="eastAsia" w:eastAsia="方正仿宋_GBK"/>
          <w:sz w:val="32"/>
          <w:szCs w:val="32"/>
        </w:rPr>
        <w:t>8</w:t>
      </w:r>
      <w:r>
        <w:rPr>
          <w:rFonts w:eastAsia="方正仿宋_GBK"/>
          <w:sz w:val="32"/>
          <w:szCs w:val="32"/>
        </w:rPr>
        <w:t>.</w:t>
      </w:r>
      <w:r>
        <w:rPr>
          <w:rFonts w:hint="eastAsia" w:eastAsia="方正仿宋_GBK"/>
          <w:sz w:val="32"/>
          <w:szCs w:val="32"/>
        </w:rPr>
        <w:t>3</w:t>
      </w:r>
      <w:r>
        <w:rPr>
          <w:rFonts w:eastAsia="方正仿宋_GBK"/>
          <w:sz w:val="32"/>
          <w:szCs w:val="32"/>
        </w:rPr>
        <w:t>%。</w:t>
      </w:r>
    </w:p>
    <w:p>
      <w:pPr>
        <w:spacing w:line="600" w:lineRule="exact"/>
        <w:ind w:firstLine="640"/>
        <w:rPr>
          <w:rFonts w:eastAsia="仿宋_GB2312" w:cs="仿宋_GB2312"/>
          <w:sz w:val="32"/>
          <w:szCs w:val="32"/>
        </w:rPr>
      </w:pPr>
      <w:r>
        <w:rPr>
          <w:rFonts w:hint="eastAsia" w:eastAsia="仿宋_GB2312" w:cs="仿宋_GB2312"/>
          <w:sz w:val="32"/>
          <w:szCs w:val="32"/>
        </w:rPr>
        <w:drawing>
          <wp:anchor distT="0" distB="0" distL="114300" distR="114300" simplePos="0" relativeHeight="251661312" behindDoc="0" locked="0" layoutInCell="1" allowOverlap="1">
            <wp:simplePos x="0" y="0"/>
            <wp:positionH relativeFrom="column">
              <wp:posOffset>285750</wp:posOffset>
            </wp:positionH>
            <wp:positionV relativeFrom="paragraph">
              <wp:posOffset>333375</wp:posOffset>
            </wp:positionV>
            <wp:extent cx="4991100" cy="3524250"/>
            <wp:effectExtent l="19050" t="0" r="19050" b="0"/>
            <wp:wrapNone/>
            <wp:docPr id="17" name="图表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anchor>
        </w:drawing>
      </w:r>
    </w:p>
    <w:p>
      <w:pPr>
        <w:spacing w:line="600" w:lineRule="exact"/>
        <w:ind w:firstLine="640"/>
        <w:rPr>
          <w:rFonts w:eastAsia="仿宋_GB2312" w:cs="仿宋_GB2312"/>
          <w:sz w:val="32"/>
          <w:szCs w:val="32"/>
        </w:rPr>
      </w:pPr>
    </w:p>
    <w:p>
      <w:pPr>
        <w:spacing w:line="600" w:lineRule="exact"/>
        <w:ind w:firstLine="640"/>
        <w:rPr>
          <w:rFonts w:eastAsia="仿宋_GB2312" w:cs="仿宋_GB2312"/>
          <w:sz w:val="32"/>
          <w:szCs w:val="32"/>
        </w:rPr>
      </w:pPr>
    </w:p>
    <w:p>
      <w:pPr>
        <w:spacing w:line="600" w:lineRule="exact"/>
        <w:ind w:firstLine="640"/>
        <w:rPr>
          <w:rFonts w:eastAsia="仿宋_GB2312" w:cs="仿宋_GB2312"/>
          <w:sz w:val="32"/>
          <w:szCs w:val="32"/>
        </w:rPr>
      </w:pPr>
    </w:p>
    <w:p>
      <w:pPr>
        <w:spacing w:line="600" w:lineRule="exact"/>
        <w:ind w:firstLine="640"/>
        <w:rPr>
          <w:rFonts w:eastAsia="仿宋_GB2312" w:cs="仿宋_GB2312"/>
          <w:sz w:val="32"/>
          <w:szCs w:val="32"/>
        </w:rPr>
      </w:pPr>
    </w:p>
    <w:p>
      <w:pPr>
        <w:spacing w:line="600" w:lineRule="exact"/>
        <w:ind w:firstLine="640"/>
        <w:rPr>
          <w:rFonts w:eastAsia="仿宋_GB2312" w:cs="仿宋_GB2312"/>
          <w:sz w:val="32"/>
          <w:szCs w:val="32"/>
        </w:rPr>
      </w:pPr>
    </w:p>
    <w:p>
      <w:pPr>
        <w:spacing w:line="600" w:lineRule="exact"/>
        <w:ind w:firstLine="640"/>
        <w:rPr>
          <w:rFonts w:eastAsia="仿宋_GB2312" w:cs="仿宋_GB2312"/>
          <w:sz w:val="32"/>
          <w:szCs w:val="32"/>
        </w:rPr>
      </w:pPr>
    </w:p>
    <w:p>
      <w:pPr>
        <w:spacing w:line="600" w:lineRule="exact"/>
        <w:ind w:firstLine="640"/>
        <w:rPr>
          <w:rFonts w:eastAsia="仿宋_GB2312" w:cs="仿宋_GB2312"/>
          <w:sz w:val="32"/>
          <w:szCs w:val="32"/>
        </w:rPr>
      </w:pPr>
    </w:p>
    <w:p>
      <w:pPr>
        <w:spacing w:line="600" w:lineRule="exact"/>
        <w:ind w:firstLine="640"/>
        <w:rPr>
          <w:rFonts w:eastAsia="仿宋_GB2312" w:cs="仿宋_GB2312"/>
          <w:sz w:val="32"/>
          <w:szCs w:val="32"/>
        </w:rPr>
      </w:pPr>
    </w:p>
    <w:p>
      <w:pPr>
        <w:spacing w:line="600" w:lineRule="exact"/>
        <w:ind w:firstLine="640"/>
        <w:rPr>
          <w:rFonts w:eastAsia="仿宋_GB2312" w:cs="仿宋_GB2312"/>
          <w:sz w:val="32"/>
          <w:szCs w:val="32"/>
        </w:rPr>
      </w:pPr>
    </w:p>
    <w:p>
      <w:pPr>
        <w:spacing w:line="560" w:lineRule="exact"/>
        <w:ind w:firstLine="600" w:firstLineChars="200"/>
        <w:jc w:val="center"/>
        <w:rPr>
          <w:rFonts w:eastAsia="方正仿宋_GBK"/>
          <w:sz w:val="30"/>
          <w:szCs w:val="30"/>
        </w:rPr>
      </w:pPr>
      <w:r>
        <w:rPr>
          <w:rFonts w:eastAsia="方正仿宋_GBK"/>
          <w:sz w:val="30"/>
          <w:szCs w:val="30"/>
        </w:rPr>
        <w:t>（图6：一般公共预算财政拨款支出决算结构）</w:t>
      </w:r>
    </w:p>
    <w:p>
      <w:pPr>
        <w:spacing w:line="560" w:lineRule="exact"/>
        <w:ind w:firstLine="642" w:firstLineChars="200"/>
        <w:outlineLvl w:val="2"/>
        <w:rPr>
          <w:rFonts w:ascii="方正楷体_GBK" w:hAnsi="方正楷体_GBK" w:eastAsia="方正楷体_GBK" w:cs="方正楷体_GBK"/>
          <w:b/>
          <w:sz w:val="32"/>
          <w:szCs w:val="32"/>
        </w:rPr>
      </w:pPr>
      <w:bookmarkStart w:id="32" w:name="_Toc15377212"/>
      <w:r>
        <w:rPr>
          <w:rFonts w:hint="eastAsia" w:ascii="方正楷体_GBK" w:hAnsi="方正楷体_GBK" w:eastAsia="方正楷体_GBK" w:cs="方正楷体_GBK"/>
          <w:b/>
          <w:sz w:val="32"/>
          <w:szCs w:val="32"/>
        </w:rPr>
        <w:t>（三）一般公共预算财政拨款支出决算具体情况</w:t>
      </w:r>
      <w:bookmarkEnd w:id="32"/>
    </w:p>
    <w:p>
      <w:pPr>
        <w:spacing w:line="560" w:lineRule="exact"/>
        <w:ind w:firstLine="640" w:firstLineChars="200"/>
        <w:rPr>
          <w:rFonts w:eastAsia="方正仿宋_GBK"/>
          <w:sz w:val="32"/>
          <w:szCs w:val="32"/>
        </w:rPr>
      </w:pPr>
      <w:bookmarkStart w:id="33" w:name="_Toc15378460"/>
      <w:bookmarkStart w:id="34" w:name="_Toc15377213"/>
      <w:bookmarkStart w:id="35" w:name="_Toc15377444"/>
      <w:r>
        <w:rPr>
          <w:rFonts w:eastAsia="方正仿宋_GBK"/>
          <w:sz w:val="32"/>
          <w:szCs w:val="32"/>
        </w:rPr>
        <w:t>202</w:t>
      </w:r>
      <w:r>
        <w:rPr>
          <w:rFonts w:hint="eastAsia" w:eastAsia="方正仿宋_GBK"/>
          <w:sz w:val="32"/>
          <w:szCs w:val="32"/>
        </w:rPr>
        <w:t>5</w:t>
      </w:r>
      <w:r>
        <w:rPr>
          <w:rFonts w:eastAsia="方正仿宋_GBK"/>
          <w:sz w:val="32"/>
          <w:szCs w:val="32"/>
        </w:rPr>
        <w:t>年度一般公共预算财政拨款支出决算数为</w:t>
      </w:r>
      <w:r>
        <w:rPr>
          <w:rFonts w:hint="eastAsia" w:eastAsia="方正仿宋_GBK"/>
          <w:sz w:val="32"/>
          <w:szCs w:val="32"/>
        </w:rPr>
        <w:t>3468</w:t>
      </w:r>
      <w:r>
        <w:rPr>
          <w:rFonts w:eastAsia="方正仿宋_GBK"/>
          <w:sz w:val="32"/>
          <w:szCs w:val="32"/>
        </w:rPr>
        <w:t>.8</w:t>
      </w:r>
      <w:r>
        <w:rPr>
          <w:rFonts w:hint="eastAsia" w:eastAsia="方正仿宋_GBK"/>
          <w:sz w:val="32"/>
          <w:szCs w:val="32"/>
        </w:rPr>
        <w:t>8万元</w:t>
      </w:r>
      <w:r>
        <w:rPr>
          <w:rFonts w:eastAsia="方正仿宋_GBK"/>
          <w:sz w:val="32"/>
          <w:szCs w:val="32"/>
        </w:rPr>
        <w:t>，完成预算100%。其中：</w:t>
      </w:r>
      <w:bookmarkEnd w:id="33"/>
      <w:bookmarkEnd w:id="34"/>
      <w:bookmarkEnd w:id="35"/>
    </w:p>
    <w:p>
      <w:pPr>
        <w:spacing w:line="560" w:lineRule="exact"/>
        <w:ind w:firstLine="640" w:firstLineChars="200"/>
        <w:rPr>
          <w:rFonts w:eastAsia="方正仿宋_GBK"/>
          <w:sz w:val="32"/>
          <w:szCs w:val="32"/>
        </w:rPr>
      </w:pPr>
      <w:r>
        <w:rPr>
          <w:rFonts w:eastAsia="方正仿宋_GBK"/>
          <w:sz w:val="32"/>
          <w:szCs w:val="32"/>
        </w:rPr>
        <w:t>1.社会保障和就业支出（类）行政事业单位养老支出（款）行政单位离退休（项）:支出决算为</w:t>
      </w:r>
      <w:r>
        <w:rPr>
          <w:rFonts w:hint="eastAsia" w:eastAsia="方正仿宋_GBK"/>
          <w:sz w:val="32"/>
          <w:szCs w:val="32"/>
        </w:rPr>
        <w:t>73</w:t>
      </w:r>
      <w:r>
        <w:rPr>
          <w:rFonts w:eastAsia="方正仿宋_GBK"/>
          <w:sz w:val="32"/>
          <w:szCs w:val="32"/>
        </w:rPr>
        <w:t>.</w:t>
      </w:r>
      <w:r>
        <w:rPr>
          <w:rFonts w:hint="eastAsia" w:eastAsia="方正仿宋_GBK"/>
          <w:sz w:val="32"/>
          <w:szCs w:val="32"/>
        </w:rPr>
        <w:t>6</w:t>
      </w:r>
      <w:r>
        <w:rPr>
          <w:rFonts w:eastAsia="方正仿宋_GBK"/>
          <w:sz w:val="32"/>
          <w:szCs w:val="32"/>
        </w:rPr>
        <w:t>8万元，完成预算100%。决算数与预算数相等。</w:t>
      </w:r>
    </w:p>
    <w:p>
      <w:pPr>
        <w:spacing w:line="560" w:lineRule="exact"/>
        <w:ind w:firstLine="640" w:firstLineChars="200"/>
        <w:rPr>
          <w:rFonts w:eastAsia="方正仿宋_GBK"/>
          <w:color w:val="FF0000"/>
          <w:sz w:val="32"/>
          <w:szCs w:val="32"/>
        </w:rPr>
      </w:pPr>
      <w:r>
        <w:rPr>
          <w:rFonts w:eastAsia="方正仿宋_GBK"/>
          <w:sz w:val="32"/>
          <w:szCs w:val="32"/>
        </w:rPr>
        <w:t>2.社会保障和就业支出（类）行政事业单位养老支出（款）机关事业单位基本养老保险缴费支出（项）:支出决算为</w:t>
      </w:r>
      <w:r>
        <w:rPr>
          <w:rFonts w:hint="eastAsia" w:eastAsia="方正仿宋_GBK"/>
          <w:sz w:val="32"/>
          <w:szCs w:val="32"/>
        </w:rPr>
        <w:t>257</w:t>
      </w:r>
      <w:r>
        <w:rPr>
          <w:rFonts w:eastAsia="方正仿宋_GBK"/>
          <w:sz w:val="32"/>
          <w:szCs w:val="32"/>
        </w:rPr>
        <w:t>.</w:t>
      </w:r>
      <w:r>
        <w:rPr>
          <w:rFonts w:hint="eastAsia" w:eastAsia="方正仿宋_GBK"/>
          <w:sz w:val="32"/>
          <w:szCs w:val="32"/>
        </w:rPr>
        <w:t>75</w:t>
      </w:r>
      <w:r>
        <w:rPr>
          <w:rFonts w:eastAsia="方正仿宋_GBK"/>
          <w:sz w:val="32"/>
          <w:szCs w:val="32"/>
        </w:rPr>
        <w:t>万元，完成预算100%。决算数与预算数相等。</w:t>
      </w:r>
    </w:p>
    <w:p>
      <w:pPr>
        <w:spacing w:line="560" w:lineRule="exact"/>
        <w:ind w:firstLine="640" w:firstLineChars="200"/>
        <w:rPr>
          <w:rFonts w:eastAsia="方正仿宋_GBK"/>
          <w:sz w:val="32"/>
          <w:szCs w:val="32"/>
        </w:rPr>
      </w:pPr>
      <w:r>
        <w:rPr>
          <w:rFonts w:eastAsia="方正仿宋_GBK"/>
          <w:sz w:val="32"/>
          <w:szCs w:val="32"/>
        </w:rPr>
        <w:t>3.社会保障和就业支出（类）行政事业单位养老支出（款）机关事业单位职业年金缴费支出（项）:支出决算为</w:t>
      </w:r>
      <w:r>
        <w:rPr>
          <w:rFonts w:hint="eastAsia" w:eastAsia="方正仿宋_GBK"/>
          <w:sz w:val="32"/>
          <w:szCs w:val="32"/>
        </w:rPr>
        <w:t>47</w:t>
      </w:r>
      <w:r>
        <w:rPr>
          <w:rFonts w:eastAsia="方正仿宋_GBK"/>
          <w:sz w:val="32"/>
          <w:szCs w:val="32"/>
        </w:rPr>
        <w:t>.</w:t>
      </w:r>
      <w:r>
        <w:rPr>
          <w:rFonts w:hint="eastAsia" w:eastAsia="方正仿宋_GBK"/>
          <w:sz w:val="32"/>
          <w:szCs w:val="32"/>
        </w:rPr>
        <w:t>78</w:t>
      </w:r>
      <w:r>
        <w:rPr>
          <w:rFonts w:eastAsia="方正仿宋_GBK"/>
          <w:sz w:val="32"/>
          <w:szCs w:val="32"/>
        </w:rPr>
        <w:t>万元，完成预算100%。决算数与预算数相等。</w:t>
      </w:r>
    </w:p>
    <w:p>
      <w:pPr>
        <w:spacing w:line="560" w:lineRule="exact"/>
        <w:ind w:firstLine="640" w:firstLineChars="200"/>
        <w:rPr>
          <w:rFonts w:eastAsia="方正仿宋_GBK"/>
          <w:sz w:val="32"/>
          <w:szCs w:val="32"/>
        </w:rPr>
      </w:pPr>
      <w:r>
        <w:rPr>
          <w:rFonts w:eastAsia="方正仿宋_GBK"/>
          <w:bCs/>
          <w:sz w:val="32"/>
          <w:szCs w:val="32"/>
        </w:rPr>
        <w:t>4.</w:t>
      </w:r>
      <w:r>
        <w:rPr>
          <w:rFonts w:eastAsia="方正仿宋_GBK"/>
          <w:sz w:val="32"/>
          <w:szCs w:val="32"/>
        </w:rPr>
        <w:t>卫生健康（类）行政事业单位医疗（款）行政单位医疗（项）:支出决算为</w:t>
      </w:r>
      <w:r>
        <w:rPr>
          <w:rFonts w:hint="eastAsia" w:eastAsia="方正仿宋_GBK"/>
          <w:sz w:val="32"/>
          <w:szCs w:val="32"/>
        </w:rPr>
        <w:t>134.21</w:t>
      </w:r>
      <w:r>
        <w:rPr>
          <w:rFonts w:eastAsia="方正仿宋_GBK"/>
          <w:sz w:val="32"/>
          <w:szCs w:val="32"/>
        </w:rPr>
        <w:t>万元，完成预算100%，决算数与预算数相等。</w:t>
      </w:r>
    </w:p>
    <w:p>
      <w:pPr>
        <w:spacing w:line="560" w:lineRule="exact"/>
        <w:ind w:firstLine="640" w:firstLineChars="200"/>
        <w:rPr>
          <w:rFonts w:eastAsia="方正仿宋_GBK"/>
          <w:sz w:val="32"/>
          <w:szCs w:val="32"/>
        </w:rPr>
      </w:pPr>
      <w:r>
        <w:rPr>
          <w:rFonts w:eastAsia="方正仿宋_GBK"/>
          <w:bCs/>
          <w:sz w:val="32"/>
          <w:szCs w:val="32"/>
        </w:rPr>
        <w:t>5.</w:t>
      </w:r>
      <w:r>
        <w:rPr>
          <w:rFonts w:eastAsia="方正仿宋_GBK"/>
          <w:sz w:val="32"/>
          <w:szCs w:val="32"/>
        </w:rPr>
        <w:t>卫生健康（类）行政事业单位医疗（款）公务员医疗补助（项）:支出决算为1</w:t>
      </w:r>
      <w:r>
        <w:rPr>
          <w:rFonts w:hint="eastAsia" w:eastAsia="方正仿宋_GBK"/>
          <w:sz w:val="32"/>
          <w:szCs w:val="32"/>
        </w:rPr>
        <w:t>5</w:t>
      </w:r>
      <w:r>
        <w:rPr>
          <w:rFonts w:eastAsia="方正仿宋_GBK"/>
          <w:sz w:val="32"/>
          <w:szCs w:val="32"/>
        </w:rPr>
        <w:t>.</w:t>
      </w:r>
      <w:r>
        <w:rPr>
          <w:rFonts w:hint="eastAsia" w:eastAsia="方正仿宋_GBK"/>
          <w:sz w:val="32"/>
          <w:szCs w:val="32"/>
        </w:rPr>
        <w:t>36</w:t>
      </w:r>
      <w:r>
        <w:rPr>
          <w:rFonts w:eastAsia="方正仿宋_GBK"/>
          <w:sz w:val="32"/>
          <w:szCs w:val="32"/>
        </w:rPr>
        <w:t>万元，完成预算100%</w:t>
      </w:r>
      <w:r>
        <w:rPr>
          <w:rFonts w:eastAsia="方正仿宋_GBK"/>
          <w:b/>
          <w:sz w:val="32"/>
          <w:szCs w:val="32"/>
        </w:rPr>
        <w:t>，</w:t>
      </w:r>
      <w:r>
        <w:rPr>
          <w:rFonts w:eastAsia="方正仿宋_GBK"/>
          <w:sz w:val="32"/>
          <w:szCs w:val="32"/>
        </w:rPr>
        <w:t>决算数与预算数相等。</w:t>
      </w:r>
    </w:p>
    <w:p>
      <w:pPr>
        <w:spacing w:line="560" w:lineRule="exact"/>
        <w:ind w:firstLine="640" w:firstLineChars="200"/>
        <w:rPr>
          <w:rFonts w:eastAsia="方正仿宋_GBK"/>
          <w:sz w:val="32"/>
          <w:szCs w:val="32"/>
        </w:rPr>
      </w:pPr>
      <w:r>
        <w:rPr>
          <w:rFonts w:eastAsia="方正仿宋_GBK"/>
          <w:bCs/>
          <w:sz w:val="32"/>
          <w:szCs w:val="32"/>
        </w:rPr>
        <w:t>6.</w:t>
      </w:r>
      <w:r>
        <w:rPr>
          <w:rFonts w:eastAsia="方正仿宋_GBK"/>
          <w:sz w:val="32"/>
          <w:szCs w:val="32"/>
        </w:rPr>
        <w:t>卫生健康（类）行政事业单位医疗（款）其他行政事业单位医疗支出（项）:支出决算为1</w:t>
      </w:r>
      <w:r>
        <w:rPr>
          <w:rFonts w:hint="eastAsia" w:eastAsia="方正仿宋_GBK"/>
          <w:sz w:val="32"/>
          <w:szCs w:val="32"/>
        </w:rPr>
        <w:t>6</w:t>
      </w:r>
      <w:r>
        <w:rPr>
          <w:rFonts w:eastAsia="方正仿宋_GBK"/>
          <w:sz w:val="32"/>
          <w:szCs w:val="32"/>
        </w:rPr>
        <w:t>.</w:t>
      </w:r>
      <w:r>
        <w:rPr>
          <w:rFonts w:hint="eastAsia" w:eastAsia="方正仿宋_GBK"/>
          <w:sz w:val="32"/>
          <w:szCs w:val="32"/>
        </w:rPr>
        <w:t>8</w:t>
      </w:r>
      <w:r>
        <w:rPr>
          <w:rFonts w:eastAsia="方正仿宋_GBK"/>
          <w:sz w:val="32"/>
          <w:szCs w:val="32"/>
        </w:rPr>
        <w:t>4万元，完成预算100%，决算数与预算数相等。</w:t>
      </w:r>
    </w:p>
    <w:p>
      <w:pPr>
        <w:spacing w:line="560" w:lineRule="exact"/>
        <w:ind w:firstLine="640" w:firstLineChars="200"/>
        <w:rPr>
          <w:rFonts w:eastAsia="方正仿宋_GBK"/>
          <w:sz w:val="32"/>
          <w:szCs w:val="32"/>
        </w:rPr>
      </w:pPr>
      <w:r>
        <w:rPr>
          <w:rFonts w:eastAsia="方正仿宋_GBK"/>
          <w:sz w:val="32"/>
          <w:szCs w:val="32"/>
        </w:rPr>
        <w:t>7.交通运输支出（类）公路水路运输（款）行政运行（项）:支出决算为</w:t>
      </w:r>
      <w:r>
        <w:rPr>
          <w:rFonts w:hint="eastAsia" w:eastAsia="方正仿宋_GBK"/>
          <w:sz w:val="32"/>
          <w:szCs w:val="32"/>
        </w:rPr>
        <w:t>2509</w:t>
      </w:r>
      <w:r>
        <w:rPr>
          <w:rFonts w:eastAsia="方正仿宋_GBK"/>
          <w:sz w:val="32"/>
          <w:szCs w:val="32"/>
        </w:rPr>
        <w:t>.</w:t>
      </w:r>
      <w:r>
        <w:rPr>
          <w:rFonts w:hint="eastAsia" w:eastAsia="方正仿宋_GBK"/>
          <w:sz w:val="32"/>
          <w:szCs w:val="32"/>
        </w:rPr>
        <w:t>59</w:t>
      </w:r>
      <w:r>
        <w:rPr>
          <w:rFonts w:eastAsia="方正仿宋_GBK"/>
          <w:sz w:val="32"/>
          <w:szCs w:val="32"/>
        </w:rPr>
        <w:t>万元，完成预算100%。决算数与预算数相等。</w:t>
      </w:r>
    </w:p>
    <w:p>
      <w:pPr>
        <w:spacing w:line="560" w:lineRule="exact"/>
        <w:ind w:firstLine="640" w:firstLineChars="200"/>
        <w:rPr>
          <w:rFonts w:eastAsia="方正仿宋_GBK"/>
          <w:sz w:val="32"/>
          <w:szCs w:val="32"/>
        </w:rPr>
      </w:pPr>
      <w:r>
        <w:rPr>
          <w:rFonts w:eastAsia="方正仿宋_GBK"/>
          <w:sz w:val="32"/>
          <w:szCs w:val="32"/>
        </w:rPr>
        <w:t>8.交通运输支出（类）公路水路运输（款）公路运输管理（项）:支出决算为</w:t>
      </w:r>
      <w:r>
        <w:rPr>
          <w:rFonts w:hint="eastAsia" w:eastAsia="方正仿宋_GBK"/>
          <w:sz w:val="32"/>
          <w:szCs w:val="32"/>
        </w:rPr>
        <w:t>122</w:t>
      </w:r>
      <w:r>
        <w:rPr>
          <w:rFonts w:eastAsia="方正仿宋_GBK"/>
          <w:sz w:val="32"/>
          <w:szCs w:val="32"/>
        </w:rPr>
        <w:t>.</w:t>
      </w:r>
      <w:r>
        <w:rPr>
          <w:rFonts w:hint="eastAsia" w:eastAsia="方正仿宋_GBK"/>
          <w:sz w:val="32"/>
          <w:szCs w:val="32"/>
        </w:rPr>
        <w:t>45</w:t>
      </w:r>
      <w:r>
        <w:rPr>
          <w:rFonts w:eastAsia="方正仿宋_GBK"/>
          <w:sz w:val="32"/>
          <w:szCs w:val="32"/>
        </w:rPr>
        <w:t>万元，完成预算100%。决算数与预算数相等。</w:t>
      </w:r>
    </w:p>
    <w:p>
      <w:pPr>
        <w:spacing w:line="560" w:lineRule="exact"/>
        <w:ind w:firstLine="640" w:firstLineChars="200"/>
        <w:rPr>
          <w:rFonts w:eastAsia="方正仿宋_GBK"/>
          <w:sz w:val="32"/>
          <w:szCs w:val="32"/>
        </w:rPr>
      </w:pPr>
      <w:r>
        <w:rPr>
          <w:rFonts w:hint="eastAsia" w:eastAsia="方正仿宋_GBK"/>
          <w:sz w:val="32"/>
          <w:szCs w:val="32"/>
        </w:rPr>
        <w:t>9</w:t>
      </w:r>
      <w:r>
        <w:rPr>
          <w:rFonts w:eastAsia="方正仿宋_GBK"/>
          <w:sz w:val="32"/>
          <w:szCs w:val="32"/>
        </w:rPr>
        <w:t>.住房保障支出（类）住房改革支出（款）住房公积金（项）:支出决算为</w:t>
      </w:r>
      <w:r>
        <w:rPr>
          <w:rFonts w:hint="eastAsia" w:eastAsia="方正仿宋_GBK"/>
          <w:sz w:val="32"/>
          <w:szCs w:val="32"/>
        </w:rPr>
        <w:t>208</w:t>
      </w:r>
      <w:r>
        <w:rPr>
          <w:rFonts w:eastAsia="方正仿宋_GBK"/>
          <w:sz w:val="32"/>
          <w:szCs w:val="32"/>
        </w:rPr>
        <w:t>.</w:t>
      </w:r>
      <w:r>
        <w:rPr>
          <w:rFonts w:hint="eastAsia" w:eastAsia="方正仿宋_GBK"/>
          <w:sz w:val="32"/>
          <w:szCs w:val="32"/>
        </w:rPr>
        <w:t>23</w:t>
      </w:r>
      <w:r>
        <w:rPr>
          <w:rFonts w:eastAsia="方正仿宋_GBK"/>
          <w:sz w:val="32"/>
          <w:szCs w:val="32"/>
        </w:rPr>
        <w:t>万元，完成预算100%。决算数与预算数相等。</w:t>
      </w:r>
    </w:p>
    <w:p>
      <w:pPr>
        <w:tabs>
          <w:tab w:val="right" w:pos="8306"/>
        </w:tabs>
        <w:spacing w:line="560" w:lineRule="exact"/>
        <w:ind w:firstLine="640" w:firstLineChars="200"/>
        <w:outlineLvl w:val="1"/>
        <w:rPr>
          <w:rStyle w:val="32"/>
          <w:rFonts w:ascii="Times New Roman" w:hAnsi="Times New Roman" w:eastAsia="方正仿宋_GBK" w:cs="Times New Roman"/>
        </w:rPr>
      </w:pPr>
      <w:bookmarkStart w:id="36" w:name="_Toc15396608"/>
      <w:bookmarkStart w:id="37" w:name="_Toc15377214"/>
      <w:r>
        <w:rPr>
          <w:rFonts w:hint="eastAsia" w:ascii="方正黑体_GBK" w:hAnsi="方正黑体_GBK" w:eastAsia="方正黑体_GBK" w:cs="方正黑体_GBK"/>
          <w:sz w:val="32"/>
          <w:szCs w:val="32"/>
        </w:rPr>
        <w:t>六</w:t>
      </w:r>
      <w:r>
        <w:rPr>
          <w:rFonts w:hint="eastAsia" w:ascii="方正黑体_GBK" w:hAnsi="方正黑体_GBK" w:eastAsia="方正黑体_GBK" w:cs="方正黑体_GBK"/>
          <w:b/>
          <w:sz w:val="32"/>
          <w:szCs w:val="32"/>
        </w:rPr>
        <w:t>、一</w:t>
      </w:r>
      <w:r>
        <w:rPr>
          <w:rStyle w:val="32"/>
          <w:rFonts w:hint="eastAsia" w:ascii="方正黑体_GBK" w:hAnsi="方正黑体_GBK" w:eastAsia="方正黑体_GBK" w:cs="方正黑体_GBK"/>
          <w:b w:val="0"/>
        </w:rPr>
        <w:t>般公共预算财政拨款基本支出决算情况说明</w:t>
      </w:r>
      <w:bookmarkEnd w:id="36"/>
      <w:bookmarkEnd w:id="37"/>
      <w:r>
        <w:rPr>
          <w:rStyle w:val="32"/>
          <w:rFonts w:ascii="Times New Roman" w:hAnsi="Times New Roman" w:eastAsia="方正仿宋_GBK" w:cs="Times New Roman"/>
          <w:b w:val="0"/>
        </w:rPr>
        <w:tab/>
      </w:r>
    </w:p>
    <w:p>
      <w:pPr>
        <w:spacing w:line="560" w:lineRule="exact"/>
        <w:ind w:firstLine="640"/>
        <w:rPr>
          <w:rFonts w:eastAsia="方正仿宋_GBK"/>
          <w:sz w:val="32"/>
          <w:szCs w:val="32"/>
        </w:rPr>
      </w:pPr>
      <w:r>
        <w:rPr>
          <w:rFonts w:eastAsia="方正仿宋_GBK"/>
          <w:sz w:val="32"/>
          <w:szCs w:val="32"/>
        </w:rPr>
        <w:t>202</w:t>
      </w:r>
      <w:r>
        <w:rPr>
          <w:rFonts w:hint="eastAsia" w:eastAsia="方正仿宋_GBK"/>
          <w:sz w:val="32"/>
          <w:szCs w:val="32"/>
        </w:rPr>
        <w:t>5</w:t>
      </w:r>
      <w:r>
        <w:rPr>
          <w:rFonts w:eastAsia="方正仿宋_GBK"/>
          <w:sz w:val="32"/>
          <w:szCs w:val="32"/>
        </w:rPr>
        <w:t>年度一般公共预算财政拨款基本支出</w:t>
      </w:r>
      <w:r>
        <w:rPr>
          <w:rFonts w:hint="eastAsia" w:eastAsia="方正仿宋_GBK"/>
          <w:sz w:val="32"/>
          <w:szCs w:val="32"/>
        </w:rPr>
        <w:t>3263.43</w:t>
      </w:r>
      <w:r>
        <w:rPr>
          <w:rFonts w:eastAsia="方正仿宋_GBK"/>
          <w:sz w:val="32"/>
          <w:szCs w:val="32"/>
        </w:rPr>
        <w:t>万元，其中：人员经费</w:t>
      </w:r>
      <w:r>
        <w:rPr>
          <w:rFonts w:hint="eastAsia" w:eastAsia="方正仿宋_GBK"/>
          <w:sz w:val="32"/>
          <w:szCs w:val="32"/>
        </w:rPr>
        <w:t>3019</w:t>
      </w:r>
      <w:r>
        <w:rPr>
          <w:rFonts w:eastAsia="方正仿宋_GBK"/>
          <w:sz w:val="32"/>
          <w:szCs w:val="32"/>
        </w:rPr>
        <w:t>.3</w:t>
      </w:r>
      <w:r>
        <w:rPr>
          <w:rFonts w:hint="eastAsia" w:eastAsia="方正仿宋_GBK"/>
          <w:sz w:val="32"/>
          <w:szCs w:val="32"/>
        </w:rPr>
        <w:t>9</w:t>
      </w:r>
      <w:r>
        <w:rPr>
          <w:rFonts w:eastAsia="方正仿宋_GBK"/>
          <w:sz w:val="32"/>
          <w:szCs w:val="32"/>
        </w:rPr>
        <w:t>万元，主要包括：基本工资、津贴补贴、奖金、伙食补助费、绩效工资、机关事业单位基本养老保险缴费、职业年金缴费、其他社会保障缴费、其他工资福利支出、离休费、退休费、抚恤金、生活补助、医疗费补助、奖励金、住房公积金、其他对个人和家庭的补助支出等。</w:t>
      </w:r>
      <w:r>
        <w:rPr>
          <w:rFonts w:eastAsia="方正仿宋_GBK"/>
          <w:sz w:val="32"/>
          <w:szCs w:val="32"/>
        </w:rPr>
        <w:br w:type="textWrapping"/>
      </w:r>
      <w:r>
        <w:rPr>
          <w:rFonts w:eastAsia="方正仿宋_GBK"/>
          <w:sz w:val="32"/>
          <w:szCs w:val="32"/>
        </w:rPr>
        <w:t>　　公用经费2</w:t>
      </w:r>
      <w:r>
        <w:rPr>
          <w:rFonts w:hint="eastAsia" w:eastAsia="方正仿宋_GBK"/>
          <w:sz w:val="32"/>
          <w:szCs w:val="32"/>
        </w:rPr>
        <w:t>44</w:t>
      </w:r>
      <w:r>
        <w:rPr>
          <w:rFonts w:eastAsia="方正仿宋_GBK"/>
          <w:sz w:val="32"/>
          <w:szCs w:val="32"/>
        </w:rPr>
        <w:t>.</w:t>
      </w:r>
      <w:r>
        <w:rPr>
          <w:rFonts w:hint="eastAsia" w:eastAsia="方正仿宋_GBK"/>
          <w:sz w:val="32"/>
          <w:szCs w:val="32"/>
        </w:rPr>
        <w:t>04</w:t>
      </w:r>
      <w:r>
        <w:rPr>
          <w:rFonts w:eastAsia="方正仿宋_GBK"/>
          <w:sz w:val="32"/>
          <w:szCs w:val="32"/>
        </w:rPr>
        <w:t>万元，主要包括：办公费、印刷费、咨询费、手续费、水费、电费、邮电费、取暖费、物业管理费、差旅费、因公出国（境）费用、维修（护）费、租赁费、会议费、培训费、公务接待费、劳务费、委托业务费、工会经费、福利费、公务用车运行维护费、其他交通费、税金及附加费用、其他商品和服务支出、办公设备购置、专用设备购置、信息网络及软件购置更新、其他资本性支出等。</w:t>
      </w:r>
    </w:p>
    <w:p>
      <w:pPr>
        <w:spacing w:line="560" w:lineRule="exact"/>
        <w:ind w:firstLine="640" w:firstLineChars="200"/>
        <w:outlineLvl w:val="1"/>
        <w:rPr>
          <w:rStyle w:val="32"/>
          <w:rFonts w:ascii="方正黑体_GBK" w:hAnsi="方正黑体_GBK" w:eastAsia="方正黑体_GBK" w:cs="方正黑体_GBK"/>
          <w:b w:val="0"/>
        </w:rPr>
      </w:pPr>
      <w:bookmarkStart w:id="38" w:name="_Toc15377215"/>
      <w:bookmarkStart w:id="39" w:name="_Toc15396609"/>
      <w:r>
        <w:rPr>
          <w:rFonts w:hint="eastAsia" w:ascii="方正黑体_GBK" w:hAnsi="方正黑体_GBK" w:eastAsia="方正黑体_GBK" w:cs="方正黑体_GBK"/>
          <w:sz w:val="32"/>
          <w:szCs w:val="32"/>
        </w:rPr>
        <w:t>七、</w:t>
      </w:r>
      <w:r>
        <w:rPr>
          <w:rStyle w:val="32"/>
          <w:rFonts w:hint="eastAsia" w:ascii="方正黑体_GBK" w:hAnsi="方正黑体_GBK" w:eastAsia="方正黑体_GBK" w:cs="方正黑体_GBK"/>
          <w:b w:val="0"/>
        </w:rPr>
        <w:t>财政拨款</w:t>
      </w:r>
      <w:r>
        <w:rPr>
          <w:rStyle w:val="32"/>
          <w:rFonts w:hint="eastAsia" w:ascii="方正黑体_GBK" w:hAnsi="方正黑体_GBK" w:eastAsia="方正黑体_GBK" w:cs="方正黑体_GBK"/>
        </w:rPr>
        <w:t>“</w:t>
      </w:r>
      <w:r>
        <w:rPr>
          <w:rStyle w:val="32"/>
          <w:rFonts w:hint="eastAsia" w:ascii="方正黑体_GBK" w:hAnsi="方正黑体_GBK" w:eastAsia="方正黑体_GBK" w:cs="方正黑体_GBK"/>
          <w:b w:val="0"/>
        </w:rPr>
        <w:t>三公”经费支出决算情况说明</w:t>
      </w:r>
      <w:bookmarkEnd w:id="38"/>
      <w:bookmarkEnd w:id="39"/>
    </w:p>
    <w:p>
      <w:pPr>
        <w:spacing w:line="560" w:lineRule="exact"/>
        <w:ind w:firstLine="642" w:firstLineChars="200"/>
        <w:outlineLvl w:val="2"/>
        <w:rPr>
          <w:rFonts w:ascii="方正楷体_GBK" w:hAnsi="方正楷体_GBK" w:eastAsia="方正楷体_GBK" w:cs="方正楷体_GBK"/>
          <w:b/>
          <w:sz w:val="32"/>
          <w:szCs w:val="32"/>
        </w:rPr>
      </w:pPr>
      <w:bookmarkStart w:id="40" w:name="_Toc15377216"/>
      <w:r>
        <w:rPr>
          <w:rFonts w:hint="eastAsia" w:ascii="方正楷体_GBK" w:hAnsi="方正楷体_GBK" w:eastAsia="方正楷体_GBK" w:cs="方正楷体_GBK"/>
          <w:b/>
          <w:sz w:val="32"/>
          <w:szCs w:val="32"/>
        </w:rPr>
        <w:t>（一）财政拨款“三公”经费支出决算总体情况说明</w:t>
      </w:r>
      <w:bookmarkEnd w:id="40"/>
    </w:p>
    <w:p>
      <w:pPr>
        <w:spacing w:line="560" w:lineRule="exact"/>
        <w:ind w:firstLine="640"/>
        <w:rPr>
          <w:rFonts w:eastAsia="方正仿宋_GBK"/>
          <w:sz w:val="32"/>
          <w:szCs w:val="32"/>
        </w:rPr>
      </w:pPr>
      <w:r>
        <w:rPr>
          <w:rFonts w:eastAsia="方正仿宋_GBK"/>
          <w:sz w:val="32"/>
          <w:szCs w:val="32"/>
        </w:rPr>
        <w:t>202</w:t>
      </w:r>
      <w:r>
        <w:rPr>
          <w:rFonts w:hint="eastAsia" w:eastAsia="方正仿宋_GBK"/>
          <w:sz w:val="32"/>
          <w:szCs w:val="32"/>
        </w:rPr>
        <w:t>5</w:t>
      </w:r>
      <w:r>
        <w:rPr>
          <w:rFonts w:eastAsia="方正仿宋_GBK"/>
          <w:sz w:val="32"/>
          <w:szCs w:val="32"/>
        </w:rPr>
        <w:t>年度财政拨款“三公”经费支出决算为1</w:t>
      </w:r>
      <w:r>
        <w:rPr>
          <w:rFonts w:hint="eastAsia" w:eastAsia="方正仿宋_GBK"/>
          <w:sz w:val="32"/>
          <w:szCs w:val="32"/>
        </w:rPr>
        <w:t>0</w:t>
      </w:r>
      <w:r>
        <w:rPr>
          <w:rFonts w:eastAsia="方正仿宋_GBK"/>
          <w:sz w:val="32"/>
          <w:szCs w:val="32"/>
        </w:rPr>
        <w:t>.</w:t>
      </w:r>
      <w:r>
        <w:rPr>
          <w:rFonts w:hint="eastAsia" w:eastAsia="方正仿宋_GBK"/>
          <w:sz w:val="32"/>
          <w:szCs w:val="32"/>
        </w:rPr>
        <w:t>33</w:t>
      </w:r>
      <w:r>
        <w:rPr>
          <w:rFonts w:eastAsia="方正仿宋_GBK"/>
          <w:sz w:val="32"/>
          <w:szCs w:val="32"/>
        </w:rPr>
        <w:t>万元，完成预算</w:t>
      </w:r>
      <w:r>
        <w:rPr>
          <w:rFonts w:hint="eastAsia" w:eastAsia="方正仿宋_GBK"/>
          <w:sz w:val="32"/>
          <w:szCs w:val="32"/>
        </w:rPr>
        <w:t>10</w:t>
      </w:r>
      <w:r>
        <w:rPr>
          <w:rFonts w:eastAsia="方正仿宋_GBK"/>
          <w:sz w:val="32"/>
          <w:szCs w:val="32"/>
        </w:rPr>
        <w:t>0%，较上年度减少</w:t>
      </w:r>
      <w:r>
        <w:rPr>
          <w:rFonts w:hint="eastAsia" w:eastAsia="方正仿宋_GBK"/>
          <w:sz w:val="32"/>
          <w:szCs w:val="32"/>
        </w:rPr>
        <w:t>1</w:t>
      </w:r>
      <w:r>
        <w:rPr>
          <w:rFonts w:eastAsia="方正仿宋_GBK"/>
          <w:sz w:val="32"/>
          <w:szCs w:val="32"/>
        </w:rPr>
        <w:t>.</w:t>
      </w:r>
      <w:r>
        <w:rPr>
          <w:rFonts w:hint="eastAsia" w:eastAsia="方正仿宋_GBK"/>
          <w:sz w:val="32"/>
          <w:szCs w:val="32"/>
        </w:rPr>
        <w:t>35</w:t>
      </w:r>
      <w:r>
        <w:rPr>
          <w:rFonts w:eastAsia="方正仿宋_GBK"/>
          <w:sz w:val="32"/>
          <w:szCs w:val="32"/>
        </w:rPr>
        <w:t>万元，下降1</w:t>
      </w:r>
      <w:r>
        <w:rPr>
          <w:rFonts w:hint="eastAsia" w:eastAsia="方正仿宋_GBK"/>
          <w:sz w:val="32"/>
          <w:szCs w:val="32"/>
        </w:rPr>
        <w:t>1</w:t>
      </w:r>
      <w:r>
        <w:rPr>
          <w:rFonts w:eastAsia="方正仿宋_GBK"/>
          <w:sz w:val="32"/>
          <w:szCs w:val="32"/>
        </w:rPr>
        <w:t>.</w:t>
      </w:r>
      <w:r>
        <w:rPr>
          <w:rFonts w:hint="eastAsia" w:eastAsia="方正仿宋_GBK"/>
          <w:sz w:val="32"/>
          <w:szCs w:val="32"/>
        </w:rPr>
        <w:t>6</w:t>
      </w:r>
      <w:r>
        <w:rPr>
          <w:rFonts w:eastAsia="方正仿宋_GBK"/>
          <w:sz w:val="32"/>
          <w:szCs w:val="32"/>
        </w:rPr>
        <w:t>%</w:t>
      </w:r>
      <w:r>
        <w:rPr>
          <w:rFonts w:hint="eastAsia" w:eastAsia="方正仿宋_GBK"/>
          <w:sz w:val="32"/>
          <w:szCs w:val="32"/>
        </w:rPr>
        <w:t>，</w:t>
      </w:r>
      <w:r>
        <w:rPr>
          <w:rFonts w:eastAsia="方正仿宋_GBK"/>
          <w:sz w:val="32"/>
          <w:szCs w:val="32"/>
        </w:rPr>
        <w:t>主要原因是</w:t>
      </w:r>
      <w:bookmarkStart w:id="70" w:name="_GoBack"/>
      <w:bookmarkEnd w:id="70"/>
      <w:r>
        <w:rPr>
          <w:rFonts w:eastAsia="方正仿宋_GBK"/>
          <w:sz w:val="32"/>
          <w:szCs w:val="32"/>
        </w:rPr>
        <w:t>厉行节约，减少非必要支出。</w:t>
      </w:r>
      <w:bookmarkStart w:id="41" w:name="_Toc15377217"/>
    </w:p>
    <w:p>
      <w:pPr>
        <w:spacing w:line="560" w:lineRule="exact"/>
        <w:ind w:firstLine="642" w:firstLineChars="200"/>
        <w:outlineLvl w:val="2"/>
        <w:rPr>
          <w:rFonts w:ascii="方正楷体_GBK" w:hAnsi="方正楷体_GBK" w:eastAsia="方正楷体_GBK" w:cs="方正楷体_GBK"/>
          <w:b/>
          <w:sz w:val="32"/>
          <w:szCs w:val="32"/>
        </w:rPr>
      </w:pPr>
      <w:r>
        <w:rPr>
          <w:rFonts w:hint="eastAsia" w:ascii="方正楷体_GBK" w:hAnsi="方正楷体_GBK" w:eastAsia="方正楷体_GBK" w:cs="方正楷体_GBK"/>
          <w:b/>
          <w:sz w:val="32"/>
          <w:szCs w:val="32"/>
        </w:rPr>
        <w:t>（二）财政拨款“三公”经费支出决算具体情况说明</w:t>
      </w:r>
      <w:bookmarkEnd w:id="41"/>
    </w:p>
    <w:p>
      <w:pPr>
        <w:spacing w:line="560" w:lineRule="exact"/>
        <w:ind w:firstLine="640"/>
        <w:rPr>
          <w:rFonts w:eastAsia="方正仿宋_GBK"/>
          <w:sz w:val="32"/>
          <w:szCs w:val="32"/>
        </w:rPr>
      </w:pPr>
      <w:r>
        <w:rPr>
          <w:rFonts w:eastAsia="方正仿宋_GBK"/>
          <w:sz w:val="32"/>
          <w:szCs w:val="32"/>
        </w:rPr>
        <w:t>202</w:t>
      </w:r>
      <w:r>
        <w:rPr>
          <w:rFonts w:hint="eastAsia" w:eastAsia="方正仿宋_GBK"/>
          <w:sz w:val="32"/>
          <w:szCs w:val="32"/>
        </w:rPr>
        <w:t>5</w:t>
      </w:r>
      <w:r>
        <w:rPr>
          <w:rFonts w:eastAsia="方正仿宋_GBK"/>
          <w:sz w:val="32"/>
          <w:szCs w:val="32"/>
        </w:rPr>
        <w:t>年度“三公”经费财政拨款支出决算中，因公出国（境）费支出决算0万元，占0%；公务用车购置及运行维护费支出决算</w:t>
      </w:r>
      <w:r>
        <w:rPr>
          <w:rFonts w:hint="eastAsia" w:eastAsia="方正仿宋_GBK"/>
          <w:sz w:val="32"/>
          <w:szCs w:val="32"/>
        </w:rPr>
        <w:t>10.28</w:t>
      </w:r>
      <w:r>
        <w:rPr>
          <w:rFonts w:eastAsia="方正仿宋_GBK"/>
          <w:sz w:val="32"/>
          <w:szCs w:val="32"/>
        </w:rPr>
        <w:t>万元，占</w:t>
      </w:r>
      <w:r>
        <w:rPr>
          <w:rFonts w:hint="eastAsia" w:eastAsia="方正仿宋_GBK"/>
          <w:sz w:val="32"/>
          <w:szCs w:val="32"/>
        </w:rPr>
        <w:t>99.5</w:t>
      </w:r>
      <w:r>
        <w:rPr>
          <w:rFonts w:eastAsia="方正仿宋_GBK"/>
          <w:sz w:val="32"/>
          <w:szCs w:val="32"/>
        </w:rPr>
        <w:t>%；公务接待费支出决算0.</w:t>
      </w:r>
      <w:r>
        <w:rPr>
          <w:rFonts w:hint="eastAsia" w:eastAsia="方正仿宋_GBK"/>
          <w:sz w:val="32"/>
          <w:szCs w:val="32"/>
        </w:rPr>
        <w:t>0</w:t>
      </w:r>
      <w:r>
        <w:rPr>
          <w:rFonts w:eastAsia="方正仿宋_GBK"/>
          <w:sz w:val="32"/>
          <w:szCs w:val="32"/>
        </w:rPr>
        <w:t>5万元，占0.5%。具体情况如下：</w:t>
      </w:r>
    </w:p>
    <w:p>
      <w:pPr>
        <w:spacing w:line="600" w:lineRule="exact"/>
        <w:ind w:firstLine="640"/>
        <w:rPr>
          <w:rFonts w:eastAsia="仿宋_GB2312" w:cs="仿宋_GB2312"/>
          <w:sz w:val="32"/>
          <w:szCs w:val="32"/>
        </w:rPr>
      </w:pPr>
    </w:p>
    <w:p>
      <w:pPr>
        <w:spacing w:line="600" w:lineRule="exact"/>
        <w:ind w:firstLine="640"/>
        <w:rPr>
          <w:rFonts w:eastAsia="仿宋_GB2312" w:cs="仿宋_GB2312"/>
          <w:sz w:val="32"/>
          <w:szCs w:val="32"/>
        </w:rPr>
      </w:pPr>
    </w:p>
    <w:p>
      <w:pPr>
        <w:spacing w:line="600" w:lineRule="exact"/>
        <w:ind w:firstLine="640"/>
        <w:rPr>
          <w:rFonts w:eastAsia="仿宋_GB2312" w:cs="仿宋_GB2312"/>
          <w:sz w:val="32"/>
          <w:szCs w:val="32"/>
        </w:rPr>
      </w:pPr>
      <w:r>
        <w:rPr>
          <w:rFonts w:hint="eastAsia" w:eastAsia="仿宋_GB2312" w:cs="仿宋_GB2312"/>
          <w:sz w:val="32"/>
          <w:szCs w:val="32"/>
        </w:rPr>
        <w:drawing>
          <wp:anchor distT="0" distB="0" distL="114300" distR="114300" simplePos="0" relativeHeight="251662336" behindDoc="0" locked="0" layoutInCell="1" allowOverlap="1">
            <wp:simplePos x="0" y="0"/>
            <wp:positionH relativeFrom="column">
              <wp:posOffset>28575</wp:posOffset>
            </wp:positionH>
            <wp:positionV relativeFrom="paragraph">
              <wp:posOffset>-104775</wp:posOffset>
            </wp:positionV>
            <wp:extent cx="5274310" cy="3076575"/>
            <wp:effectExtent l="19050" t="0" r="21590" b="0"/>
            <wp:wrapNone/>
            <wp:docPr id="19" name="图表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anchor>
        </w:drawing>
      </w:r>
    </w:p>
    <w:p>
      <w:pPr>
        <w:spacing w:line="600" w:lineRule="exact"/>
        <w:ind w:firstLine="640"/>
        <w:rPr>
          <w:rFonts w:eastAsia="仿宋_GB2312" w:cs="仿宋_GB2312"/>
          <w:sz w:val="32"/>
          <w:szCs w:val="32"/>
        </w:rPr>
      </w:pPr>
    </w:p>
    <w:p>
      <w:pPr>
        <w:spacing w:line="600" w:lineRule="exact"/>
        <w:ind w:firstLine="640"/>
        <w:rPr>
          <w:rFonts w:eastAsia="仿宋_GB2312" w:cs="仿宋_GB2312"/>
          <w:sz w:val="32"/>
          <w:szCs w:val="32"/>
        </w:rPr>
      </w:pPr>
    </w:p>
    <w:p>
      <w:pPr>
        <w:spacing w:line="600" w:lineRule="exact"/>
        <w:ind w:firstLine="640"/>
        <w:rPr>
          <w:rFonts w:eastAsia="仿宋_GB2312" w:cs="仿宋_GB2312"/>
          <w:sz w:val="32"/>
          <w:szCs w:val="32"/>
        </w:rPr>
      </w:pPr>
    </w:p>
    <w:p>
      <w:pPr>
        <w:spacing w:line="600" w:lineRule="exact"/>
        <w:ind w:firstLine="640"/>
        <w:rPr>
          <w:rFonts w:eastAsia="仿宋_GB2312" w:cs="仿宋_GB2312"/>
          <w:sz w:val="32"/>
          <w:szCs w:val="32"/>
        </w:rPr>
      </w:pPr>
    </w:p>
    <w:p>
      <w:pPr>
        <w:spacing w:line="600" w:lineRule="exact"/>
        <w:ind w:firstLine="640"/>
        <w:rPr>
          <w:rFonts w:eastAsia="仿宋_GB2312" w:cs="仿宋_GB2312"/>
          <w:sz w:val="32"/>
          <w:szCs w:val="32"/>
        </w:rPr>
      </w:pPr>
    </w:p>
    <w:p>
      <w:pPr>
        <w:spacing w:line="600" w:lineRule="exact"/>
        <w:ind w:firstLine="640"/>
        <w:rPr>
          <w:rFonts w:eastAsia="仿宋_GB2312" w:cs="仿宋_GB2312"/>
          <w:sz w:val="32"/>
          <w:szCs w:val="32"/>
        </w:rPr>
      </w:pPr>
    </w:p>
    <w:p>
      <w:pPr>
        <w:spacing w:line="600" w:lineRule="exact"/>
        <w:ind w:firstLine="640"/>
        <w:rPr>
          <w:rFonts w:eastAsia="仿宋_GB2312" w:cs="仿宋_GB2312"/>
          <w:sz w:val="32"/>
          <w:szCs w:val="32"/>
        </w:rPr>
      </w:pPr>
    </w:p>
    <w:p>
      <w:pPr>
        <w:spacing w:line="600" w:lineRule="exact"/>
        <w:jc w:val="center"/>
        <w:rPr>
          <w:rFonts w:eastAsia="仿宋_GB2312" w:cs="仿宋_GB2312"/>
          <w:sz w:val="30"/>
          <w:szCs w:val="30"/>
        </w:rPr>
      </w:pPr>
      <w:r>
        <w:rPr>
          <w:rFonts w:hint="eastAsia" w:eastAsia="仿宋_GB2312" w:cs="仿宋_GB2312"/>
          <w:sz w:val="30"/>
          <w:szCs w:val="30"/>
        </w:rPr>
        <w:t>（图7：“三公”经费财政拨款支出结构）</w:t>
      </w:r>
    </w:p>
    <w:p>
      <w:pPr>
        <w:spacing w:line="560" w:lineRule="exact"/>
        <w:ind w:firstLine="640"/>
        <w:rPr>
          <w:rFonts w:eastAsia="方正仿宋_GBK"/>
          <w:sz w:val="32"/>
          <w:szCs w:val="32"/>
        </w:rPr>
      </w:pPr>
      <w:r>
        <w:rPr>
          <w:rFonts w:eastAsia="方正仿宋_GBK"/>
          <w:b/>
          <w:bCs/>
          <w:sz w:val="32"/>
          <w:szCs w:val="32"/>
        </w:rPr>
        <w:t>1.因公出国（境）经费支出0万元，完成预算0%。</w:t>
      </w:r>
      <w:r>
        <w:rPr>
          <w:rFonts w:eastAsia="方正仿宋_GBK"/>
          <w:sz w:val="32"/>
          <w:szCs w:val="32"/>
        </w:rPr>
        <w:t>全年安排因公出国（境）团组0次，出国（境）0人。</w:t>
      </w:r>
    </w:p>
    <w:p>
      <w:pPr>
        <w:spacing w:line="560" w:lineRule="exact"/>
        <w:ind w:firstLine="640"/>
        <w:rPr>
          <w:rFonts w:eastAsia="方正仿宋_GBK"/>
          <w:sz w:val="32"/>
          <w:szCs w:val="32"/>
        </w:rPr>
      </w:pPr>
      <w:r>
        <w:rPr>
          <w:rFonts w:eastAsia="方正仿宋_GBK"/>
          <w:b/>
          <w:bCs/>
          <w:sz w:val="32"/>
          <w:szCs w:val="32"/>
        </w:rPr>
        <w:t>2.公务用车购置及运行维护费支出1</w:t>
      </w:r>
      <w:r>
        <w:rPr>
          <w:rFonts w:hint="eastAsia" w:eastAsia="方正仿宋_GBK"/>
          <w:b/>
          <w:bCs/>
          <w:sz w:val="32"/>
          <w:szCs w:val="32"/>
        </w:rPr>
        <w:t>0</w:t>
      </w:r>
      <w:r>
        <w:rPr>
          <w:rFonts w:eastAsia="方正仿宋_GBK"/>
          <w:b/>
          <w:bCs/>
          <w:sz w:val="32"/>
          <w:szCs w:val="32"/>
        </w:rPr>
        <w:t>.</w:t>
      </w:r>
      <w:r>
        <w:rPr>
          <w:rFonts w:hint="eastAsia" w:eastAsia="方正仿宋_GBK"/>
          <w:b/>
          <w:bCs/>
          <w:sz w:val="32"/>
          <w:szCs w:val="32"/>
        </w:rPr>
        <w:t>28</w:t>
      </w:r>
      <w:r>
        <w:rPr>
          <w:rFonts w:eastAsia="方正仿宋_GBK"/>
          <w:b/>
          <w:bCs/>
          <w:sz w:val="32"/>
          <w:szCs w:val="32"/>
        </w:rPr>
        <w:t>万元，完成预算</w:t>
      </w:r>
      <w:r>
        <w:rPr>
          <w:rFonts w:hint="eastAsia" w:eastAsia="方正仿宋_GBK"/>
          <w:b/>
          <w:bCs/>
          <w:sz w:val="32"/>
          <w:szCs w:val="32"/>
        </w:rPr>
        <w:t>100</w:t>
      </w:r>
      <w:r>
        <w:rPr>
          <w:rFonts w:eastAsia="方正仿宋_GBK"/>
          <w:b/>
          <w:bCs/>
          <w:sz w:val="32"/>
          <w:szCs w:val="32"/>
        </w:rPr>
        <w:t>%。</w:t>
      </w:r>
      <w:r>
        <w:rPr>
          <w:rFonts w:eastAsia="方正仿宋_GBK"/>
          <w:sz w:val="32"/>
          <w:szCs w:val="32"/>
        </w:rPr>
        <w:t>公务用车购置及运行维护费支出决算比202</w:t>
      </w:r>
      <w:r>
        <w:rPr>
          <w:rFonts w:hint="eastAsia" w:eastAsia="方正仿宋_GBK"/>
          <w:sz w:val="32"/>
          <w:szCs w:val="32"/>
        </w:rPr>
        <w:t>4</w:t>
      </w:r>
      <w:r>
        <w:rPr>
          <w:rFonts w:eastAsia="方正仿宋_GBK"/>
          <w:sz w:val="32"/>
          <w:szCs w:val="32"/>
        </w:rPr>
        <w:t>年度减少0.9万元，下降8%。主要原因是厉行节约，减少非必要公务交通出行</w:t>
      </w:r>
      <w:r>
        <w:rPr>
          <w:rFonts w:hint="eastAsia" w:eastAsia="方正仿宋_GBK"/>
          <w:sz w:val="32"/>
          <w:szCs w:val="32"/>
        </w:rPr>
        <w:t>,</w:t>
      </w:r>
      <w:r>
        <w:rPr>
          <w:rFonts w:eastAsia="方正仿宋_GBK"/>
          <w:sz w:val="32"/>
          <w:szCs w:val="32"/>
        </w:rPr>
        <w:t>公务用车购置支出</w:t>
      </w:r>
      <w:r>
        <w:rPr>
          <w:rFonts w:hint="eastAsia" w:eastAsia="方正仿宋_GBK"/>
          <w:sz w:val="32"/>
          <w:szCs w:val="32"/>
        </w:rPr>
        <w:t>0</w:t>
      </w:r>
      <w:r>
        <w:rPr>
          <w:rFonts w:eastAsia="方正仿宋_GBK"/>
          <w:sz w:val="32"/>
          <w:szCs w:val="32"/>
        </w:rPr>
        <w:t>万元。</w:t>
      </w:r>
    </w:p>
    <w:p>
      <w:pPr>
        <w:spacing w:line="560" w:lineRule="exact"/>
        <w:ind w:firstLine="640" w:firstLineChars="200"/>
        <w:rPr>
          <w:rFonts w:eastAsia="方正仿宋_GBK"/>
          <w:sz w:val="32"/>
          <w:szCs w:val="32"/>
        </w:rPr>
      </w:pPr>
      <w:r>
        <w:rPr>
          <w:rFonts w:eastAsia="方正仿宋_GBK"/>
          <w:sz w:val="32"/>
          <w:szCs w:val="32"/>
        </w:rPr>
        <w:t>公务用车运行维护费支出1</w:t>
      </w:r>
      <w:r>
        <w:rPr>
          <w:rFonts w:hint="eastAsia" w:eastAsia="方正仿宋_GBK"/>
          <w:sz w:val="32"/>
          <w:szCs w:val="32"/>
        </w:rPr>
        <w:t>0</w:t>
      </w:r>
      <w:r>
        <w:rPr>
          <w:rFonts w:eastAsia="方正仿宋_GBK"/>
          <w:sz w:val="32"/>
          <w:szCs w:val="32"/>
        </w:rPr>
        <w:t>.</w:t>
      </w:r>
      <w:r>
        <w:rPr>
          <w:rFonts w:hint="eastAsia" w:eastAsia="方正仿宋_GBK"/>
          <w:sz w:val="32"/>
          <w:szCs w:val="32"/>
        </w:rPr>
        <w:t>28</w:t>
      </w:r>
      <w:r>
        <w:rPr>
          <w:rFonts w:eastAsia="方正仿宋_GBK"/>
          <w:sz w:val="32"/>
          <w:szCs w:val="32"/>
        </w:rPr>
        <w:t>万元。主要用于交通运输综合行政执法工作等所需的公务用车燃料费、维修费、过路过桥费、保险费等支出。</w:t>
      </w:r>
    </w:p>
    <w:p>
      <w:pPr>
        <w:spacing w:line="560" w:lineRule="exact"/>
        <w:ind w:firstLine="640"/>
        <w:rPr>
          <w:rFonts w:eastAsia="方正仿宋_GBK"/>
          <w:sz w:val="32"/>
          <w:szCs w:val="32"/>
        </w:rPr>
      </w:pPr>
      <w:r>
        <w:rPr>
          <w:rFonts w:eastAsia="方正仿宋_GBK"/>
          <w:b/>
          <w:bCs/>
          <w:sz w:val="32"/>
          <w:szCs w:val="32"/>
        </w:rPr>
        <w:t>3.公务接待费支出0.</w:t>
      </w:r>
      <w:r>
        <w:rPr>
          <w:rFonts w:hint="eastAsia" w:eastAsia="方正仿宋_GBK"/>
          <w:b/>
          <w:bCs/>
          <w:sz w:val="32"/>
          <w:szCs w:val="32"/>
        </w:rPr>
        <w:t>0</w:t>
      </w:r>
      <w:r>
        <w:rPr>
          <w:rFonts w:eastAsia="方正仿宋_GBK"/>
          <w:b/>
          <w:bCs/>
          <w:sz w:val="32"/>
          <w:szCs w:val="32"/>
        </w:rPr>
        <w:t>5万元，完成预算</w:t>
      </w:r>
      <w:r>
        <w:rPr>
          <w:rFonts w:hint="eastAsia" w:eastAsia="方正仿宋_GBK"/>
          <w:b/>
          <w:bCs/>
          <w:sz w:val="32"/>
          <w:szCs w:val="32"/>
        </w:rPr>
        <w:t>100</w:t>
      </w:r>
      <w:r>
        <w:rPr>
          <w:rFonts w:eastAsia="方正仿宋_GBK"/>
          <w:b/>
          <w:bCs/>
          <w:sz w:val="32"/>
          <w:szCs w:val="32"/>
        </w:rPr>
        <w:t>%。</w:t>
      </w:r>
      <w:r>
        <w:rPr>
          <w:rFonts w:eastAsia="方正仿宋_GBK"/>
          <w:sz w:val="32"/>
          <w:szCs w:val="32"/>
        </w:rPr>
        <w:t>公务接待费支出决算比202</w:t>
      </w:r>
      <w:r>
        <w:rPr>
          <w:rFonts w:hint="eastAsia" w:eastAsia="方正仿宋_GBK"/>
          <w:sz w:val="32"/>
          <w:szCs w:val="32"/>
        </w:rPr>
        <w:t>4</w:t>
      </w:r>
      <w:r>
        <w:rPr>
          <w:rFonts w:eastAsia="方正仿宋_GBK"/>
          <w:sz w:val="32"/>
          <w:szCs w:val="32"/>
        </w:rPr>
        <w:t>年度减少</w:t>
      </w:r>
      <w:r>
        <w:rPr>
          <w:rFonts w:hint="eastAsia" w:eastAsia="方正仿宋_GBK"/>
          <w:sz w:val="32"/>
          <w:szCs w:val="32"/>
        </w:rPr>
        <w:t>0</w:t>
      </w:r>
      <w:r>
        <w:rPr>
          <w:rFonts w:eastAsia="方正仿宋_GBK"/>
          <w:sz w:val="32"/>
          <w:szCs w:val="32"/>
        </w:rPr>
        <w:t>.</w:t>
      </w:r>
      <w:r>
        <w:rPr>
          <w:rFonts w:hint="eastAsia" w:eastAsia="方正仿宋_GBK"/>
          <w:sz w:val="32"/>
          <w:szCs w:val="32"/>
        </w:rPr>
        <w:t>46</w:t>
      </w:r>
      <w:r>
        <w:rPr>
          <w:rFonts w:eastAsia="方正仿宋_GBK"/>
          <w:sz w:val="32"/>
          <w:szCs w:val="32"/>
        </w:rPr>
        <w:t>万元，下降</w:t>
      </w:r>
      <w:r>
        <w:rPr>
          <w:rFonts w:hint="eastAsia" w:eastAsia="方正仿宋_GBK"/>
          <w:sz w:val="32"/>
          <w:szCs w:val="32"/>
        </w:rPr>
        <w:t>90.</w:t>
      </w:r>
      <w:r>
        <w:rPr>
          <w:rFonts w:eastAsia="方正仿宋_GBK"/>
          <w:sz w:val="32"/>
          <w:szCs w:val="32"/>
        </w:rPr>
        <w:t>3%。主要原因是厉行节约减少非必要接待。其中：</w:t>
      </w:r>
    </w:p>
    <w:p>
      <w:pPr>
        <w:spacing w:line="560" w:lineRule="exact"/>
        <w:ind w:firstLine="640"/>
        <w:rPr>
          <w:rFonts w:eastAsia="方正仿宋_GBK"/>
          <w:sz w:val="32"/>
          <w:szCs w:val="32"/>
        </w:rPr>
      </w:pPr>
      <w:r>
        <w:rPr>
          <w:rFonts w:eastAsia="方正仿宋_GBK"/>
          <w:sz w:val="32"/>
          <w:szCs w:val="32"/>
        </w:rPr>
        <w:t>国内公务接待支出0.</w:t>
      </w:r>
      <w:r>
        <w:rPr>
          <w:rFonts w:hint="eastAsia" w:eastAsia="方正仿宋_GBK"/>
          <w:sz w:val="32"/>
          <w:szCs w:val="32"/>
        </w:rPr>
        <w:t>0</w:t>
      </w:r>
      <w:r>
        <w:rPr>
          <w:rFonts w:eastAsia="方正仿宋_GBK"/>
          <w:sz w:val="32"/>
          <w:szCs w:val="32"/>
        </w:rPr>
        <w:t>5万元，主要用于执行公务、开展业务活动开支的交通费、住宿费、用餐费等。国内公务接待</w:t>
      </w:r>
      <w:r>
        <w:rPr>
          <w:rFonts w:hint="eastAsia" w:eastAsia="方正仿宋_GBK"/>
          <w:sz w:val="32"/>
          <w:szCs w:val="32"/>
        </w:rPr>
        <w:t>1</w:t>
      </w:r>
      <w:r>
        <w:rPr>
          <w:rFonts w:eastAsia="方正仿宋_GBK"/>
          <w:sz w:val="32"/>
          <w:szCs w:val="32"/>
        </w:rPr>
        <w:t>批次，</w:t>
      </w:r>
      <w:r>
        <w:rPr>
          <w:rFonts w:hint="eastAsia" w:eastAsia="方正仿宋_GBK"/>
          <w:sz w:val="32"/>
          <w:szCs w:val="32"/>
        </w:rPr>
        <w:t>2</w:t>
      </w:r>
      <w:r>
        <w:rPr>
          <w:rFonts w:eastAsia="方正仿宋_GBK"/>
          <w:sz w:val="32"/>
          <w:szCs w:val="32"/>
        </w:rPr>
        <w:t>人（不包括陪同人员），共计支出0.</w:t>
      </w:r>
      <w:r>
        <w:rPr>
          <w:rFonts w:hint="eastAsia" w:eastAsia="方正仿宋_GBK"/>
          <w:sz w:val="32"/>
          <w:szCs w:val="32"/>
        </w:rPr>
        <w:t>05</w:t>
      </w:r>
      <w:r>
        <w:rPr>
          <w:rFonts w:eastAsia="方正仿宋_GBK"/>
          <w:sz w:val="32"/>
          <w:szCs w:val="32"/>
        </w:rPr>
        <w:t>万元，具体内容包括：</w:t>
      </w:r>
      <w:r>
        <w:rPr>
          <w:rFonts w:hint="eastAsia" w:eastAsia="方正仿宋_GBK"/>
          <w:sz w:val="32"/>
          <w:szCs w:val="32"/>
        </w:rPr>
        <w:t>2025年7月23日，省交通运输综合行政执法总队来支队开展数字监督工作专项调研</w:t>
      </w:r>
      <w:r>
        <w:rPr>
          <w:rFonts w:eastAsia="方正仿宋_GBK"/>
          <w:sz w:val="32"/>
          <w:szCs w:val="32"/>
        </w:rPr>
        <w:t>。</w:t>
      </w:r>
      <w:bookmarkStart w:id="42" w:name="_Toc15377218"/>
      <w:bookmarkStart w:id="43" w:name="_Toc15396610"/>
    </w:p>
    <w:p>
      <w:pPr>
        <w:spacing w:line="560" w:lineRule="exact"/>
        <w:ind w:firstLine="640"/>
        <w:rPr>
          <w:rFonts w:eastAsia="方正仿宋_GBK"/>
          <w:sz w:val="32"/>
          <w:szCs w:val="32"/>
        </w:rPr>
      </w:pPr>
      <w:r>
        <w:rPr>
          <w:rFonts w:eastAsia="方正仿宋_GBK"/>
          <w:sz w:val="32"/>
          <w:szCs w:val="32"/>
        </w:rPr>
        <w:t>外事接待支出0万元。</w:t>
      </w:r>
    </w:p>
    <w:p>
      <w:pPr>
        <w:spacing w:line="560" w:lineRule="exact"/>
        <w:ind w:firstLine="640" w:firstLineChars="200"/>
        <w:outlineLvl w:val="1"/>
        <w:rPr>
          <w:rStyle w:val="32"/>
          <w:rFonts w:ascii="方正黑体_GBK" w:hAnsi="方正黑体_GBK" w:eastAsia="方正黑体_GBK" w:cs="方正黑体_GBK"/>
        </w:rPr>
      </w:pPr>
      <w:r>
        <w:rPr>
          <w:rFonts w:hint="eastAsia" w:ascii="方正黑体_GBK" w:hAnsi="方正黑体_GBK" w:eastAsia="方正黑体_GBK" w:cs="方正黑体_GBK"/>
          <w:sz w:val="32"/>
          <w:szCs w:val="32"/>
        </w:rPr>
        <w:t>八、</w:t>
      </w:r>
      <w:r>
        <w:rPr>
          <w:rStyle w:val="32"/>
          <w:rFonts w:hint="eastAsia" w:ascii="方正黑体_GBK" w:hAnsi="方正黑体_GBK" w:eastAsia="方正黑体_GBK" w:cs="方正黑体_GBK"/>
          <w:b w:val="0"/>
        </w:rPr>
        <w:t>政府性基金预算支出决算情况说明</w:t>
      </w:r>
      <w:bookmarkEnd w:id="42"/>
      <w:bookmarkEnd w:id="43"/>
    </w:p>
    <w:p>
      <w:pPr>
        <w:spacing w:line="560" w:lineRule="exact"/>
        <w:ind w:firstLine="640"/>
        <w:rPr>
          <w:rFonts w:eastAsia="方正仿宋_GBK"/>
          <w:b/>
          <w:bCs/>
          <w:sz w:val="32"/>
          <w:szCs w:val="32"/>
        </w:rPr>
      </w:pPr>
      <w:r>
        <w:rPr>
          <w:rFonts w:eastAsia="方正仿宋_GBK"/>
          <w:sz w:val="32"/>
          <w:szCs w:val="32"/>
        </w:rPr>
        <w:t>202</w:t>
      </w:r>
      <w:r>
        <w:rPr>
          <w:rFonts w:hint="eastAsia" w:eastAsia="方正仿宋_GBK"/>
          <w:sz w:val="32"/>
          <w:szCs w:val="32"/>
        </w:rPr>
        <w:t>5</w:t>
      </w:r>
      <w:r>
        <w:rPr>
          <w:rFonts w:eastAsia="方正仿宋_GBK"/>
          <w:sz w:val="32"/>
          <w:szCs w:val="32"/>
        </w:rPr>
        <w:t>年度政府性基金预算财政拨款支出0万元。</w:t>
      </w:r>
    </w:p>
    <w:p>
      <w:pPr>
        <w:spacing w:line="560" w:lineRule="exact"/>
        <w:ind w:firstLine="640" w:firstLineChars="200"/>
        <w:outlineLvl w:val="1"/>
        <w:rPr>
          <w:rStyle w:val="32"/>
          <w:rFonts w:ascii="方正黑体_GBK" w:hAnsi="方正黑体_GBK" w:eastAsia="方正黑体_GBK" w:cs="方正黑体_GBK"/>
          <w:b w:val="0"/>
        </w:rPr>
      </w:pPr>
      <w:bookmarkStart w:id="44" w:name="_Toc15396611"/>
      <w:bookmarkStart w:id="45" w:name="_Toc15377219"/>
      <w:r>
        <w:rPr>
          <w:rStyle w:val="32"/>
          <w:rFonts w:hint="eastAsia" w:ascii="方正黑体_GBK" w:hAnsi="方正黑体_GBK" w:eastAsia="方正黑体_GBK" w:cs="方正黑体_GBK"/>
          <w:b w:val="0"/>
        </w:rPr>
        <w:t>九、国有资本经营预算支出决算情况说明</w:t>
      </w:r>
      <w:bookmarkEnd w:id="44"/>
      <w:bookmarkEnd w:id="45"/>
    </w:p>
    <w:p>
      <w:pPr>
        <w:spacing w:line="560" w:lineRule="exact"/>
        <w:ind w:firstLine="640"/>
        <w:rPr>
          <w:rFonts w:eastAsia="方正仿宋_GBK"/>
          <w:sz w:val="32"/>
          <w:szCs w:val="32"/>
        </w:rPr>
      </w:pPr>
      <w:r>
        <w:rPr>
          <w:rFonts w:eastAsia="方正仿宋_GBK"/>
          <w:sz w:val="32"/>
          <w:szCs w:val="32"/>
        </w:rPr>
        <w:t>202</w:t>
      </w:r>
      <w:r>
        <w:rPr>
          <w:rFonts w:hint="eastAsia" w:eastAsia="方正仿宋_GBK"/>
          <w:sz w:val="32"/>
          <w:szCs w:val="32"/>
        </w:rPr>
        <w:t>5</w:t>
      </w:r>
      <w:r>
        <w:rPr>
          <w:rFonts w:eastAsia="方正仿宋_GBK"/>
          <w:sz w:val="32"/>
          <w:szCs w:val="32"/>
        </w:rPr>
        <w:t>年度国有资本经营预算财政拨款支出0万元。</w:t>
      </w:r>
    </w:p>
    <w:p>
      <w:pPr>
        <w:spacing w:line="560" w:lineRule="exact"/>
        <w:ind w:left="630"/>
        <w:outlineLvl w:val="1"/>
        <w:rPr>
          <w:rStyle w:val="32"/>
          <w:rFonts w:ascii="方正黑体_GBK" w:hAnsi="方正黑体_GBK" w:eastAsia="方正黑体_GBK" w:cs="方正黑体_GBK"/>
          <w:b w:val="0"/>
        </w:rPr>
      </w:pPr>
      <w:bookmarkStart w:id="46" w:name="_Toc15377221"/>
      <w:bookmarkStart w:id="47" w:name="_Toc15396612"/>
      <w:r>
        <w:rPr>
          <w:rStyle w:val="32"/>
          <w:rFonts w:hint="eastAsia" w:ascii="方正黑体_GBK" w:hAnsi="方正黑体_GBK" w:eastAsia="方正黑体_GBK" w:cs="方正黑体_GBK"/>
          <w:b w:val="0"/>
        </w:rPr>
        <w:t>十、其他重要事项的情况说明</w:t>
      </w:r>
      <w:bookmarkEnd w:id="46"/>
      <w:bookmarkEnd w:id="47"/>
    </w:p>
    <w:p>
      <w:pPr>
        <w:spacing w:line="560" w:lineRule="exact"/>
        <w:ind w:firstLine="642" w:firstLineChars="200"/>
        <w:outlineLvl w:val="2"/>
        <w:rPr>
          <w:rFonts w:ascii="方正楷体_GBK" w:hAnsi="方正楷体_GBK" w:eastAsia="方正楷体_GBK" w:cs="方正楷体_GBK"/>
          <w:b/>
          <w:sz w:val="32"/>
          <w:szCs w:val="32"/>
        </w:rPr>
      </w:pPr>
      <w:bookmarkStart w:id="48" w:name="_Toc15377222"/>
      <w:r>
        <w:rPr>
          <w:rFonts w:hint="eastAsia" w:ascii="方正楷体_GBK" w:hAnsi="方正楷体_GBK" w:eastAsia="方正楷体_GBK" w:cs="方正楷体_GBK"/>
          <w:b/>
          <w:sz w:val="32"/>
          <w:szCs w:val="32"/>
        </w:rPr>
        <w:t>（一）机关运行经费支出情况</w:t>
      </w:r>
      <w:bookmarkEnd w:id="48"/>
    </w:p>
    <w:p>
      <w:pPr>
        <w:spacing w:line="560" w:lineRule="exact"/>
        <w:ind w:firstLine="640" w:firstLineChars="200"/>
        <w:rPr>
          <w:rFonts w:ascii="方正楷体_GBK" w:hAnsi="方正楷体_GBK" w:eastAsia="方正楷体_GBK" w:cs="方正楷体_GBK"/>
          <w:b/>
          <w:sz w:val="32"/>
          <w:szCs w:val="32"/>
        </w:rPr>
      </w:pPr>
      <w:bookmarkStart w:id="49" w:name="_Toc15377223"/>
      <w:r>
        <w:rPr>
          <w:rFonts w:eastAsia="方正仿宋_GBK"/>
          <w:sz w:val="32"/>
          <w:szCs w:val="32"/>
        </w:rPr>
        <w:t>202</w:t>
      </w:r>
      <w:r>
        <w:rPr>
          <w:rFonts w:hint="eastAsia" w:eastAsia="方正仿宋_GBK"/>
          <w:sz w:val="32"/>
          <w:szCs w:val="32"/>
        </w:rPr>
        <w:t>5</w:t>
      </w:r>
      <w:r>
        <w:rPr>
          <w:rFonts w:eastAsia="方正仿宋_GBK"/>
          <w:sz w:val="32"/>
          <w:szCs w:val="32"/>
        </w:rPr>
        <w:t>年度，攀枝花市交通运输综合行政执法支队机关运行经费支出2</w:t>
      </w:r>
      <w:r>
        <w:rPr>
          <w:rFonts w:hint="eastAsia" w:eastAsia="方正仿宋_GBK"/>
          <w:sz w:val="32"/>
          <w:szCs w:val="32"/>
        </w:rPr>
        <w:t>44</w:t>
      </w:r>
      <w:r>
        <w:rPr>
          <w:rFonts w:eastAsia="方正仿宋_GBK"/>
          <w:sz w:val="32"/>
          <w:szCs w:val="32"/>
        </w:rPr>
        <w:t>.</w:t>
      </w:r>
      <w:r>
        <w:rPr>
          <w:rFonts w:hint="eastAsia" w:eastAsia="方正仿宋_GBK"/>
          <w:sz w:val="32"/>
          <w:szCs w:val="32"/>
        </w:rPr>
        <w:t>04</w:t>
      </w:r>
      <w:r>
        <w:rPr>
          <w:rFonts w:eastAsia="方正仿宋_GBK"/>
          <w:sz w:val="32"/>
          <w:szCs w:val="32"/>
        </w:rPr>
        <w:t>万元，比202</w:t>
      </w:r>
      <w:r>
        <w:rPr>
          <w:rFonts w:hint="eastAsia" w:eastAsia="方正仿宋_GBK"/>
          <w:sz w:val="32"/>
          <w:szCs w:val="32"/>
        </w:rPr>
        <w:t>4</w:t>
      </w:r>
      <w:r>
        <w:rPr>
          <w:rFonts w:eastAsia="方正仿宋_GBK"/>
          <w:sz w:val="32"/>
          <w:szCs w:val="32"/>
        </w:rPr>
        <w:t>年度增加2</w:t>
      </w:r>
      <w:r>
        <w:rPr>
          <w:rFonts w:hint="eastAsia" w:eastAsia="方正仿宋_GBK"/>
          <w:sz w:val="32"/>
          <w:szCs w:val="32"/>
        </w:rPr>
        <w:t>1</w:t>
      </w:r>
      <w:r>
        <w:rPr>
          <w:rFonts w:eastAsia="方正仿宋_GBK"/>
          <w:sz w:val="32"/>
          <w:szCs w:val="32"/>
        </w:rPr>
        <w:t>.</w:t>
      </w:r>
      <w:r>
        <w:rPr>
          <w:rFonts w:hint="eastAsia" w:eastAsia="方正仿宋_GBK"/>
          <w:sz w:val="32"/>
          <w:szCs w:val="32"/>
        </w:rPr>
        <w:t>53</w:t>
      </w:r>
      <w:r>
        <w:rPr>
          <w:rFonts w:eastAsia="方正仿宋_GBK"/>
          <w:sz w:val="32"/>
          <w:szCs w:val="32"/>
        </w:rPr>
        <w:t>万元，增长</w:t>
      </w:r>
      <w:r>
        <w:rPr>
          <w:rFonts w:hint="eastAsia" w:eastAsia="方正仿宋_GBK"/>
          <w:sz w:val="32"/>
          <w:szCs w:val="32"/>
        </w:rPr>
        <w:t>9</w:t>
      </w:r>
      <w:r>
        <w:rPr>
          <w:rFonts w:eastAsia="方正仿宋_GBK"/>
          <w:sz w:val="32"/>
          <w:szCs w:val="32"/>
        </w:rPr>
        <w:t>.</w:t>
      </w:r>
      <w:r>
        <w:rPr>
          <w:rFonts w:hint="eastAsia" w:eastAsia="方正仿宋_GBK"/>
          <w:sz w:val="32"/>
          <w:szCs w:val="32"/>
        </w:rPr>
        <w:t>7</w:t>
      </w:r>
      <w:r>
        <w:rPr>
          <w:rFonts w:eastAsia="方正仿宋_GBK"/>
          <w:sz w:val="32"/>
          <w:szCs w:val="32"/>
        </w:rPr>
        <w:t>%。主要原因是支付202</w:t>
      </w:r>
      <w:r>
        <w:rPr>
          <w:rFonts w:hint="eastAsia" w:eastAsia="方正仿宋_GBK"/>
          <w:sz w:val="32"/>
          <w:szCs w:val="32"/>
        </w:rPr>
        <w:t>4</w:t>
      </w:r>
      <w:r>
        <w:rPr>
          <w:rFonts w:eastAsia="方正仿宋_GBK"/>
          <w:sz w:val="32"/>
          <w:szCs w:val="32"/>
        </w:rPr>
        <w:t>未支付办公费、维修（护）费等 。</w:t>
      </w:r>
    </w:p>
    <w:p>
      <w:pPr>
        <w:spacing w:line="560" w:lineRule="exact"/>
        <w:ind w:firstLine="642" w:firstLineChars="200"/>
        <w:outlineLvl w:val="2"/>
        <w:rPr>
          <w:rFonts w:ascii="方正楷体_GBK" w:hAnsi="方正楷体_GBK" w:eastAsia="方正楷体_GBK" w:cs="方正楷体_GBK"/>
          <w:b/>
          <w:sz w:val="32"/>
          <w:szCs w:val="32"/>
        </w:rPr>
      </w:pPr>
      <w:r>
        <w:rPr>
          <w:rFonts w:hint="eastAsia" w:ascii="方正楷体_GBK" w:hAnsi="方正楷体_GBK" w:eastAsia="方正楷体_GBK" w:cs="方正楷体_GBK"/>
          <w:b/>
          <w:sz w:val="32"/>
          <w:szCs w:val="32"/>
        </w:rPr>
        <w:t>（二）政府采购支出情况</w:t>
      </w:r>
      <w:bookmarkEnd w:id="49"/>
    </w:p>
    <w:p>
      <w:pPr>
        <w:spacing w:line="560" w:lineRule="exact"/>
        <w:ind w:firstLine="640"/>
        <w:rPr>
          <w:rFonts w:ascii="方正楷体_GBK" w:hAnsi="方正楷体_GBK" w:eastAsia="方正楷体_GBK" w:cs="方正楷体_GBK"/>
          <w:b/>
          <w:sz w:val="32"/>
          <w:szCs w:val="32"/>
        </w:rPr>
      </w:pPr>
      <w:bookmarkStart w:id="50" w:name="_Toc15377224"/>
      <w:r>
        <w:rPr>
          <w:rFonts w:eastAsia="方正仿宋_GBK"/>
          <w:sz w:val="32"/>
          <w:szCs w:val="32"/>
        </w:rPr>
        <w:t>202</w:t>
      </w:r>
      <w:r>
        <w:rPr>
          <w:rFonts w:hint="eastAsia" w:eastAsia="方正仿宋_GBK"/>
          <w:sz w:val="32"/>
          <w:szCs w:val="32"/>
        </w:rPr>
        <w:t>5</w:t>
      </w:r>
      <w:r>
        <w:rPr>
          <w:rFonts w:eastAsia="方正仿宋_GBK"/>
          <w:sz w:val="32"/>
          <w:szCs w:val="32"/>
        </w:rPr>
        <w:t>年度，攀枝花市交通运输综合行政执法支队政府采购支出总额</w:t>
      </w:r>
      <w:r>
        <w:rPr>
          <w:rFonts w:hint="eastAsia" w:eastAsia="方正仿宋_GBK"/>
          <w:sz w:val="32"/>
          <w:szCs w:val="32"/>
        </w:rPr>
        <w:t>49</w:t>
      </w:r>
      <w:r>
        <w:rPr>
          <w:rFonts w:eastAsia="方正仿宋_GBK"/>
          <w:sz w:val="32"/>
          <w:szCs w:val="32"/>
        </w:rPr>
        <w:t>.4万元，其中：政府采购服务支出8.</w:t>
      </w:r>
      <w:r>
        <w:rPr>
          <w:rFonts w:hint="eastAsia" w:eastAsia="方正仿宋_GBK"/>
          <w:sz w:val="32"/>
          <w:szCs w:val="32"/>
        </w:rPr>
        <w:t>28</w:t>
      </w:r>
      <w:r>
        <w:rPr>
          <w:rFonts w:eastAsia="方正仿宋_GBK"/>
          <w:sz w:val="32"/>
          <w:szCs w:val="32"/>
        </w:rPr>
        <w:t>万元。主要用于公务用车加油、保险、维修（护）。授予中小企业合同金额</w:t>
      </w:r>
      <w:r>
        <w:rPr>
          <w:rFonts w:hint="eastAsia" w:eastAsia="方正仿宋_GBK"/>
          <w:sz w:val="32"/>
          <w:szCs w:val="32"/>
        </w:rPr>
        <w:t>5.93</w:t>
      </w:r>
      <w:r>
        <w:rPr>
          <w:rFonts w:eastAsia="方正仿宋_GBK"/>
          <w:sz w:val="32"/>
          <w:szCs w:val="32"/>
        </w:rPr>
        <w:t>万元，占政府采购支出总额的</w:t>
      </w:r>
      <w:r>
        <w:rPr>
          <w:rFonts w:hint="eastAsia" w:eastAsia="方正仿宋_GBK"/>
          <w:sz w:val="32"/>
          <w:szCs w:val="32"/>
        </w:rPr>
        <w:t>12</w:t>
      </w:r>
      <w:r>
        <w:rPr>
          <w:rFonts w:eastAsia="方正仿宋_GBK"/>
          <w:sz w:val="32"/>
          <w:szCs w:val="32"/>
        </w:rPr>
        <w:t>%，其中：授予小微企业合同金额</w:t>
      </w:r>
      <w:r>
        <w:rPr>
          <w:rFonts w:hint="eastAsia" w:eastAsia="方正仿宋_GBK"/>
          <w:sz w:val="32"/>
          <w:szCs w:val="32"/>
        </w:rPr>
        <w:t>1</w:t>
      </w:r>
      <w:r>
        <w:rPr>
          <w:rFonts w:eastAsia="方正仿宋_GBK"/>
          <w:sz w:val="32"/>
          <w:szCs w:val="32"/>
        </w:rPr>
        <w:t>.</w:t>
      </w:r>
      <w:r>
        <w:rPr>
          <w:rFonts w:hint="eastAsia" w:eastAsia="方正仿宋_GBK"/>
          <w:sz w:val="32"/>
          <w:szCs w:val="32"/>
        </w:rPr>
        <w:t>43</w:t>
      </w:r>
      <w:r>
        <w:rPr>
          <w:rFonts w:eastAsia="方正仿宋_GBK"/>
          <w:sz w:val="32"/>
          <w:szCs w:val="32"/>
        </w:rPr>
        <w:t>万元，占政府采购支出总额的</w:t>
      </w:r>
      <w:r>
        <w:rPr>
          <w:rFonts w:hint="eastAsia" w:eastAsia="方正仿宋_GBK"/>
          <w:sz w:val="32"/>
          <w:szCs w:val="32"/>
        </w:rPr>
        <w:t>2.9</w:t>
      </w:r>
      <w:r>
        <w:rPr>
          <w:rFonts w:eastAsia="方正仿宋_GBK"/>
          <w:sz w:val="32"/>
          <w:szCs w:val="32"/>
        </w:rPr>
        <w:t>%。</w:t>
      </w:r>
    </w:p>
    <w:p>
      <w:pPr>
        <w:spacing w:line="560" w:lineRule="exact"/>
        <w:ind w:firstLine="481" w:firstLineChars="150"/>
        <w:outlineLvl w:val="2"/>
        <w:rPr>
          <w:rFonts w:ascii="方正楷体_GBK" w:hAnsi="方正楷体_GBK" w:eastAsia="方正楷体_GBK" w:cs="方正楷体_GBK"/>
          <w:b/>
          <w:sz w:val="32"/>
          <w:szCs w:val="32"/>
        </w:rPr>
      </w:pPr>
      <w:r>
        <w:rPr>
          <w:rFonts w:hint="eastAsia" w:ascii="方正楷体_GBK" w:hAnsi="方正楷体_GBK" w:eastAsia="方正楷体_GBK" w:cs="方正楷体_GBK"/>
          <w:b/>
          <w:sz w:val="32"/>
          <w:szCs w:val="32"/>
        </w:rPr>
        <w:t>（三）国有资产占有使用情况</w:t>
      </w:r>
      <w:bookmarkEnd w:id="50"/>
    </w:p>
    <w:p>
      <w:pPr>
        <w:spacing w:line="560" w:lineRule="exact"/>
        <w:ind w:firstLine="640"/>
        <w:rPr>
          <w:rFonts w:hint="eastAsia" w:eastAsia="方正仿宋_GBK"/>
          <w:sz w:val="32"/>
          <w:szCs w:val="32"/>
          <w:highlight w:val="none"/>
          <w:lang w:eastAsia="zh-CN"/>
        </w:rPr>
      </w:pPr>
      <w:r>
        <w:rPr>
          <w:rFonts w:eastAsia="方正仿宋_GBK"/>
          <w:sz w:val="32"/>
          <w:szCs w:val="32"/>
          <w:highlight w:val="none"/>
        </w:rPr>
        <w:t>截至202</w:t>
      </w:r>
      <w:r>
        <w:rPr>
          <w:rFonts w:hint="eastAsia" w:eastAsia="方正仿宋_GBK"/>
          <w:sz w:val="32"/>
          <w:szCs w:val="32"/>
          <w:highlight w:val="none"/>
        </w:rPr>
        <w:t>5</w:t>
      </w:r>
      <w:r>
        <w:rPr>
          <w:rFonts w:eastAsia="方正仿宋_GBK"/>
          <w:sz w:val="32"/>
          <w:szCs w:val="32"/>
          <w:highlight w:val="none"/>
        </w:rPr>
        <w:t>年12月31日，四川省攀枝花市交通运输综合行政执法支队共有车辆</w:t>
      </w:r>
      <w:r>
        <w:rPr>
          <w:rFonts w:hint="eastAsia" w:eastAsia="方正仿宋_GBK"/>
          <w:sz w:val="32"/>
          <w:szCs w:val="32"/>
          <w:highlight w:val="none"/>
          <w:lang w:val="en-US" w:eastAsia="zh-CN"/>
        </w:rPr>
        <w:t>10</w:t>
      </w:r>
      <w:r>
        <w:rPr>
          <w:rFonts w:eastAsia="方正仿宋_GBK"/>
          <w:sz w:val="32"/>
          <w:szCs w:val="32"/>
          <w:highlight w:val="none"/>
        </w:rPr>
        <w:t>辆，其中：特种专业用车</w:t>
      </w:r>
      <w:r>
        <w:rPr>
          <w:rFonts w:hint="eastAsia" w:eastAsia="方正仿宋_GBK"/>
          <w:sz w:val="32"/>
          <w:szCs w:val="32"/>
          <w:highlight w:val="none"/>
          <w:lang w:val="en-US" w:eastAsia="zh-CN"/>
        </w:rPr>
        <w:t>10</w:t>
      </w:r>
      <w:r>
        <w:rPr>
          <w:rFonts w:eastAsia="方正仿宋_GBK"/>
          <w:sz w:val="32"/>
          <w:szCs w:val="32"/>
          <w:highlight w:val="none"/>
        </w:rPr>
        <w:t>辆</w:t>
      </w:r>
      <w:r>
        <w:rPr>
          <w:rFonts w:hint="eastAsia" w:eastAsia="方正仿宋_GBK"/>
          <w:sz w:val="32"/>
          <w:szCs w:val="32"/>
          <w:highlight w:val="none"/>
          <w:lang w:eastAsia="zh-CN"/>
        </w:rPr>
        <w:t>。</w:t>
      </w:r>
    </w:p>
    <w:p>
      <w:pPr>
        <w:spacing w:line="560" w:lineRule="exact"/>
        <w:ind w:firstLine="642" w:firstLineChars="200"/>
        <w:outlineLvl w:val="2"/>
        <w:rPr>
          <w:rFonts w:ascii="方正楷体_GBK" w:hAnsi="方正楷体_GBK" w:eastAsia="方正楷体_GBK" w:cs="方正楷体_GBK"/>
          <w:b/>
          <w:sz w:val="32"/>
          <w:szCs w:val="32"/>
        </w:rPr>
      </w:pPr>
      <w:r>
        <w:rPr>
          <w:rFonts w:hint="eastAsia" w:ascii="方正楷体_GBK" w:hAnsi="方正楷体_GBK" w:eastAsia="方正楷体_GBK" w:cs="方正楷体_GBK"/>
          <w:b/>
          <w:sz w:val="32"/>
          <w:szCs w:val="32"/>
        </w:rPr>
        <w:t>（四）预算绩效管理情况</w:t>
      </w:r>
    </w:p>
    <w:p>
      <w:pPr>
        <w:spacing w:line="560" w:lineRule="exact"/>
        <w:ind w:firstLine="640"/>
        <w:rPr>
          <w:rFonts w:eastAsia="方正仿宋_GBK"/>
          <w:sz w:val="32"/>
          <w:szCs w:val="32"/>
        </w:rPr>
      </w:pPr>
      <w:r>
        <w:rPr>
          <w:rFonts w:eastAsia="方正仿宋_GBK"/>
          <w:sz w:val="32"/>
          <w:szCs w:val="32"/>
        </w:rPr>
        <w:t>根据预算绩效管理要求，本单位在202</w:t>
      </w:r>
      <w:r>
        <w:rPr>
          <w:rFonts w:hint="eastAsia" w:eastAsia="方正仿宋_GBK"/>
          <w:sz w:val="32"/>
          <w:szCs w:val="32"/>
        </w:rPr>
        <w:t>5</w:t>
      </w:r>
      <w:r>
        <w:rPr>
          <w:rFonts w:eastAsia="方正仿宋_GBK"/>
          <w:sz w:val="32"/>
          <w:szCs w:val="32"/>
        </w:rPr>
        <w:t>年度预算编制阶段，组织对交通执法成本性出，</w:t>
      </w:r>
      <w:r>
        <w:rPr>
          <w:rFonts w:hint="eastAsia" w:eastAsia="方正仿宋_GBK"/>
          <w:sz w:val="32"/>
          <w:szCs w:val="32"/>
        </w:rPr>
        <w:t>6</w:t>
      </w:r>
      <w:r>
        <w:rPr>
          <w:rFonts w:eastAsia="方正仿宋_GBK"/>
          <w:sz w:val="32"/>
          <w:szCs w:val="32"/>
        </w:rPr>
        <w:t>个项目开展了预算事前绩效评估，对</w:t>
      </w:r>
      <w:r>
        <w:rPr>
          <w:rFonts w:hint="eastAsia" w:eastAsia="方正仿宋_GBK"/>
          <w:sz w:val="32"/>
          <w:szCs w:val="32"/>
        </w:rPr>
        <w:t>6</w:t>
      </w:r>
      <w:r>
        <w:rPr>
          <w:rFonts w:eastAsia="方正仿宋_GBK"/>
          <w:sz w:val="32"/>
          <w:szCs w:val="32"/>
        </w:rPr>
        <w:t>个项目编制了绩效目标，预算执行过程中，选取</w:t>
      </w:r>
      <w:r>
        <w:rPr>
          <w:rFonts w:hint="eastAsia" w:eastAsia="方正仿宋_GBK"/>
          <w:sz w:val="32"/>
          <w:szCs w:val="32"/>
        </w:rPr>
        <w:t>6</w:t>
      </w:r>
      <w:r>
        <w:rPr>
          <w:rFonts w:eastAsia="方正仿宋_GBK"/>
          <w:sz w:val="32"/>
          <w:szCs w:val="32"/>
        </w:rPr>
        <w:t>个项目开展绩效监控。</w:t>
      </w:r>
      <w:bookmarkStart w:id="51" w:name="_Toc15377225"/>
      <w:bookmarkStart w:id="52" w:name="_Toc15396613"/>
    </w:p>
    <w:p>
      <w:pPr>
        <w:pStyle w:val="2"/>
        <w:rPr>
          <w:rFonts w:ascii="Times New Roman" w:hAnsi="Times New Roman" w:eastAsia="方正仿宋_GBK"/>
          <w:sz w:val="32"/>
          <w:szCs w:val="32"/>
        </w:rPr>
      </w:pPr>
    </w:p>
    <w:p/>
    <w:p>
      <w:pPr>
        <w:tabs>
          <w:tab w:val="left" w:pos="5460"/>
        </w:tabs>
        <w:spacing w:line="760" w:lineRule="exact"/>
        <w:jc w:val="left"/>
        <w:outlineLvl w:val="0"/>
        <w:rPr>
          <w:rFonts w:ascii="方正小标宋_GBK" w:hAnsi="方正小标宋_GBK" w:eastAsia="方正小标宋_GBK" w:cs="方正小标宋_GBK"/>
          <w:sz w:val="44"/>
          <w:szCs w:val="44"/>
        </w:rPr>
      </w:pPr>
      <w:r>
        <w:rPr>
          <w:rFonts w:ascii="方正小标宋_GBK" w:hAnsi="方正小标宋_GBK" w:eastAsia="方正小标宋_GBK" w:cs="方正小标宋_GBK"/>
          <w:sz w:val="44"/>
          <w:szCs w:val="44"/>
        </w:rPr>
        <w:tab/>
      </w:r>
    </w:p>
    <w:p>
      <w:pPr>
        <w:pStyle w:val="2"/>
      </w:pPr>
    </w:p>
    <w:p>
      <w:pPr>
        <w:spacing w:line="760" w:lineRule="exact"/>
        <w:jc w:val="center"/>
        <w:outlineLvl w:val="0"/>
        <w:rPr>
          <w:rFonts w:ascii="方正小标宋_GBK" w:hAnsi="方正小标宋_GBK" w:eastAsia="方正小标宋_GBK" w:cs="方正小标宋_GBK"/>
          <w:sz w:val="44"/>
          <w:szCs w:val="44"/>
        </w:rPr>
      </w:pPr>
    </w:p>
    <w:p>
      <w:pPr>
        <w:spacing w:line="760" w:lineRule="exact"/>
        <w:jc w:val="center"/>
        <w:outlineLvl w:val="0"/>
        <w:rPr>
          <w:rFonts w:ascii="方正小标宋_GBK" w:hAnsi="方正小标宋_GBK" w:eastAsia="方正小标宋_GBK" w:cs="方正小标宋_GBK"/>
          <w:sz w:val="44"/>
          <w:szCs w:val="44"/>
        </w:rPr>
      </w:pPr>
    </w:p>
    <w:p>
      <w:pPr>
        <w:spacing w:line="760" w:lineRule="exact"/>
        <w:jc w:val="center"/>
        <w:outlineLvl w:val="0"/>
        <w:rPr>
          <w:rFonts w:ascii="方正小标宋_GBK" w:hAnsi="方正小标宋_GBK" w:eastAsia="方正小标宋_GBK" w:cs="方正小标宋_GBK"/>
          <w:sz w:val="44"/>
          <w:szCs w:val="44"/>
        </w:rPr>
      </w:pPr>
    </w:p>
    <w:p>
      <w:pPr>
        <w:pStyle w:val="2"/>
        <w:rPr>
          <w:rFonts w:ascii="方正小标宋_GBK" w:hAnsi="方正小标宋_GBK" w:eastAsia="方正小标宋_GBK" w:cs="方正小标宋_GBK"/>
          <w:sz w:val="44"/>
          <w:szCs w:val="44"/>
        </w:rPr>
      </w:pPr>
    </w:p>
    <w:p/>
    <w:p>
      <w:pPr>
        <w:spacing w:line="760" w:lineRule="exact"/>
        <w:outlineLvl w:val="0"/>
        <w:rPr>
          <w:rFonts w:ascii="方正小标宋_GBK" w:hAnsi="方正小标宋_GBK" w:eastAsia="方正小标宋_GBK" w:cs="方正小标宋_GBK"/>
          <w:sz w:val="44"/>
          <w:szCs w:val="44"/>
        </w:rPr>
      </w:pPr>
    </w:p>
    <w:p>
      <w:pPr>
        <w:spacing w:line="760" w:lineRule="exact"/>
        <w:jc w:val="center"/>
        <w:outlineLvl w:val="0"/>
        <w:rPr>
          <w:rFonts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第三部分名词解释</w:t>
      </w:r>
      <w:bookmarkEnd w:id="51"/>
      <w:bookmarkEnd w:id="52"/>
    </w:p>
    <w:p>
      <w:pPr>
        <w:spacing w:line="600" w:lineRule="exact"/>
        <w:jc w:val="left"/>
        <w:rPr>
          <w:b/>
          <w:sz w:val="44"/>
          <w:szCs w:val="44"/>
        </w:rPr>
      </w:pPr>
    </w:p>
    <w:p>
      <w:pPr>
        <w:pStyle w:val="29"/>
        <w:spacing w:line="560" w:lineRule="exact"/>
        <w:ind w:firstLine="640" w:firstLineChars="200"/>
        <w:jc w:val="both"/>
        <w:rPr>
          <w:rFonts w:ascii="Times New Roman" w:hAnsi="Times New Roman" w:eastAsia="方正仿宋_GBK" w:cs="Times New Roman"/>
          <w:color w:val="auto"/>
          <w:sz w:val="32"/>
          <w:szCs w:val="32"/>
        </w:rPr>
      </w:pPr>
      <w:bookmarkStart w:id="53" w:name="_Toc15396614"/>
      <w:bookmarkStart w:id="54" w:name="_Toc15377226"/>
      <w:r>
        <w:rPr>
          <w:rFonts w:ascii="Times New Roman" w:hAnsi="Times New Roman" w:eastAsia="方正仿宋_GBK" w:cs="Times New Roman"/>
          <w:color w:val="auto"/>
          <w:sz w:val="32"/>
          <w:szCs w:val="32"/>
        </w:rPr>
        <w:t>1.财政拨款收入：指单位从同级财政部门取得的财政预算资金。</w:t>
      </w:r>
    </w:p>
    <w:p>
      <w:pPr>
        <w:pStyle w:val="29"/>
        <w:spacing w:line="560" w:lineRule="exact"/>
        <w:ind w:firstLine="640" w:firstLineChars="200"/>
        <w:jc w:val="both"/>
        <w:rPr>
          <w:rFonts w:ascii="Times New Roman" w:hAnsi="Times New Roman" w:eastAsia="方正仿宋_GBK" w:cs="Times New Roman"/>
          <w:color w:val="auto"/>
          <w:sz w:val="32"/>
          <w:szCs w:val="32"/>
        </w:rPr>
      </w:pPr>
      <w:r>
        <w:rPr>
          <w:rFonts w:ascii="Times New Roman" w:hAnsi="Times New Roman" w:eastAsia="方正仿宋_GBK" w:cs="Times New Roman"/>
          <w:color w:val="auto"/>
          <w:sz w:val="32"/>
          <w:szCs w:val="32"/>
        </w:rPr>
        <w:t>2.事业收入：指事业单位开展专业业务活动及辅助活动取得的收入。</w:t>
      </w:r>
    </w:p>
    <w:p>
      <w:pPr>
        <w:pStyle w:val="29"/>
        <w:spacing w:line="560" w:lineRule="exact"/>
        <w:ind w:firstLine="640" w:firstLineChars="200"/>
        <w:jc w:val="both"/>
        <w:rPr>
          <w:rFonts w:ascii="Times New Roman" w:hAnsi="Times New Roman" w:eastAsia="方正仿宋_GBK" w:cs="Times New Roman"/>
          <w:color w:val="auto"/>
          <w:sz w:val="32"/>
          <w:szCs w:val="32"/>
        </w:rPr>
      </w:pPr>
      <w:r>
        <w:rPr>
          <w:rFonts w:ascii="Times New Roman" w:hAnsi="Times New Roman" w:eastAsia="方正仿宋_GBK" w:cs="Times New Roman"/>
          <w:color w:val="auto"/>
          <w:sz w:val="32"/>
          <w:szCs w:val="32"/>
        </w:rPr>
        <w:t>3.经营收入：指事业单位在专业业务活动及其辅助活动之外开展非独立核算经营活动取得的收入。</w:t>
      </w:r>
    </w:p>
    <w:p>
      <w:pPr>
        <w:pStyle w:val="29"/>
        <w:spacing w:line="560" w:lineRule="exact"/>
        <w:ind w:firstLine="640" w:firstLineChars="200"/>
        <w:jc w:val="both"/>
        <w:rPr>
          <w:rFonts w:ascii="Times New Roman" w:hAnsi="Times New Roman" w:eastAsia="方正仿宋_GBK" w:cs="Times New Roman"/>
          <w:color w:val="auto"/>
          <w:sz w:val="32"/>
          <w:szCs w:val="32"/>
        </w:rPr>
      </w:pPr>
      <w:r>
        <w:rPr>
          <w:rFonts w:ascii="Times New Roman" w:hAnsi="Times New Roman" w:eastAsia="方正仿宋_GBK" w:cs="Times New Roman"/>
          <w:color w:val="auto"/>
          <w:sz w:val="32"/>
          <w:szCs w:val="32"/>
        </w:rPr>
        <w:t>4.其他收入：指单位取得的除上述收入以外的各项收入。</w:t>
      </w:r>
    </w:p>
    <w:p>
      <w:pPr>
        <w:pStyle w:val="29"/>
        <w:spacing w:line="560" w:lineRule="exact"/>
        <w:ind w:firstLine="640" w:firstLineChars="200"/>
        <w:jc w:val="both"/>
        <w:rPr>
          <w:rFonts w:ascii="Times New Roman" w:hAnsi="Times New Roman" w:eastAsia="方正仿宋_GBK" w:cs="Times New Roman"/>
          <w:color w:val="auto"/>
          <w:sz w:val="32"/>
          <w:szCs w:val="32"/>
        </w:rPr>
      </w:pPr>
      <w:r>
        <w:rPr>
          <w:rFonts w:ascii="Times New Roman" w:hAnsi="Times New Roman" w:eastAsia="方正仿宋_GBK" w:cs="Times New Roman"/>
          <w:color w:val="auto"/>
          <w:sz w:val="32"/>
          <w:szCs w:val="32"/>
        </w:rPr>
        <w:t>5.使用非财政拨款结余：指事业单位使用以前年度积累的非财政拨款结余弥补当年收支差额的金额。</w:t>
      </w:r>
    </w:p>
    <w:p>
      <w:pPr>
        <w:pStyle w:val="29"/>
        <w:spacing w:line="560" w:lineRule="exact"/>
        <w:ind w:firstLine="640" w:firstLineChars="200"/>
        <w:jc w:val="both"/>
        <w:rPr>
          <w:rFonts w:ascii="Times New Roman" w:hAnsi="Times New Roman" w:eastAsia="方正仿宋_GBK" w:cs="Times New Roman"/>
          <w:color w:val="auto"/>
          <w:sz w:val="32"/>
          <w:szCs w:val="32"/>
        </w:rPr>
      </w:pPr>
      <w:r>
        <w:rPr>
          <w:rFonts w:ascii="Times New Roman" w:hAnsi="Times New Roman" w:eastAsia="方正仿宋_GBK" w:cs="Times New Roman"/>
          <w:color w:val="auto"/>
          <w:sz w:val="32"/>
          <w:szCs w:val="32"/>
        </w:rPr>
        <w:t>6.年初结转和结余：指以前年度尚未完成、结转到本年按有关规定继续使用的资金。</w:t>
      </w:r>
    </w:p>
    <w:p>
      <w:pPr>
        <w:pStyle w:val="29"/>
        <w:spacing w:line="560" w:lineRule="exact"/>
        <w:ind w:firstLine="640" w:firstLineChars="200"/>
        <w:jc w:val="both"/>
        <w:rPr>
          <w:rFonts w:ascii="Times New Roman" w:hAnsi="Times New Roman" w:eastAsia="方正仿宋_GBK" w:cs="Times New Roman"/>
          <w:color w:val="auto"/>
          <w:sz w:val="32"/>
          <w:szCs w:val="32"/>
        </w:rPr>
      </w:pPr>
      <w:r>
        <w:rPr>
          <w:rFonts w:ascii="Times New Roman" w:hAnsi="Times New Roman" w:eastAsia="方正仿宋_GBK" w:cs="Times New Roman"/>
          <w:color w:val="auto"/>
          <w:sz w:val="32"/>
          <w:szCs w:val="32"/>
        </w:rPr>
        <w:t>7.结余分配：指事业单位按照会计制度规定缴纳的所得税、提取的专用结余以及转入非财政拨款结余的金额等。</w:t>
      </w:r>
    </w:p>
    <w:p>
      <w:pPr>
        <w:pStyle w:val="29"/>
        <w:spacing w:line="560" w:lineRule="exact"/>
        <w:ind w:firstLine="640" w:firstLineChars="200"/>
        <w:jc w:val="both"/>
        <w:rPr>
          <w:rFonts w:ascii="Times New Roman" w:hAnsi="Times New Roman" w:eastAsia="方正仿宋_GBK" w:cs="Times New Roman"/>
          <w:color w:val="auto"/>
          <w:sz w:val="32"/>
          <w:szCs w:val="32"/>
        </w:rPr>
      </w:pPr>
      <w:r>
        <w:rPr>
          <w:rFonts w:ascii="Times New Roman" w:hAnsi="Times New Roman" w:eastAsia="方正仿宋_GBK" w:cs="Times New Roman"/>
          <w:color w:val="auto"/>
          <w:sz w:val="32"/>
          <w:szCs w:val="32"/>
        </w:rPr>
        <w:t>8.年末结转和结余：指单位按有关规定结转到下年或以后年度继续使用的资金。</w:t>
      </w:r>
    </w:p>
    <w:p>
      <w:pPr>
        <w:spacing w:line="560" w:lineRule="exact"/>
        <w:ind w:firstLine="640" w:firstLineChars="200"/>
        <w:rPr>
          <w:rFonts w:eastAsia="方正仿宋_GBK"/>
          <w:color w:val="000000"/>
          <w:sz w:val="32"/>
          <w:szCs w:val="32"/>
        </w:rPr>
      </w:pPr>
      <w:r>
        <w:rPr>
          <w:rFonts w:eastAsia="方正仿宋_GBK"/>
          <w:color w:val="000000"/>
          <w:sz w:val="32"/>
          <w:szCs w:val="32"/>
        </w:rPr>
        <w:t>9.社会保障和就业支出（类）行政事业单位养老支出（款）行政单位离退休（项）：指行政单位（包括实行公务员法管理的事业单位）开支的离退休经费。</w:t>
      </w:r>
    </w:p>
    <w:p>
      <w:pPr>
        <w:spacing w:line="560" w:lineRule="exact"/>
        <w:ind w:firstLine="640" w:firstLineChars="200"/>
        <w:rPr>
          <w:rFonts w:eastAsia="方正仿宋_GBK"/>
          <w:color w:val="000000"/>
          <w:sz w:val="32"/>
          <w:szCs w:val="32"/>
        </w:rPr>
      </w:pPr>
      <w:r>
        <w:rPr>
          <w:rFonts w:eastAsia="方正仿宋_GBK"/>
          <w:color w:val="000000"/>
          <w:sz w:val="32"/>
          <w:szCs w:val="32"/>
        </w:rPr>
        <w:t>10.社会保障和就业支出（类）行政事业单位养老支出（款）机关事业单位基本养老保险缴费支出（项）：指机关事业单位实施养老保险制度由单位缴纳的基本养老保险费支出。</w:t>
      </w:r>
    </w:p>
    <w:p>
      <w:pPr>
        <w:spacing w:line="560" w:lineRule="exact"/>
        <w:ind w:firstLine="640" w:firstLineChars="200"/>
        <w:rPr>
          <w:rFonts w:eastAsia="方正仿宋_GBK"/>
          <w:color w:val="000000"/>
          <w:sz w:val="32"/>
          <w:szCs w:val="32"/>
        </w:rPr>
      </w:pPr>
      <w:r>
        <w:rPr>
          <w:rFonts w:eastAsia="方正仿宋_GBK"/>
          <w:color w:val="000000"/>
          <w:sz w:val="32"/>
          <w:szCs w:val="32"/>
        </w:rPr>
        <w:t>11.交通运输支出（类）公路水路运输（款）行政运行（项）：指交通运输方面的行政单位（包括实行公务员法管理的事业单位）的基本支出。</w:t>
      </w:r>
    </w:p>
    <w:p>
      <w:pPr>
        <w:spacing w:line="560" w:lineRule="exact"/>
        <w:ind w:firstLine="640" w:firstLineChars="200"/>
        <w:rPr>
          <w:rFonts w:eastAsia="方正仿宋_GBK"/>
          <w:color w:val="000000"/>
          <w:sz w:val="32"/>
          <w:szCs w:val="32"/>
        </w:rPr>
      </w:pPr>
      <w:r>
        <w:rPr>
          <w:rFonts w:eastAsia="方正仿宋_GBK"/>
          <w:color w:val="000000"/>
          <w:sz w:val="32"/>
          <w:szCs w:val="32"/>
        </w:rPr>
        <w:t>12.交通运输支出（类）公路水路运输（款）公路运输管理（项）：指公路运输管理支出和公路路政管理支出。</w:t>
      </w:r>
    </w:p>
    <w:p>
      <w:pPr>
        <w:spacing w:line="560" w:lineRule="exact"/>
        <w:ind w:firstLine="640" w:firstLineChars="200"/>
        <w:rPr>
          <w:rFonts w:eastAsia="方正仿宋_GBK"/>
          <w:color w:val="000000"/>
          <w:sz w:val="32"/>
          <w:szCs w:val="32"/>
        </w:rPr>
      </w:pPr>
      <w:r>
        <w:rPr>
          <w:rFonts w:eastAsia="方正仿宋_GBK"/>
          <w:color w:val="000000"/>
          <w:sz w:val="32"/>
          <w:szCs w:val="32"/>
        </w:rPr>
        <w:t>13.交通运输支出（类）公路水路运输（款）其他公路水路运输支出（项）：指其他用于公路水路运输方面的支出。</w:t>
      </w:r>
    </w:p>
    <w:p>
      <w:pPr>
        <w:spacing w:line="560" w:lineRule="exact"/>
        <w:ind w:firstLine="640" w:firstLineChars="200"/>
        <w:rPr>
          <w:rFonts w:eastAsia="方正仿宋_GBK"/>
          <w:color w:val="000000"/>
          <w:sz w:val="32"/>
          <w:szCs w:val="32"/>
        </w:rPr>
      </w:pPr>
      <w:r>
        <w:rPr>
          <w:rFonts w:eastAsia="方正仿宋_GBK"/>
          <w:color w:val="000000"/>
          <w:sz w:val="32"/>
          <w:szCs w:val="32"/>
        </w:rPr>
        <w:t>14.住房保障支出（类）住房改革支出（款）住房公积金（项）：指行政事业单位按人力资源和社会保障部、财政部规定的基本工资和津贴补贴以及规定比例为职工缴纳的住房公积金。</w:t>
      </w:r>
    </w:p>
    <w:p>
      <w:pPr>
        <w:spacing w:line="560" w:lineRule="exact"/>
        <w:ind w:firstLine="640" w:firstLineChars="200"/>
        <w:rPr>
          <w:rFonts w:eastAsia="方正仿宋_GBK"/>
          <w:sz w:val="32"/>
          <w:szCs w:val="32"/>
        </w:rPr>
      </w:pPr>
      <w:r>
        <w:rPr>
          <w:rFonts w:eastAsia="方正仿宋_GBK"/>
          <w:sz w:val="32"/>
          <w:szCs w:val="32"/>
        </w:rPr>
        <w:t>15.基本支出：指为保障机构正常运转、完成日常工作任务而发生的人员支出和公用支出。</w:t>
      </w:r>
    </w:p>
    <w:p>
      <w:pPr>
        <w:spacing w:line="560" w:lineRule="exact"/>
        <w:ind w:firstLine="640" w:firstLineChars="200"/>
        <w:rPr>
          <w:rFonts w:eastAsia="方正仿宋_GBK"/>
          <w:sz w:val="32"/>
          <w:szCs w:val="32"/>
        </w:rPr>
      </w:pPr>
      <w:r>
        <w:rPr>
          <w:rFonts w:eastAsia="方正仿宋_GBK"/>
          <w:sz w:val="32"/>
          <w:szCs w:val="32"/>
        </w:rPr>
        <w:t>16.项目支出：指在基本支出之外为完成特定行政任务和事业发展目标所发生的支出。</w:t>
      </w:r>
    </w:p>
    <w:p>
      <w:pPr>
        <w:spacing w:line="560" w:lineRule="exact"/>
        <w:ind w:firstLine="640" w:firstLineChars="200"/>
        <w:rPr>
          <w:rFonts w:eastAsia="方正仿宋_GBK"/>
          <w:sz w:val="32"/>
          <w:szCs w:val="32"/>
        </w:rPr>
      </w:pPr>
      <w:r>
        <w:rPr>
          <w:rFonts w:eastAsia="方正仿宋_GBK"/>
          <w:sz w:val="32"/>
          <w:szCs w:val="32"/>
        </w:rPr>
        <w:t>17.经营支出：指事业单位在专业业务活动及其辅助活动之外开展非独立核算经营活动发生的支出。</w:t>
      </w:r>
    </w:p>
    <w:p>
      <w:pPr>
        <w:pStyle w:val="29"/>
        <w:spacing w:line="560" w:lineRule="exact"/>
        <w:ind w:firstLine="640" w:firstLineChars="200"/>
        <w:jc w:val="both"/>
        <w:rPr>
          <w:rFonts w:ascii="Times New Roman" w:hAnsi="Times New Roman" w:eastAsia="方正仿宋_GBK" w:cs="Times New Roman"/>
          <w:color w:val="auto"/>
          <w:sz w:val="32"/>
          <w:szCs w:val="32"/>
        </w:rPr>
      </w:pPr>
      <w:r>
        <w:rPr>
          <w:rFonts w:ascii="Times New Roman" w:hAnsi="Times New Roman" w:eastAsia="方正仿宋_GBK" w:cs="Times New Roman"/>
          <w:color w:val="auto"/>
          <w:sz w:val="32"/>
          <w:szCs w:val="32"/>
        </w:rPr>
        <w:t>18.“三公”经费：指单位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pPr>
        <w:pStyle w:val="29"/>
        <w:spacing w:line="560" w:lineRule="exact"/>
        <w:ind w:firstLine="640" w:firstLineChars="200"/>
        <w:jc w:val="both"/>
        <w:rPr>
          <w:rFonts w:ascii="Times New Roman" w:hAnsi="Times New Roman" w:eastAsia="方正仿宋_GBK" w:cs="Times New Roman"/>
          <w:color w:val="auto"/>
          <w:sz w:val="32"/>
          <w:szCs w:val="32"/>
        </w:rPr>
      </w:pPr>
      <w:r>
        <w:rPr>
          <w:rFonts w:ascii="Times New Roman" w:hAnsi="Times New Roman" w:eastAsia="方正仿宋_GBK" w:cs="Times New Roman"/>
          <w:color w:val="auto"/>
          <w:sz w:val="32"/>
          <w:szCs w:val="32"/>
        </w:rPr>
        <w:t>19.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spacing w:line="560" w:lineRule="exact"/>
        <w:rPr>
          <w:rFonts w:eastAsia="方正仿宋_GBK"/>
          <w:sz w:val="44"/>
          <w:szCs w:val="44"/>
        </w:rPr>
      </w:pPr>
    </w:p>
    <w:p>
      <w:pPr>
        <w:spacing w:line="600" w:lineRule="exact"/>
        <w:jc w:val="center"/>
        <w:rPr>
          <w:rFonts w:eastAsia="黑体"/>
          <w:sz w:val="44"/>
          <w:szCs w:val="44"/>
        </w:rPr>
      </w:pPr>
    </w:p>
    <w:p>
      <w:pPr>
        <w:spacing w:line="600" w:lineRule="exact"/>
        <w:jc w:val="center"/>
        <w:rPr>
          <w:rFonts w:eastAsia="黑体"/>
          <w:sz w:val="44"/>
          <w:szCs w:val="44"/>
        </w:rPr>
      </w:pPr>
    </w:p>
    <w:p>
      <w:pPr>
        <w:spacing w:line="600" w:lineRule="exact"/>
        <w:jc w:val="center"/>
        <w:rPr>
          <w:rFonts w:eastAsia="黑体"/>
          <w:sz w:val="44"/>
          <w:szCs w:val="44"/>
        </w:rPr>
      </w:pPr>
    </w:p>
    <w:p>
      <w:pPr>
        <w:spacing w:line="600" w:lineRule="exact"/>
        <w:jc w:val="center"/>
        <w:rPr>
          <w:rFonts w:eastAsia="黑体"/>
          <w:sz w:val="44"/>
          <w:szCs w:val="44"/>
        </w:rPr>
      </w:pPr>
    </w:p>
    <w:p>
      <w:pPr>
        <w:spacing w:line="600" w:lineRule="exact"/>
        <w:jc w:val="center"/>
        <w:rPr>
          <w:rFonts w:eastAsia="黑体"/>
          <w:sz w:val="44"/>
          <w:szCs w:val="44"/>
        </w:rPr>
      </w:pPr>
    </w:p>
    <w:p>
      <w:pPr>
        <w:pStyle w:val="2"/>
      </w:pPr>
    </w:p>
    <w:p>
      <w:pPr>
        <w:spacing w:line="600" w:lineRule="exact"/>
        <w:jc w:val="center"/>
        <w:rPr>
          <w:rFonts w:eastAsia="黑体"/>
          <w:sz w:val="44"/>
          <w:szCs w:val="44"/>
        </w:rPr>
      </w:pPr>
    </w:p>
    <w:p>
      <w:pPr>
        <w:spacing w:line="600" w:lineRule="exact"/>
        <w:jc w:val="center"/>
        <w:rPr>
          <w:rFonts w:eastAsia="黑体"/>
          <w:sz w:val="44"/>
          <w:szCs w:val="44"/>
        </w:rPr>
      </w:pPr>
    </w:p>
    <w:p>
      <w:pPr>
        <w:spacing w:line="600" w:lineRule="exact"/>
        <w:jc w:val="center"/>
        <w:rPr>
          <w:rFonts w:eastAsia="黑体"/>
          <w:sz w:val="44"/>
          <w:szCs w:val="44"/>
        </w:rPr>
      </w:pPr>
    </w:p>
    <w:p>
      <w:pPr>
        <w:pStyle w:val="2"/>
      </w:pPr>
    </w:p>
    <w:p>
      <w:pPr>
        <w:spacing w:line="600" w:lineRule="exact"/>
        <w:jc w:val="center"/>
        <w:rPr>
          <w:rFonts w:eastAsia="黑体"/>
          <w:sz w:val="44"/>
          <w:szCs w:val="44"/>
        </w:rPr>
      </w:pPr>
    </w:p>
    <w:p>
      <w:pPr>
        <w:spacing w:line="600" w:lineRule="exact"/>
        <w:jc w:val="center"/>
        <w:rPr>
          <w:rFonts w:eastAsia="黑体"/>
          <w:sz w:val="44"/>
          <w:szCs w:val="44"/>
        </w:rPr>
      </w:pPr>
    </w:p>
    <w:p>
      <w:pPr>
        <w:spacing w:line="760" w:lineRule="exact"/>
        <w:jc w:val="center"/>
        <w:rPr>
          <w:rFonts w:ascii="方正小标宋_GBK" w:hAnsi="方正小标宋_GBK" w:eastAsia="方正小标宋_GBK" w:cs="方正小标宋_GBK"/>
          <w:sz w:val="44"/>
          <w:szCs w:val="44"/>
        </w:rPr>
      </w:pPr>
    </w:p>
    <w:p>
      <w:pPr>
        <w:spacing w:line="760" w:lineRule="exact"/>
        <w:jc w:val="center"/>
        <w:rPr>
          <w:rFonts w:ascii="方正小标宋_GBK" w:hAnsi="方正小标宋_GBK" w:eastAsia="方正小标宋_GBK" w:cs="方正小标宋_GBK"/>
          <w:sz w:val="44"/>
          <w:szCs w:val="44"/>
        </w:rPr>
      </w:pPr>
    </w:p>
    <w:p>
      <w:pPr>
        <w:spacing w:line="760" w:lineRule="exact"/>
        <w:jc w:val="center"/>
        <w:rPr>
          <w:rStyle w:val="31"/>
          <w:rFonts w:ascii="方正小标宋_GBK" w:hAnsi="方正小标宋_GBK" w:eastAsia="方正小标宋_GBK" w:cs="方正小标宋_GBK"/>
          <w:b w:val="0"/>
        </w:rPr>
      </w:pPr>
      <w:r>
        <w:rPr>
          <w:rFonts w:hint="eastAsia" w:ascii="方正小标宋_GBK" w:hAnsi="方正小标宋_GBK" w:eastAsia="方正小标宋_GBK" w:cs="方正小标宋_GBK"/>
          <w:sz w:val="44"/>
          <w:szCs w:val="44"/>
        </w:rPr>
        <w:t>第四部分 附件</w:t>
      </w:r>
      <w:bookmarkEnd w:id="53"/>
    </w:p>
    <w:p>
      <w:pPr>
        <w:spacing w:line="600" w:lineRule="exact"/>
        <w:jc w:val="center"/>
        <w:outlineLvl w:val="0"/>
        <w:rPr>
          <w:rFonts w:ascii="宋体" w:hAnsi="宋体" w:cs="宋体"/>
          <w:kern w:val="0"/>
          <w:sz w:val="32"/>
          <w:szCs w:val="32"/>
        </w:rPr>
      </w:pPr>
      <w:bookmarkStart w:id="55" w:name="_Toc144305931"/>
    </w:p>
    <w:p>
      <w:pPr>
        <w:spacing w:line="560" w:lineRule="exact"/>
        <w:outlineLvl w:val="0"/>
        <w:rPr>
          <w:rFonts w:eastAsia="方正仿宋_GBK"/>
          <w:kern w:val="0"/>
          <w:sz w:val="32"/>
          <w:szCs w:val="32"/>
        </w:rPr>
      </w:pPr>
      <w:r>
        <w:rPr>
          <w:rFonts w:hint="eastAsia" w:eastAsia="方正仿宋_GBK"/>
          <w:kern w:val="0"/>
          <w:sz w:val="32"/>
          <w:szCs w:val="32"/>
        </w:rPr>
        <w:t>单位</w:t>
      </w:r>
      <w:r>
        <w:rPr>
          <w:rFonts w:eastAsia="方正仿宋_GBK"/>
          <w:kern w:val="0"/>
          <w:sz w:val="32"/>
          <w:szCs w:val="32"/>
        </w:rPr>
        <w:t>预算项目支出绩效自评表（202</w:t>
      </w:r>
      <w:r>
        <w:rPr>
          <w:rFonts w:hint="eastAsia" w:eastAsia="方正仿宋_GBK"/>
          <w:kern w:val="0"/>
          <w:sz w:val="32"/>
          <w:szCs w:val="32"/>
        </w:rPr>
        <w:t>5</w:t>
      </w:r>
      <w:r>
        <w:rPr>
          <w:rFonts w:eastAsia="方正仿宋_GBK"/>
          <w:kern w:val="0"/>
          <w:sz w:val="32"/>
          <w:szCs w:val="32"/>
        </w:rPr>
        <w:t>年度）此表见附件</w:t>
      </w:r>
      <w:bookmarkEnd w:id="55"/>
      <w:r>
        <w:rPr>
          <w:rFonts w:eastAsia="方正仿宋_GBK"/>
          <w:kern w:val="0"/>
          <w:sz w:val="32"/>
          <w:szCs w:val="32"/>
        </w:rPr>
        <w:t>一</w:t>
      </w:r>
    </w:p>
    <w:p>
      <w:pPr>
        <w:spacing w:line="560" w:lineRule="exact"/>
        <w:outlineLvl w:val="0"/>
        <w:rPr>
          <w:rFonts w:eastAsia="方正仿宋_GBK"/>
          <w:color w:val="FF0000"/>
          <w:sz w:val="32"/>
          <w:szCs w:val="32"/>
        </w:rPr>
      </w:pPr>
      <w:r>
        <w:rPr>
          <w:rFonts w:eastAsia="方正仿宋_GBK"/>
          <w:kern w:val="0"/>
          <w:sz w:val="32"/>
          <w:szCs w:val="32"/>
        </w:rPr>
        <w:t>决算公开表（202</w:t>
      </w:r>
      <w:r>
        <w:rPr>
          <w:rFonts w:hint="eastAsia" w:eastAsia="方正仿宋_GBK"/>
          <w:kern w:val="0"/>
          <w:sz w:val="32"/>
          <w:szCs w:val="32"/>
        </w:rPr>
        <w:t>5</w:t>
      </w:r>
      <w:r>
        <w:rPr>
          <w:rFonts w:eastAsia="方正仿宋_GBK"/>
          <w:kern w:val="0"/>
          <w:sz w:val="32"/>
          <w:szCs w:val="32"/>
        </w:rPr>
        <w:t>年度）此表见附件二</w:t>
      </w:r>
    </w:p>
    <w:p>
      <w:pPr>
        <w:widowControl/>
        <w:spacing w:line="560" w:lineRule="exact"/>
        <w:jc w:val="center"/>
        <w:rPr>
          <w:rFonts w:eastAsia="方正仿宋_GBK"/>
          <w:sz w:val="32"/>
          <w:szCs w:val="32"/>
        </w:rPr>
      </w:pPr>
      <w:bookmarkStart w:id="56" w:name="_Toc15396618"/>
    </w:p>
    <w:p>
      <w:pPr>
        <w:widowControl/>
        <w:jc w:val="center"/>
        <w:rPr>
          <w:rFonts w:eastAsia="黑体"/>
          <w:sz w:val="44"/>
          <w:szCs w:val="44"/>
        </w:rPr>
      </w:pPr>
    </w:p>
    <w:p>
      <w:pPr>
        <w:widowControl/>
        <w:jc w:val="center"/>
        <w:rPr>
          <w:rFonts w:eastAsia="黑体"/>
          <w:sz w:val="44"/>
          <w:szCs w:val="44"/>
        </w:rPr>
      </w:pPr>
    </w:p>
    <w:p>
      <w:pPr>
        <w:widowControl/>
        <w:jc w:val="center"/>
        <w:rPr>
          <w:rFonts w:eastAsia="黑体"/>
          <w:sz w:val="44"/>
          <w:szCs w:val="44"/>
        </w:rPr>
      </w:pPr>
    </w:p>
    <w:p>
      <w:pPr>
        <w:widowControl/>
        <w:jc w:val="center"/>
        <w:rPr>
          <w:rFonts w:eastAsia="黑体"/>
          <w:sz w:val="44"/>
          <w:szCs w:val="44"/>
        </w:rPr>
      </w:pPr>
    </w:p>
    <w:p>
      <w:pPr>
        <w:widowControl/>
        <w:jc w:val="center"/>
        <w:rPr>
          <w:rFonts w:eastAsia="黑体"/>
          <w:sz w:val="44"/>
          <w:szCs w:val="44"/>
        </w:rPr>
      </w:pPr>
    </w:p>
    <w:p>
      <w:pPr>
        <w:widowControl/>
        <w:jc w:val="center"/>
        <w:rPr>
          <w:rFonts w:eastAsia="黑体"/>
          <w:sz w:val="44"/>
          <w:szCs w:val="44"/>
        </w:rPr>
      </w:pPr>
    </w:p>
    <w:p>
      <w:pPr>
        <w:widowControl/>
        <w:jc w:val="center"/>
        <w:rPr>
          <w:rFonts w:eastAsia="黑体"/>
          <w:sz w:val="44"/>
          <w:szCs w:val="44"/>
        </w:rPr>
      </w:pPr>
    </w:p>
    <w:p>
      <w:pPr>
        <w:widowControl/>
        <w:jc w:val="center"/>
        <w:rPr>
          <w:rFonts w:eastAsia="黑体"/>
          <w:sz w:val="44"/>
          <w:szCs w:val="44"/>
        </w:rPr>
      </w:pPr>
    </w:p>
    <w:p>
      <w:pPr>
        <w:widowControl/>
        <w:jc w:val="center"/>
        <w:rPr>
          <w:rFonts w:eastAsia="黑体"/>
          <w:sz w:val="44"/>
          <w:szCs w:val="44"/>
        </w:rPr>
      </w:pPr>
    </w:p>
    <w:p>
      <w:pPr>
        <w:widowControl/>
        <w:jc w:val="center"/>
        <w:rPr>
          <w:rFonts w:eastAsia="黑体"/>
          <w:sz w:val="44"/>
          <w:szCs w:val="44"/>
        </w:rPr>
      </w:pPr>
    </w:p>
    <w:p>
      <w:pPr>
        <w:widowControl/>
        <w:jc w:val="center"/>
        <w:rPr>
          <w:rFonts w:eastAsia="黑体"/>
          <w:sz w:val="44"/>
          <w:szCs w:val="44"/>
        </w:rPr>
      </w:pPr>
    </w:p>
    <w:p>
      <w:pPr>
        <w:widowControl/>
        <w:rPr>
          <w:rFonts w:eastAsia="黑体"/>
          <w:sz w:val="44"/>
          <w:szCs w:val="44"/>
        </w:rPr>
      </w:pPr>
    </w:p>
    <w:p>
      <w:pPr>
        <w:widowControl/>
        <w:spacing w:line="760" w:lineRule="exact"/>
        <w:jc w:val="center"/>
        <w:rPr>
          <w:rFonts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第</w:t>
      </w:r>
      <w:r>
        <w:rPr>
          <w:rStyle w:val="31"/>
          <w:rFonts w:hint="eastAsia" w:ascii="方正小标宋_GBK" w:hAnsi="方正小标宋_GBK" w:eastAsia="方正小标宋_GBK" w:cs="方正小标宋_GBK"/>
          <w:b w:val="0"/>
        </w:rPr>
        <w:t>五部分 附表</w:t>
      </w:r>
      <w:bookmarkEnd w:id="54"/>
      <w:bookmarkEnd w:id="56"/>
      <w:bookmarkStart w:id="57" w:name="_Toc15396619"/>
    </w:p>
    <w:p>
      <w:pPr>
        <w:pStyle w:val="16"/>
        <w:adjustRightInd w:val="0"/>
        <w:snapToGrid w:val="0"/>
        <w:spacing w:line="560" w:lineRule="exact"/>
        <w:jc w:val="left"/>
        <w:rPr>
          <w:rFonts w:eastAsia="仿宋_GB2312" w:cs="仿宋_GB2312"/>
          <w:sz w:val="32"/>
          <w:szCs w:val="32"/>
        </w:rPr>
      </w:pPr>
    </w:p>
    <w:p>
      <w:pPr>
        <w:pStyle w:val="16"/>
        <w:adjustRightInd w:val="0"/>
        <w:snapToGrid w:val="0"/>
        <w:spacing w:line="560" w:lineRule="exact"/>
        <w:jc w:val="left"/>
        <w:rPr>
          <w:rFonts w:eastAsia="方正仿宋_GBK"/>
          <w:sz w:val="32"/>
          <w:szCs w:val="32"/>
        </w:rPr>
      </w:pPr>
      <w:r>
        <w:rPr>
          <w:rFonts w:eastAsia="方正仿宋_GBK"/>
          <w:sz w:val="32"/>
          <w:szCs w:val="32"/>
        </w:rPr>
        <w:t>一、收入支出决算总表</w:t>
      </w:r>
      <w:bookmarkEnd w:id="57"/>
    </w:p>
    <w:p>
      <w:pPr>
        <w:pStyle w:val="16"/>
        <w:adjustRightInd w:val="0"/>
        <w:snapToGrid w:val="0"/>
        <w:spacing w:line="560" w:lineRule="exact"/>
        <w:jc w:val="left"/>
        <w:rPr>
          <w:rFonts w:eastAsia="方正仿宋_GBK"/>
          <w:sz w:val="32"/>
          <w:szCs w:val="32"/>
        </w:rPr>
      </w:pPr>
      <w:bookmarkStart w:id="58" w:name="_Toc15396620"/>
      <w:r>
        <w:rPr>
          <w:rFonts w:eastAsia="方正仿宋_GBK"/>
          <w:sz w:val="32"/>
          <w:szCs w:val="32"/>
        </w:rPr>
        <w:t>二、收入决算表</w:t>
      </w:r>
      <w:bookmarkEnd w:id="58"/>
    </w:p>
    <w:p>
      <w:pPr>
        <w:pStyle w:val="16"/>
        <w:adjustRightInd w:val="0"/>
        <w:snapToGrid w:val="0"/>
        <w:spacing w:line="560" w:lineRule="exact"/>
        <w:jc w:val="left"/>
        <w:rPr>
          <w:rFonts w:eastAsia="方正仿宋_GBK"/>
          <w:sz w:val="32"/>
          <w:szCs w:val="32"/>
        </w:rPr>
      </w:pPr>
      <w:bookmarkStart w:id="59" w:name="_Toc15396621"/>
      <w:r>
        <w:rPr>
          <w:rFonts w:eastAsia="方正仿宋_GBK"/>
          <w:sz w:val="32"/>
          <w:szCs w:val="32"/>
        </w:rPr>
        <w:t>三、支出决算表</w:t>
      </w:r>
      <w:bookmarkEnd w:id="59"/>
    </w:p>
    <w:p>
      <w:pPr>
        <w:pStyle w:val="16"/>
        <w:adjustRightInd w:val="0"/>
        <w:snapToGrid w:val="0"/>
        <w:spacing w:line="560" w:lineRule="exact"/>
        <w:jc w:val="left"/>
        <w:rPr>
          <w:rFonts w:eastAsia="方正仿宋_GBK"/>
          <w:sz w:val="32"/>
          <w:szCs w:val="32"/>
        </w:rPr>
      </w:pPr>
      <w:bookmarkStart w:id="60" w:name="_Toc15396622"/>
      <w:r>
        <w:rPr>
          <w:rFonts w:eastAsia="方正仿宋_GBK"/>
          <w:sz w:val="32"/>
          <w:szCs w:val="32"/>
        </w:rPr>
        <w:t>四、财政拨款收入支出决算总表</w:t>
      </w:r>
      <w:bookmarkEnd w:id="60"/>
    </w:p>
    <w:p>
      <w:pPr>
        <w:pStyle w:val="16"/>
        <w:adjustRightInd w:val="0"/>
        <w:snapToGrid w:val="0"/>
        <w:spacing w:line="560" w:lineRule="exact"/>
        <w:jc w:val="left"/>
        <w:rPr>
          <w:rFonts w:eastAsia="方正仿宋_GBK"/>
          <w:sz w:val="32"/>
          <w:szCs w:val="32"/>
        </w:rPr>
      </w:pPr>
      <w:bookmarkStart w:id="61" w:name="_Toc15396623"/>
      <w:r>
        <w:rPr>
          <w:rFonts w:eastAsia="方正仿宋_GBK"/>
          <w:sz w:val="32"/>
          <w:szCs w:val="32"/>
        </w:rPr>
        <w:t>五、财政拨款支出决算明细表</w:t>
      </w:r>
      <w:bookmarkEnd w:id="61"/>
      <w:bookmarkStart w:id="62" w:name="_Toc15396624"/>
    </w:p>
    <w:p>
      <w:pPr>
        <w:pStyle w:val="16"/>
        <w:adjustRightInd w:val="0"/>
        <w:snapToGrid w:val="0"/>
        <w:spacing w:line="560" w:lineRule="exact"/>
        <w:jc w:val="left"/>
        <w:rPr>
          <w:rFonts w:eastAsia="方正仿宋_GBK"/>
          <w:sz w:val="32"/>
          <w:szCs w:val="32"/>
        </w:rPr>
      </w:pPr>
      <w:r>
        <w:rPr>
          <w:rFonts w:eastAsia="方正仿宋_GBK"/>
          <w:sz w:val="32"/>
          <w:szCs w:val="32"/>
        </w:rPr>
        <w:t>六、一般公共预算财政拨款支出决算表</w:t>
      </w:r>
      <w:bookmarkEnd w:id="62"/>
    </w:p>
    <w:p>
      <w:pPr>
        <w:pStyle w:val="16"/>
        <w:adjustRightInd w:val="0"/>
        <w:snapToGrid w:val="0"/>
        <w:spacing w:line="560" w:lineRule="exact"/>
        <w:jc w:val="left"/>
        <w:rPr>
          <w:rFonts w:eastAsia="方正仿宋_GBK"/>
          <w:sz w:val="32"/>
          <w:szCs w:val="32"/>
        </w:rPr>
      </w:pPr>
      <w:bookmarkStart w:id="63" w:name="_Toc15396625"/>
      <w:r>
        <w:rPr>
          <w:rFonts w:eastAsia="方正仿宋_GBK"/>
          <w:sz w:val="32"/>
          <w:szCs w:val="32"/>
        </w:rPr>
        <w:t>七、一般公共预算财政拨款支出决算明细表</w:t>
      </w:r>
      <w:bookmarkEnd w:id="63"/>
    </w:p>
    <w:p>
      <w:pPr>
        <w:pStyle w:val="16"/>
        <w:adjustRightInd w:val="0"/>
        <w:snapToGrid w:val="0"/>
        <w:spacing w:line="560" w:lineRule="exact"/>
        <w:jc w:val="left"/>
        <w:rPr>
          <w:rFonts w:eastAsia="方正仿宋_GBK"/>
          <w:sz w:val="32"/>
          <w:szCs w:val="32"/>
        </w:rPr>
      </w:pPr>
      <w:bookmarkStart w:id="64" w:name="_Toc15396626"/>
      <w:r>
        <w:rPr>
          <w:rFonts w:eastAsia="方正仿宋_GBK"/>
          <w:sz w:val="32"/>
          <w:szCs w:val="32"/>
        </w:rPr>
        <w:t>八、一般公共预算财政拨款基本支出决算表</w:t>
      </w:r>
      <w:bookmarkEnd w:id="64"/>
    </w:p>
    <w:p>
      <w:pPr>
        <w:pStyle w:val="16"/>
        <w:adjustRightInd w:val="0"/>
        <w:snapToGrid w:val="0"/>
        <w:spacing w:line="560" w:lineRule="exact"/>
        <w:jc w:val="left"/>
        <w:rPr>
          <w:rFonts w:eastAsia="方正仿宋_GBK"/>
          <w:sz w:val="32"/>
          <w:szCs w:val="32"/>
        </w:rPr>
      </w:pPr>
      <w:bookmarkStart w:id="65" w:name="_Toc15396627"/>
      <w:r>
        <w:rPr>
          <w:rFonts w:eastAsia="方正仿宋_GBK"/>
          <w:sz w:val="32"/>
          <w:szCs w:val="32"/>
        </w:rPr>
        <w:t>九、一般公共预算财政拨款项目支出决算表</w:t>
      </w:r>
      <w:bookmarkEnd w:id="65"/>
    </w:p>
    <w:p>
      <w:pPr>
        <w:pStyle w:val="16"/>
        <w:adjustRightInd w:val="0"/>
        <w:snapToGrid w:val="0"/>
        <w:spacing w:line="560" w:lineRule="exact"/>
        <w:jc w:val="left"/>
        <w:rPr>
          <w:rFonts w:eastAsia="方正仿宋_GBK"/>
          <w:sz w:val="32"/>
          <w:szCs w:val="32"/>
        </w:rPr>
      </w:pPr>
      <w:bookmarkStart w:id="66" w:name="_Toc15396628"/>
      <w:r>
        <w:rPr>
          <w:rFonts w:eastAsia="方正仿宋_GBK"/>
          <w:sz w:val="32"/>
          <w:szCs w:val="32"/>
        </w:rPr>
        <w:t>十、</w:t>
      </w:r>
      <w:bookmarkEnd w:id="66"/>
      <w:r>
        <w:rPr>
          <w:rFonts w:eastAsia="方正仿宋_GBK"/>
          <w:sz w:val="32"/>
          <w:szCs w:val="32"/>
        </w:rPr>
        <w:t>政府性基金预算财政拨款收入支出决算表</w:t>
      </w:r>
    </w:p>
    <w:p>
      <w:pPr>
        <w:pStyle w:val="16"/>
        <w:adjustRightInd w:val="0"/>
        <w:snapToGrid w:val="0"/>
        <w:spacing w:line="560" w:lineRule="exact"/>
        <w:jc w:val="left"/>
        <w:rPr>
          <w:rFonts w:eastAsia="方正仿宋_GBK"/>
          <w:sz w:val="32"/>
          <w:szCs w:val="32"/>
        </w:rPr>
      </w:pPr>
      <w:bookmarkStart w:id="67" w:name="_Toc15396629"/>
      <w:r>
        <w:rPr>
          <w:rFonts w:eastAsia="方正仿宋_GBK"/>
          <w:sz w:val="32"/>
          <w:szCs w:val="32"/>
        </w:rPr>
        <w:t>十一、</w:t>
      </w:r>
      <w:bookmarkEnd w:id="67"/>
      <w:r>
        <w:rPr>
          <w:rFonts w:eastAsia="方正仿宋_GBK"/>
          <w:sz w:val="32"/>
          <w:szCs w:val="32"/>
        </w:rPr>
        <w:t>国有资本经营预算财政拨款收入支出决算表</w:t>
      </w:r>
    </w:p>
    <w:p>
      <w:pPr>
        <w:pStyle w:val="16"/>
        <w:adjustRightInd w:val="0"/>
        <w:snapToGrid w:val="0"/>
        <w:spacing w:line="560" w:lineRule="exact"/>
        <w:jc w:val="left"/>
        <w:rPr>
          <w:rFonts w:eastAsia="方正仿宋_GBK"/>
          <w:sz w:val="32"/>
          <w:szCs w:val="32"/>
        </w:rPr>
      </w:pPr>
      <w:bookmarkStart w:id="68" w:name="_Toc15396630"/>
      <w:r>
        <w:rPr>
          <w:rFonts w:eastAsia="方正仿宋_GBK"/>
          <w:sz w:val="32"/>
          <w:szCs w:val="32"/>
        </w:rPr>
        <w:t>十二、</w:t>
      </w:r>
      <w:bookmarkEnd w:id="68"/>
      <w:r>
        <w:rPr>
          <w:rFonts w:eastAsia="方正仿宋_GBK"/>
          <w:sz w:val="32"/>
          <w:szCs w:val="32"/>
        </w:rPr>
        <w:t>国有资本经营预算财政拨款支出决算表</w:t>
      </w:r>
    </w:p>
    <w:p>
      <w:pPr>
        <w:pStyle w:val="16"/>
        <w:adjustRightInd w:val="0"/>
        <w:snapToGrid w:val="0"/>
        <w:spacing w:line="560" w:lineRule="exact"/>
        <w:jc w:val="left"/>
        <w:rPr>
          <w:rFonts w:eastAsia="方正仿宋_GBK"/>
          <w:sz w:val="32"/>
          <w:szCs w:val="32"/>
        </w:rPr>
      </w:pPr>
      <w:bookmarkStart w:id="69" w:name="_Toc15396631"/>
      <w:r>
        <w:rPr>
          <w:rFonts w:eastAsia="方正仿宋_GBK"/>
          <w:sz w:val="32"/>
          <w:szCs w:val="32"/>
        </w:rPr>
        <w:t>十三、</w:t>
      </w:r>
      <w:bookmarkEnd w:id="69"/>
      <w:r>
        <w:rPr>
          <w:rFonts w:eastAsia="方正仿宋_GBK"/>
          <w:sz w:val="32"/>
          <w:szCs w:val="32"/>
        </w:rPr>
        <w:t>财政拨款“三公”经费支出决算表</w:t>
      </w:r>
    </w:p>
    <w:p>
      <w:pPr>
        <w:spacing w:line="560" w:lineRule="exact"/>
        <w:rPr>
          <w:rFonts w:eastAsia="方正仿宋_GBK"/>
          <w:sz w:val="32"/>
          <w:szCs w:val="32"/>
        </w:rPr>
      </w:pPr>
    </w:p>
    <w:sectPr>
      <w:footerReference r:id="rId8" w:type="first"/>
      <w:footerReference r:id="rId7" w:type="default"/>
      <w:pgSz w:w="11906" w:h="16838"/>
      <w:pgMar w:top="2098" w:right="1800" w:bottom="1984" w:left="1587" w:header="851" w:footer="992" w:gutter="0"/>
      <w:pgNumType w:start="1"/>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Cambria">
    <w:panose1 w:val="02040503050406030204"/>
    <w:charset w:val="00"/>
    <w:family w:val="roman"/>
    <w:pitch w:val="default"/>
    <w:sig w:usb0="E00002FF" w:usb1="400004FF" w:usb2="00000000"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Times New Roman"/>
    <w:panose1 w:val="00000000000000000000"/>
    <w:charset w:val="00"/>
    <w:family w:val="roman"/>
    <w:pitch w:val="default"/>
    <w:sig w:usb0="00000000" w:usb1="00000000" w:usb2="00000000" w:usb3="00000000" w:csb0="00000000" w:csb1="00000000"/>
  </w:font>
  <w:font w:name="方正小标宋简体">
    <w:panose1 w:val="02000000000000000000"/>
    <w:charset w:val="86"/>
    <w:family w:val="script"/>
    <w:pitch w:val="default"/>
    <w:sig w:usb0="A00002BF" w:usb1="184F6CFA" w:usb2="00000012" w:usb3="00000000" w:csb0="00040001" w:csb1="00000000"/>
  </w:font>
  <w:font w:name="方正小标宋_GBK">
    <w:panose1 w:val="03000509000000000000"/>
    <w:charset w:val="86"/>
    <w:family w:val="script"/>
    <w:pitch w:val="default"/>
    <w:sig w:usb0="00000001" w:usb1="080E0000" w:usb2="00000000" w:usb3="00000000" w:csb0="00040000" w:csb1="00000000"/>
  </w:font>
  <w:font w:name="方正黑体_GBK">
    <w:panose1 w:val="03000509000000000000"/>
    <w:charset w:val="86"/>
    <w:family w:val="script"/>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方正楷体_GBK">
    <w:panose1 w:val="03000509000000000000"/>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jc w:val="center"/>
    </w:pPr>
  </w:p>
  <w:p>
    <w:pPr>
      <w:pStyle w:val="1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jc w:val="center"/>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3"/>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a:noFill/>
                      </a:ln>
                    </wps:spPr>
                    <wps:txbx>
                      <w:txbxContent>
                        <w:p>
                          <w:pPr>
                            <w:pStyle w:val="12"/>
                          </w:pP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t>17</w:t>
                          </w:r>
                          <w:r>
                            <w:rPr>
                              <w:rFonts w:hint="eastAsia"/>
                            </w:rPr>
                            <w:fldChar w:fldCharType="end"/>
                          </w:r>
                          <w:r>
                            <w:rPr>
                              <w:rFonts w:hint="eastAsia"/>
                            </w:rPr>
                            <w:t xml:space="preserve"> —</w:t>
                          </w:r>
                        </w:p>
                      </w:txbxContent>
                    </wps:txbx>
                    <wps:bodyPr wrap="none" lIns="0" tIns="0" rIns="0" bIns="0">
                      <a:spAutoFit/>
                    </wps:bodyPr>
                  </wps:wsp>
                </a:graphicData>
              </a:graphic>
            </wp:anchor>
          </w:drawing>
        </mc:Choice>
        <mc:Fallback>
          <w:pict>
            <v:shape id="文本框 13"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BYAAABkcnMvUEsBAhQAFAAAAAgA&#10;h07iQM6pebnPAAAABQEAAA8AAAAAAAAAAQAgAAAAOAAAAGRycy9kb3ducmV2LnhtbFBLAQIUABQA&#10;AAAIAIdO4kAMHONqqgEAAEMDAAAOAAAAAAAAAAEAIAAAADQBAABkcnMvZTJvRG9jLnhtbFBLBQYA&#10;AAAABgAGAFkBAABQBQAAAAA=&#10;">
              <v:fill on="f" focussize="0,0"/>
              <v:stroke on="f"/>
              <v:imagedata o:title=""/>
              <o:lock v:ext="edit" aspectratio="f"/>
              <v:textbox inset="0mm,0mm,0mm,0mm" style="mso-fit-shape-to-text:t;">
                <w:txbxContent>
                  <w:p>
                    <w:pPr>
                      <w:pStyle w:val="12"/>
                    </w:pP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t>17</w:t>
                    </w:r>
                    <w:r>
                      <w:rPr>
                        <w:rFonts w:hint="eastAsia"/>
                      </w:rPr>
                      <w:fldChar w:fldCharType="end"/>
                    </w:r>
                    <w:r>
                      <w:rPr>
                        <w:rFonts w:hint="eastAsia"/>
                      </w:rPr>
                      <w:t xml:space="preserve"> —</w:t>
                    </w:r>
                  </w:p>
                </w:txbxContent>
              </v:textbox>
            </v:shape>
          </w:pict>
        </mc:Fallback>
      </mc:AlternateContent>
    </w:r>
  </w:p>
  <w:p>
    <w:pPr>
      <w:pStyle w:val="12"/>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14"/>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a:noFill/>
                      </a:ln>
                    </wps:spPr>
                    <wps:txbx>
                      <w:txbxContent>
                        <w:p>
                          <w:pPr>
                            <w:pStyle w:val="12"/>
                          </w:pP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r>
                            <w:rPr>
                              <w:rFonts w:hint="eastAsia"/>
                            </w:rPr>
                            <w:t xml:space="preserve"> —</w:t>
                          </w:r>
                        </w:p>
                      </w:txbxContent>
                    </wps:txbx>
                    <wps:bodyPr wrap="none" lIns="0" tIns="0" rIns="0" bIns="0">
                      <a:spAutoFit/>
                    </wps:bodyPr>
                  </wps:wsp>
                </a:graphicData>
              </a:graphic>
            </wp:anchor>
          </w:drawing>
        </mc:Choice>
        <mc:Fallback>
          <w:pict>
            <v:shape id="文本框 14"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FgAAAGRycy9QSwECFAAUAAAACACH&#10;TuJAzql5uc8AAAAFAQAADwAAAAAAAAABACAAAAA4AAAAZHJzL2Rvd25yZXYueG1sUEsBAhQAFAAA&#10;AAgAh07iQDSxo3OpAQAAQwMAAA4AAAAAAAAAAQAgAAAANAEAAGRycy9lMm9Eb2MueG1sUEsFBgAA&#10;AAAGAAYAWQEAAE8FAAAAAA==&#10;">
              <v:fill on="f" focussize="0,0"/>
              <v:stroke on="f"/>
              <v:imagedata o:title=""/>
              <o:lock v:ext="edit" aspectratio="f"/>
              <v:textbox inset="0mm,0mm,0mm,0mm" style="mso-fit-shape-to-text:t;">
                <w:txbxContent>
                  <w:p>
                    <w:pPr>
                      <w:pStyle w:val="12"/>
                    </w:pP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r>
                      <w:rPr>
                        <w:rFonts w:hint="eastAsia"/>
                      </w:rP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true"/>
  <w:bordersDoNotSurroundFooter w:val="true"/>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361C"/>
    <w:rsid w:val="000222C6"/>
    <w:rsid w:val="0002549F"/>
    <w:rsid w:val="00042DFA"/>
    <w:rsid w:val="000468DB"/>
    <w:rsid w:val="00051490"/>
    <w:rsid w:val="00055C1A"/>
    <w:rsid w:val="00063D93"/>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C3FD1"/>
    <w:rsid w:val="000D1267"/>
    <w:rsid w:val="000D1D50"/>
    <w:rsid w:val="000D5782"/>
    <w:rsid w:val="000E6613"/>
    <w:rsid w:val="000E7119"/>
    <w:rsid w:val="00114E9B"/>
    <w:rsid w:val="00142216"/>
    <w:rsid w:val="00144D6A"/>
    <w:rsid w:val="0014729F"/>
    <w:rsid w:val="001500C3"/>
    <w:rsid w:val="00157BAB"/>
    <w:rsid w:val="00163777"/>
    <w:rsid w:val="001654D1"/>
    <w:rsid w:val="00172A5C"/>
    <w:rsid w:val="00174518"/>
    <w:rsid w:val="0018106D"/>
    <w:rsid w:val="001877A7"/>
    <w:rsid w:val="00191536"/>
    <w:rsid w:val="00196687"/>
    <w:rsid w:val="001C0962"/>
    <w:rsid w:val="001D7531"/>
    <w:rsid w:val="001E737D"/>
    <w:rsid w:val="001F0592"/>
    <w:rsid w:val="001F4BA1"/>
    <w:rsid w:val="001F7506"/>
    <w:rsid w:val="002006CD"/>
    <w:rsid w:val="00202B36"/>
    <w:rsid w:val="00204B7A"/>
    <w:rsid w:val="00204CDE"/>
    <w:rsid w:val="00204D7A"/>
    <w:rsid w:val="0021101A"/>
    <w:rsid w:val="00220536"/>
    <w:rsid w:val="00235629"/>
    <w:rsid w:val="00260C38"/>
    <w:rsid w:val="002616C0"/>
    <w:rsid w:val="00265372"/>
    <w:rsid w:val="002662AA"/>
    <w:rsid w:val="00280496"/>
    <w:rsid w:val="00294DC9"/>
    <w:rsid w:val="00295495"/>
    <w:rsid w:val="002A244C"/>
    <w:rsid w:val="002A31DE"/>
    <w:rsid w:val="002B2613"/>
    <w:rsid w:val="002D6D05"/>
    <w:rsid w:val="002F1818"/>
    <w:rsid w:val="002F567B"/>
    <w:rsid w:val="003216A9"/>
    <w:rsid w:val="00335A74"/>
    <w:rsid w:val="0036561B"/>
    <w:rsid w:val="0037013F"/>
    <w:rsid w:val="00380C92"/>
    <w:rsid w:val="003A3847"/>
    <w:rsid w:val="003A484F"/>
    <w:rsid w:val="003A4883"/>
    <w:rsid w:val="003A4DE3"/>
    <w:rsid w:val="003B0BE0"/>
    <w:rsid w:val="003B0C1B"/>
    <w:rsid w:val="003B688C"/>
    <w:rsid w:val="003C0291"/>
    <w:rsid w:val="003C39AE"/>
    <w:rsid w:val="003C7B60"/>
    <w:rsid w:val="003D0C0F"/>
    <w:rsid w:val="003D1FB2"/>
    <w:rsid w:val="003D66DA"/>
    <w:rsid w:val="003E1310"/>
    <w:rsid w:val="003E6AA2"/>
    <w:rsid w:val="003E6F55"/>
    <w:rsid w:val="00406254"/>
    <w:rsid w:val="004223DE"/>
    <w:rsid w:val="00431A3D"/>
    <w:rsid w:val="00434489"/>
    <w:rsid w:val="00437085"/>
    <w:rsid w:val="00443880"/>
    <w:rsid w:val="004464F4"/>
    <w:rsid w:val="00456BD6"/>
    <w:rsid w:val="00471401"/>
    <w:rsid w:val="00473F31"/>
    <w:rsid w:val="0048263A"/>
    <w:rsid w:val="00487E5D"/>
    <w:rsid w:val="004A2797"/>
    <w:rsid w:val="004A711F"/>
    <w:rsid w:val="004B199D"/>
    <w:rsid w:val="004B4690"/>
    <w:rsid w:val="004E0A2D"/>
    <w:rsid w:val="004E206B"/>
    <w:rsid w:val="004E6DF7"/>
    <w:rsid w:val="004F0FBD"/>
    <w:rsid w:val="00505A47"/>
    <w:rsid w:val="00512FDA"/>
    <w:rsid w:val="00520DA0"/>
    <w:rsid w:val="00564289"/>
    <w:rsid w:val="005664BB"/>
    <w:rsid w:val="00566FFA"/>
    <w:rsid w:val="0057043F"/>
    <w:rsid w:val="0057113E"/>
    <w:rsid w:val="0057481D"/>
    <w:rsid w:val="0058486E"/>
    <w:rsid w:val="00585B33"/>
    <w:rsid w:val="0059014D"/>
    <w:rsid w:val="005B1DF3"/>
    <w:rsid w:val="005B5C64"/>
    <w:rsid w:val="005C5337"/>
    <w:rsid w:val="005C6BD0"/>
    <w:rsid w:val="005D1C8B"/>
    <w:rsid w:val="005D468D"/>
    <w:rsid w:val="005D5CED"/>
    <w:rsid w:val="005F1A4C"/>
    <w:rsid w:val="005F3493"/>
    <w:rsid w:val="00605688"/>
    <w:rsid w:val="006070AF"/>
    <w:rsid w:val="00607E6C"/>
    <w:rsid w:val="006101B1"/>
    <w:rsid w:val="00614E44"/>
    <w:rsid w:val="0062270A"/>
    <w:rsid w:val="00622830"/>
    <w:rsid w:val="0062339C"/>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2837"/>
    <w:rsid w:val="007156E8"/>
    <w:rsid w:val="0071798E"/>
    <w:rsid w:val="007416B6"/>
    <w:rsid w:val="00746F48"/>
    <w:rsid w:val="0075404D"/>
    <w:rsid w:val="0076182A"/>
    <w:rsid w:val="00763953"/>
    <w:rsid w:val="00767B7E"/>
    <w:rsid w:val="007770C3"/>
    <w:rsid w:val="00784D24"/>
    <w:rsid w:val="00785FBA"/>
    <w:rsid w:val="00786E4A"/>
    <w:rsid w:val="007875EB"/>
    <w:rsid w:val="0079426B"/>
    <w:rsid w:val="00794818"/>
    <w:rsid w:val="007B4C43"/>
    <w:rsid w:val="007C4D56"/>
    <w:rsid w:val="007D1682"/>
    <w:rsid w:val="007D312A"/>
    <w:rsid w:val="007D3F19"/>
    <w:rsid w:val="007E23B0"/>
    <w:rsid w:val="007E23E5"/>
    <w:rsid w:val="007F1991"/>
    <w:rsid w:val="007F2C2F"/>
    <w:rsid w:val="007F3AD2"/>
    <w:rsid w:val="007F55FC"/>
    <w:rsid w:val="007F5665"/>
    <w:rsid w:val="00800112"/>
    <w:rsid w:val="00813348"/>
    <w:rsid w:val="008253BB"/>
    <w:rsid w:val="0083706E"/>
    <w:rsid w:val="0084053B"/>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064F8"/>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D7E96"/>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75AC6"/>
    <w:rsid w:val="00A91760"/>
    <w:rsid w:val="00A93953"/>
    <w:rsid w:val="00A93B00"/>
    <w:rsid w:val="00A93C21"/>
    <w:rsid w:val="00AB64C9"/>
    <w:rsid w:val="00AC3C6A"/>
    <w:rsid w:val="00AC6924"/>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25AD"/>
    <w:rsid w:val="00BB4DF0"/>
    <w:rsid w:val="00BC289F"/>
    <w:rsid w:val="00BC2D50"/>
    <w:rsid w:val="00BC5361"/>
    <w:rsid w:val="00BC5460"/>
    <w:rsid w:val="00BC6B50"/>
    <w:rsid w:val="00BD0E25"/>
    <w:rsid w:val="00BF5BD6"/>
    <w:rsid w:val="00C0377F"/>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B79DB"/>
    <w:rsid w:val="00CC09B6"/>
    <w:rsid w:val="00CC666F"/>
    <w:rsid w:val="00CD1E3F"/>
    <w:rsid w:val="00CE387B"/>
    <w:rsid w:val="00CE44F6"/>
    <w:rsid w:val="00CE49DA"/>
    <w:rsid w:val="00CE7B61"/>
    <w:rsid w:val="00D00095"/>
    <w:rsid w:val="00D114F0"/>
    <w:rsid w:val="00D20620"/>
    <w:rsid w:val="00D254F7"/>
    <w:rsid w:val="00D26091"/>
    <w:rsid w:val="00D2685C"/>
    <w:rsid w:val="00D34E7C"/>
    <w:rsid w:val="00D35489"/>
    <w:rsid w:val="00D36AFE"/>
    <w:rsid w:val="00D36D70"/>
    <w:rsid w:val="00D46C55"/>
    <w:rsid w:val="00D51276"/>
    <w:rsid w:val="00D7035F"/>
    <w:rsid w:val="00D71520"/>
    <w:rsid w:val="00D84800"/>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2E0"/>
    <w:rsid w:val="00E336A9"/>
    <w:rsid w:val="00E42ACB"/>
    <w:rsid w:val="00E472B1"/>
    <w:rsid w:val="00E50624"/>
    <w:rsid w:val="00E54633"/>
    <w:rsid w:val="00E568DF"/>
    <w:rsid w:val="00E64269"/>
    <w:rsid w:val="00E82267"/>
    <w:rsid w:val="00E853CE"/>
    <w:rsid w:val="00E867B6"/>
    <w:rsid w:val="00E9024B"/>
    <w:rsid w:val="00EA010F"/>
    <w:rsid w:val="00ED1B63"/>
    <w:rsid w:val="00ED3C1F"/>
    <w:rsid w:val="00ED4085"/>
    <w:rsid w:val="00ED420E"/>
    <w:rsid w:val="00ED6FBE"/>
    <w:rsid w:val="00EE2F57"/>
    <w:rsid w:val="00EF4C34"/>
    <w:rsid w:val="00EF77C6"/>
    <w:rsid w:val="00F05438"/>
    <w:rsid w:val="00F1361C"/>
    <w:rsid w:val="00F155E5"/>
    <w:rsid w:val="00F156F0"/>
    <w:rsid w:val="00F160C7"/>
    <w:rsid w:val="00F2408F"/>
    <w:rsid w:val="00F240E9"/>
    <w:rsid w:val="00F36D8F"/>
    <w:rsid w:val="00F417B1"/>
    <w:rsid w:val="00F45853"/>
    <w:rsid w:val="00F602DF"/>
    <w:rsid w:val="00F754A1"/>
    <w:rsid w:val="00F81FD9"/>
    <w:rsid w:val="00F841AA"/>
    <w:rsid w:val="00F84A94"/>
    <w:rsid w:val="00F87E96"/>
    <w:rsid w:val="00FA233B"/>
    <w:rsid w:val="00FA23E8"/>
    <w:rsid w:val="00FD0415"/>
    <w:rsid w:val="00FD3CC1"/>
    <w:rsid w:val="00FF1E02"/>
    <w:rsid w:val="00FF30B4"/>
    <w:rsid w:val="012A5EC2"/>
    <w:rsid w:val="015975B8"/>
    <w:rsid w:val="01C9535D"/>
    <w:rsid w:val="02FEBE30"/>
    <w:rsid w:val="03CB1355"/>
    <w:rsid w:val="04916F1E"/>
    <w:rsid w:val="04FC6798"/>
    <w:rsid w:val="05354601"/>
    <w:rsid w:val="058F5275"/>
    <w:rsid w:val="061E35DE"/>
    <w:rsid w:val="066E0107"/>
    <w:rsid w:val="071805F9"/>
    <w:rsid w:val="07996F6E"/>
    <w:rsid w:val="07DFD8BA"/>
    <w:rsid w:val="089E0245"/>
    <w:rsid w:val="090447B1"/>
    <w:rsid w:val="09597DC2"/>
    <w:rsid w:val="09867E8F"/>
    <w:rsid w:val="0A2032A3"/>
    <w:rsid w:val="0A8F5C65"/>
    <w:rsid w:val="0AC046DD"/>
    <w:rsid w:val="0B6726E7"/>
    <w:rsid w:val="0CA8290A"/>
    <w:rsid w:val="0D35B1ED"/>
    <w:rsid w:val="0DC91066"/>
    <w:rsid w:val="0DEEC5BD"/>
    <w:rsid w:val="0E254B6B"/>
    <w:rsid w:val="0F98263C"/>
    <w:rsid w:val="101860EC"/>
    <w:rsid w:val="101F47CC"/>
    <w:rsid w:val="10C055FF"/>
    <w:rsid w:val="112745F0"/>
    <w:rsid w:val="11694EBD"/>
    <w:rsid w:val="11772AA4"/>
    <w:rsid w:val="118107EC"/>
    <w:rsid w:val="12E24EE2"/>
    <w:rsid w:val="130127E9"/>
    <w:rsid w:val="1339002E"/>
    <w:rsid w:val="13D50BC4"/>
    <w:rsid w:val="14B17F78"/>
    <w:rsid w:val="15AE37F3"/>
    <w:rsid w:val="165E0673"/>
    <w:rsid w:val="16B831D5"/>
    <w:rsid w:val="16BB723D"/>
    <w:rsid w:val="17AB2381"/>
    <w:rsid w:val="17E50567"/>
    <w:rsid w:val="186504BB"/>
    <w:rsid w:val="19A445FC"/>
    <w:rsid w:val="1B8B45DE"/>
    <w:rsid w:val="1BE8440E"/>
    <w:rsid w:val="1CBD8F03"/>
    <w:rsid w:val="1D155CEE"/>
    <w:rsid w:val="1D1638FE"/>
    <w:rsid w:val="1D5D4849"/>
    <w:rsid w:val="1DF27D47"/>
    <w:rsid w:val="1E312DEB"/>
    <w:rsid w:val="1E740ACF"/>
    <w:rsid w:val="1EF62B2F"/>
    <w:rsid w:val="1FB02E80"/>
    <w:rsid w:val="1FF35744"/>
    <w:rsid w:val="1FF6BC77"/>
    <w:rsid w:val="208149A2"/>
    <w:rsid w:val="20D92495"/>
    <w:rsid w:val="2186353C"/>
    <w:rsid w:val="21C52241"/>
    <w:rsid w:val="22EA2D91"/>
    <w:rsid w:val="23860B96"/>
    <w:rsid w:val="23E4512F"/>
    <w:rsid w:val="240371BF"/>
    <w:rsid w:val="2417230E"/>
    <w:rsid w:val="244F3473"/>
    <w:rsid w:val="24C97D99"/>
    <w:rsid w:val="25A718F0"/>
    <w:rsid w:val="25BB59F6"/>
    <w:rsid w:val="260F557C"/>
    <w:rsid w:val="26970054"/>
    <w:rsid w:val="281408E2"/>
    <w:rsid w:val="2988138B"/>
    <w:rsid w:val="29FD04D3"/>
    <w:rsid w:val="2BFF7BC6"/>
    <w:rsid w:val="2C8A61B5"/>
    <w:rsid w:val="2DF04E50"/>
    <w:rsid w:val="2E02560C"/>
    <w:rsid w:val="2E586DFA"/>
    <w:rsid w:val="2F040D46"/>
    <w:rsid w:val="2F075F1F"/>
    <w:rsid w:val="2F6B035B"/>
    <w:rsid w:val="2FAE5751"/>
    <w:rsid w:val="2FB1A395"/>
    <w:rsid w:val="2FD9A7D8"/>
    <w:rsid w:val="2FDBF714"/>
    <w:rsid w:val="30256EA7"/>
    <w:rsid w:val="30AB6865"/>
    <w:rsid w:val="30FF2429"/>
    <w:rsid w:val="319F7F4E"/>
    <w:rsid w:val="327D452D"/>
    <w:rsid w:val="32B435E2"/>
    <w:rsid w:val="32BD1EF1"/>
    <w:rsid w:val="3304709D"/>
    <w:rsid w:val="33A773CB"/>
    <w:rsid w:val="349D6851"/>
    <w:rsid w:val="362D0B99"/>
    <w:rsid w:val="36AA5135"/>
    <w:rsid w:val="36BE0DA7"/>
    <w:rsid w:val="376B6AA6"/>
    <w:rsid w:val="376D39B2"/>
    <w:rsid w:val="37755607"/>
    <w:rsid w:val="37E16F03"/>
    <w:rsid w:val="37F0762E"/>
    <w:rsid w:val="37F53A3B"/>
    <w:rsid w:val="383C7674"/>
    <w:rsid w:val="387D3750"/>
    <w:rsid w:val="389B6C89"/>
    <w:rsid w:val="38B84A55"/>
    <w:rsid w:val="38D469F0"/>
    <w:rsid w:val="39627CCD"/>
    <w:rsid w:val="397BAF1F"/>
    <w:rsid w:val="398B188F"/>
    <w:rsid w:val="3AB79AF3"/>
    <w:rsid w:val="3AE834C0"/>
    <w:rsid w:val="3B7EF35A"/>
    <w:rsid w:val="3B9FDB6C"/>
    <w:rsid w:val="3BF5BC2F"/>
    <w:rsid w:val="3C4744CA"/>
    <w:rsid w:val="3CEBA265"/>
    <w:rsid w:val="3D602123"/>
    <w:rsid w:val="3D98207C"/>
    <w:rsid w:val="3DEE7CF3"/>
    <w:rsid w:val="3E740A63"/>
    <w:rsid w:val="3E78745D"/>
    <w:rsid w:val="3EE17838"/>
    <w:rsid w:val="3EF645C7"/>
    <w:rsid w:val="3F55381A"/>
    <w:rsid w:val="3F7F7599"/>
    <w:rsid w:val="3FF4CAE0"/>
    <w:rsid w:val="3FF7B227"/>
    <w:rsid w:val="402E7891"/>
    <w:rsid w:val="406305AA"/>
    <w:rsid w:val="41AE4AB6"/>
    <w:rsid w:val="43F13DEC"/>
    <w:rsid w:val="44E268DA"/>
    <w:rsid w:val="45065E12"/>
    <w:rsid w:val="450D13D7"/>
    <w:rsid w:val="45506656"/>
    <w:rsid w:val="45886FDD"/>
    <w:rsid w:val="458C5CBB"/>
    <w:rsid w:val="46460DF3"/>
    <w:rsid w:val="4707726E"/>
    <w:rsid w:val="486A6C7A"/>
    <w:rsid w:val="4A627F82"/>
    <w:rsid w:val="4B0E749A"/>
    <w:rsid w:val="4B2477C4"/>
    <w:rsid w:val="4B4F25DA"/>
    <w:rsid w:val="4BE068DB"/>
    <w:rsid w:val="4D577224"/>
    <w:rsid w:val="4DBF1CEB"/>
    <w:rsid w:val="4DF0007C"/>
    <w:rsid w:val="4EAB630A"/>
    <w:rsid w:val="4EC17F8C"/>
    <w:rsid w:val="4ECE2238"/>
    <w:rsid w:val="4F833267"/>
    <w:rsid w:val="4FB20493"/>
    <w:rsid w:val="4FD69ABC"/>
    <w:rsid w:val="4FE9BD67"/>
    <w:rsid w:val="4FFB052F"/>
    <w:rsid w:val="50D22C10"/>
    <w:rsid w:val="532741B4"/>
    <w:rsid w:val="537E6D0A"/>
    <w:rsid w:val="53F74C96"/>
    <w:rsid w:val="55170BA8"/>
    <w:rsid w:val="553218C9"/>
    <w:rsid w:val="567E1AA5"/>
    <w:rsid w:val="56E47B74"/>
    <w:rsid w:val="57175D52"/>
    <w:rsid w:val="57BD3DD4"/>
    <w:rsid w:val="59EF1B16"/>
    <w:rsid w:val="5A7FBF21"/>
    <w:rsid w:val="5AF92295"/>
    <w:rsid w:val="5B250254"/>
    <w:rsid w:val="5B7C1E1C"/>
    <w:rsid w:val="5BDD79E6"/>
    <w:rsid w:val="5BF561CA"/>
    <w:rsid w:val="5BFF5DFC"/>
    <w:rsid w:val="5CD71FC4"/>
    <w:rsid w:val="5D1F11B5"/>
    <w:rsid w:val="5D695134"/>
    <w:rsid w:val="5DAE1B18"/>
    <w:rsid w:val="5DE7D9E5"/>
    <w:rsid w:val="5E864691"/>
    <w:rsid w:val="5ECEC941"/>
    <w:rsid w:val="5FBF9FF3"/>
    <w:rsid w:val="5FCD4E2C"/>
    <w:rsid w:val="5FEF394A"/>
    <w:rsid w:val="5FF67715"/>
    <w:rsid w:val="60D156C3"/>
    <w:rsid w:val="60D36C4F"/>
    <w:rsid w:val="60DA170D"/>
    <w:rsid w:val="60DE5475"/>
    <w:rsid w:val="619C70BE"/>
    <w:rsid w:val="62BF3928"/>
    <w:rsid w:val="637A045F"/>
    <w:rsid w:val="63954FB8"/>
    <w:rsid w:val="63B3701E"/>
    <w:rsid w:val="64294F07"/>
    <w:rsid w:val="647F5392"/>
    <w:rsid w:val="65E66580"/>
    <w:rsid w:val="664B1D71"/>
    <w:rsid w:val="664B4E8E"/>
    <w:rsid w:val="664D15E2"/>
    <w:rsid w:val="66D1516F"/>
    <w:rsid w:val="67277B67"/>
    <w:rsid w:val="67AA3209"/>
    <w:rsid w:val="67C2754E"/>
    <w:rsid w:val="698D0931"/>
    <w:rsid w:val="6A7FE5F3"/>
    <w:rsid w:val="6B053271"/>
    <w:rsid w:val="6B451610"/>
    <w:rsid w:val="6BDD78B3"/>
    <w:rsid w:val="6C4A05C8"/>
    <w:rsid w:val="6C8742B8"/>
    <w:rsid w:val="6DBF5E93"/>
    <w:rsid w:val="6DFF077E"/>
    <w:rsid w:val="6E714EF0"/>
    <w:rsid w:val="6E7E3605"/>
    <w:rsid w:val="6E7FDCC7"/>
    <w:rsid w:val="6ED6A62E"/>
    <w:rsid w:val="6EE00B15"/>
    <w:rsid w:val="6F6FB3EB"/>
    <w:rsid w:val="6F7F2B1B"/>
    <w:rsid w:val="6F8731EA"/>
    <w:rsid w:val="6FB4195E"/>
    <w:rsid w:val="6FCE6052"/>
    <w:rsid w:val="6FD57C00"/>
    <w:rsid w:val="6FEFFFD8"/>
    <w:rsid w:val="6FF5CC65"/>
    <w:rsid w:val="6FFB47EC"/>
    <w:rsid w:val="6FFF034A"/>
    <w:rsid w:val="70484440"/>
    <w:rsid w:val="712A28F1"/>
    <w:rsid w:val="715C0E4B"/>
    <w:rsid w:val="71992E7C"/>
    <w:rsid w:val="72103996"/>
    <w:rsid w:val="72233669"/>
    <w:rsid w:val="72734D90"/>
    <w:rsid w:val="73160E6D"/>
    <w:rsid w:val="7332FE48"/>
    <w:rsid w:val="73480EFA"/>
    <w:rsid w:val="73AB61DA"/>
    <w:rsid w:val="73AD73D5"/>
    <w:rsid w:val="73B6EB34"/>
    <w:rsid w:val="73FA497D"/>
    <w:rsid w:val="74266BD9"/>
    <w:rsid w:val="74344C98"/>
    <w:rsid w:val="74405058"/>
    <w:rsid w:val="744731E5"/>
    <w:rsid w:val="745D57D2"/>
    <w:rsid w:val="74BBD01D"/>
    <w:rsid w:val="74ED5379"/>
    <w:rsid w:val="759461F4"/>
    <w:rsid w:val="75DEEEC2"/>
    <w:rsid w:val="75E32345"/>
    <w:rsid w:val="76E3355F"/>
    <w:rsid w:val="76FF5125"/>
    <w:rsid w:val="776F6FFA"/>
    <w:rsid w:val="778769C8"/>
    <w:rsid w:val="77A75DCA"/>
    <w:rsid w:val="77DC22F5"/>
    <w:rsid w:val="77E31A0C"/>
    <w:rsid w:val="783E271A"/>
    <w:rsid w:val="78616DE9"/>
    <w:rsid w:val="78883F2D"/>
    <w:rsid w:val="78E875D7"/>
    <w:rsid w:val="79086DAD"/>
    <w:rsid w:val="793E378D"/>
    <w:rsid w:val="79691E42"/>
    <w:rsid w:val="79D7FD79"/>
    <w:rsid w:val="79EE5BA4"/>
    <w:rsid w:val="7A894339"/>
    <w:rsid w:val="7AD284E8"/>
    <w:rsid w:val="7AFF7572"/>
    <w:rsid w:val="7B6C7DFB"/>
    <w:rsid w:val="7B9511CA"/>
    <w:rsid w:val="7BBFBED0"/>
    <w:rsid w:val="7BC3E394"/>
    <w:rsid w:val="7C1F3737"/>
    <w:rsid w:val="7C7C302D"/>
    <w:rsid w:val="7CBFC87B"/>
    <w:rsid w:val="7CFE0F48"/>
    <w:rsid w:val="7D272ABC"/>
    <w:rsid w:val="7D7EC23E"/>
    <w:rsid w:val="7E093496"/>
    <w:rsid w:val="7E8ADEBF"/>
    <w:rsid w:val="7EEF11D3"/>
    <w:rsid w:val="7EFE4840"/>
    <w:rsid w:val="7F0971A6"/>
    <w:rsid w:val="7F1D62E7"/>
    <w:rsid w:val="7F3F679B"/>
    <w:rsid w:val="7F4FC4EF"/>
    <w:rsid w:val="7F5E4D54"/>
    <w:rsid w:val="7F6E0135"/>
    <w:rsid w:val="7F79F205"/>
    <w:rsid w:val="7FA30C79"/>
    <w:rsid w:val="7FA79C44"/>
    <w:rsid w:val="7FA95B13"/>
    <w:rsid w:val="7FAF8ABF"/>
    <w:rsid w:val="7FB7269E"/>
    <w:rsid w:val="7FC96657"/>
    <w:rsid w:val="7FDA9588"/>
    <w:rsid w:val="7FDF220F"/>
    <w:rsid w:val="7FEDC5F7"/>
    <w:rsid w:val="7FEDD9DE"/>
    <w:rsid w:val="7FF5890D"/>
    <w:rsid w:val="7FF93490"/>
    <w:rsid w:val="7FFB0937"/>
    <w:rsid w:val="7FFD04B7"/>
    <w:rsid w:val="99FF2014"/>
    <w:rsid w:val="A6DD0D7F"/>
    <w:rsid w:val="ACFF4FBB"/>
    <w:rsid w:val="ADC6F725"/>
    <w:rsid w:val="B7CF06AB"/>
    <w:rsid w:val="B7CFA926"/>
    <w:rsid w:val="B7F8786B"/>
    <w:rsid w:val="BABB6AA1"/>
    <w:rsid w:val="BB2F4199"/>
    <w:rsid w:val="BCFFB442"/>
    <w:rsid w:val="BD079C78"/>
    <w:rsid w:val="BD733540"/>
    <w:rsid w:val="BF3735D5"/>
    <w:rsid w:val="BF7F09AC"/>
    <w:rsid w:val="BFD475C3"/>
    <w:rsid w:val="BFDE5EA6"/>
    <w:rsid w:val="BFFA3464"/>
    <w:rsid w:val="CF07C958"/>
    <w:rsid w:val="CF6FC6F3"/>
    <w:rsid w:val="CFD3D3D7"/>
    <w:rsid w:val="CFDF1009"/>
    <w:rsid w:val="CFEB8399"/>
    <w:rsid w:val="D7D7B16A"/>
    <w:rsid w:val="D8D6DB89"/>
    <w:rsid w:val="DB6F4CAB"/>
    <w:rsid w:val="DB777682"/>
    <w:rsid w:val="DD1FB521"/>
    <w:rsid w:val="DEFBFEAE"/>
    <w:rsid w:val="DF1F3B80"/>
    <w:rsid w:val="DF6F9789"/>
    <w:rsid w:val="DFE9BE81"/>
    <w:rsid w:val="DFEF03CB"/>
    <w:rsid w:val="DFFFA9E8"/>
    <w:rsid w:val="E5F4E9DC"/>
    <w:rsid w:val="E70FE695"/>
    <w:rsid w:val="EB2E368B"/>
    <w:rsid w:val="ECFED1BC"/>
    <w:rsid w:val="ED1D69BB"/>
    <w:rsid w:val="ED7FD312"/>
    <w:rsid w:val="EF2E1AC6"/>
    <w:rsid w:val="EF53993F"/>
    <w:rsid w:val="EF6FD633"/>
    <w:rsid w:val="EF7FB572"/>
    <w:rsid w:val="EFBFB2F4"/>
    <w:rsid w:val="EFBFFA21"/>
    <w:rsid w:val="F2BEBCB8"/>
    <w:rsid w:val="F2FF88D1"/>
    <w:rsid w:val="F36FB518"/>
    <w:rsid w:val="F3DE1A04"/>
    <w:rsid w:val="F3F722E5"/>
    <w:rsid w:val="F4FBCD07"/>
    <w:rsid w:val="F9FF952C"/>
    <w:rsid w:val="FA5F1E70"/>
    <w:rsid w:val="FA5FDB97"/>
    <w:rsid w:val="FB7F486A"/>
    <w:rsid w:val="FBFF5B2E"/>
    <w:rsid w:val="FD7FFE2B"/>
    <w:rsid w:val="FDEE196B"/>
    <w:rsid w:val="FDF7A6AF"/>
    <w:rsid w:val="FDFE6575"/>
    <w:rsid w:val="FEDFDDC2"/>
    <w:rsid w:val="FEED32F6"/>
    <w:rsid w:val="FEF781DD"/>
    <w:rsid w:val="FF3F7E3F"/>
    <w:rsid w:val="FFBA12D7"/>
    <w:rsid w:val="FFCBD314"/>
    <w:rsid w:val="FFDFF91C"/>
    <w:rsid w:val="FFDFFAEE"/>
    <w:rsid w:val="FFEF6777"/>
    <w:rsid w:val="FFF9B57B"/>
    <w:rsid w:val="FFFD61D9"/>
    <w:rsid w:val="FFFD8F59"/>
    <w:rsid w:val="FFFF2BB1"/>
    <w:rsid w:val="FFFFB04D"/>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qFormat="1"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iPriority="5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31"/>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32"/>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link w:val="35"/>
    <w:unhideWhenUsed/>
    <w:qFormat/>
    <w:uiPriority w:val="9"/>
    <w:pPr>
      <w:keepNext/>
      <w:keepLines/>
      <w:spacing w:before="260" w:after="260" w:line="416" w:lineRule="auto"/>
      <w:outlineLvl w:val="2"/>
    </w:pPr>
    <w:rPr>
      <w:b/>
      <w:bCs/>
      <w:sz w:val="32"/>
      <w:szCs w:val="32"/>
    </w:rPr>
  </w:style>
  <w:style w:type="character" w:default="1" w:styleId="19">
    <w:name w:val="Default Paragraph Font"/>
    <w:semiHidden/>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customStyle="1" w:styleId="2">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paragraph" w:styleId="6">
    <w:name w:val="annotation text"/>
    <w:basedOn w:val="1"/>
    <w:link w:val="38"/>
    <w:semiHidden/>
    <w:unhideWhenUsed/>
    <w:qFormat/>
    <w:uiPriority w:val="99"/>
    <w:pPr>
      <w:jc w:val="left"/>
    </w:pPr>
  </w:style>
  <w:style w:type="paragraph" w:styleId="7">
    <w:name w:val="Body Text"/>
    <w:basedOn w:val="1"/>
    <w:link w:val="28"/>
    <w:qFormat/>
    <w:uiPriority w:val="99"/>
    <w:pPr>
      <w:spacing w:beforeLines="30"/>
    </w:pPr>
    <w:rPr>
      <w:rFonts w:ascii="仿宋_GB2312" w:eastAsia="仿宋_GB2312"/>
      <w:kern w:val="0"/>
      <w:sz w:val="30"/>
    </w:rPr>
  </w:style>
  <w:style w:type="paragraph" w:styleId="8">
    <w:name w:val="Body Text Indent"/>
    <w:basedOn w:val="1"/>
    <w:next w:val="9"/>
    <w:qFormat/>
    <w:uiPriority w:val="0"/>
    <w:pPr>
      <w:spacing w:after="120"/>
      <w:ind w:left="200" w:leftChars="200"/>
    </w:pPr>
    <w:rPr>
      <w:rFonts w:ascii="仿宋_GB2312"/>
      <w:szCs w:val="32"/>
    </w:rPr>
  </w:style>
  <w:style w:type="paragraph" w:styleId="9">
    <w:name w:val="Body Text First Indent 2"/>
    <w:basedOn w:val="8"/>
    <w:unhideWhenUsed/>
    <w:qFormat/>
    <w:uiPriority w:val="99"/>
    <w:pPr>
      <w:ind w:firstLine="420" w:firstLineChars="200"/>
    </w:pPr>
  </w:style>
  <w:style w:type="paragraph" w:styleId="10">
    <w:name w:val="toc 3"/>
    <w:basedOn w:val="1"/>
    <w:next w:val="1"/>
    <w:unhideWhenUsed/>
    <w:qFormat/>
    <w:uiPriority w:val="39"/>
    <w:pPr>
      <w:tabs>
        <w:tab w:val="right" w:leader="dot" w:pos="8296"/>
      </w:tabs>
      <w:ind w:left="840" w:leftChars="400"/>
    </w:pPr>
  </w:style>
  <w:style w:type="paragraph" w:styleId="11">
    <w:name w:val="Balloon Text"/>
    <w:basedOn w:val="1"/>
    <w:link w:val="34"/>
    <w:semiHidden/>
    <w:unhideWhenUsed/>
    <w:qFormat/>
    <w:uiPriority w:val="99"/>
    <w:rPr>
      <w:sz w:val="18"/>
      <w:szCs w:val="18"/>
    </w:rPr>
  </w:style>
  <w:style w:type="paragraph" w:styleId="12">
    <w:name w:val="footer"/>
    <w:basedOn w:val="1"/>
    <w:link w:val="26"/>
    <w:qFormat/>
    <w:uiPriority w:val="99"/>
    <w:pPr>
      <w:tabs>
        <w:tab w:val="center" w:pos="4153"/>
        <w:tab w:val="right" w:pos="8306"/>
      </w:tabs>
      <w:snapToGrid w:val="0"/>
      <w:jc w:val="left"/>
    </w:pPr>
    <w:rPr>
      <w:rFonts w:ascii="Calibri" w:hAnsi="Calibri"/>
      <w:kern w:val="0"/>
      <w:sz w:val="18"/>
      <w:szCs w:val="18"/>
    </w:rPr>
  </w:style>
  <w:style w:type="paragraph" w:styleId="13">
    <w:name w:val="header"/>
    <w:basedOn w:val="1"/>
    <w:link w:val="24"/>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4">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5">
    <w:name w:val="footnote text"/>
    <w:basedOn w:val="1"/>
    <w:next w:val="9"/>
    <w:semiHidden/>
    <w:qFormat/>
    <w:uiPriority w:val="0"/>
    <w:pPr>
      <w:snapToGrid w:val="0"/>
      <w:jc w:val="left"/>
    </w:pPr>
    <w:rPr>
      <w:sz w:val="18"/>
      <w:szCs w:val="18"/>
    </w:rPr>
  </w:style>
  <w:style w:type="paragraph" w:styleId="16">
    <w:name w:val="toc 2"/>
    <w:basedOn w:val="1"/>
    <w:next w:val="1"/>
    <w:unhideWhenUsed/>
    <w:qFormat/>
    <w:uiPriority w:val="39"/>
    <w:pPr>
      <w:tabs>
        <w:tab w:val="right" w:leader="dot" w:pos="8296"/>
      </w:tabs>
      <w:ind w:left="420" w:leftChars="200"/>
    </w:pPr>
  </w:style>
  <w:style w:type="paragraph" w:styleId="17">
    <w:name w:val="annotation subject"/>
    <w:basedOn w:val="6"/>
    <w:next w:val="6"/>
    <w:link w:val="39"/>
    <w:semiHidden/>
    <w:unhideWhenUsed/>
    <w:qFormat/>
    <w:uiPriority w:val="99"/>
    <w:rPr>
      <w:b/>
      <w:bCs/>
    </w:rPr>
  </w:style>
  <w:style w:type="character" w:styleId="20">
    <w:name w:val="Strong"/>
    <w:basedOn w:val="19"/>
    <w:qFormat/>
    <w:uiPriority w:val="99"/>
    <w:rPr>
      <w:b/>
    </w:rPr>
  </w:style>
  <w:style w:type="character" w:styleId="21">
    <w:name w:val="Hyperlink"/>
    <w:basedOn w:val="19"/>
    <w:unhideWhenUsed/>
    <w:qFormat/>
    <w:uiPriority w:val="99"/>
    <w:rPr>
      <w:color w:val="0000FF" w:themeColor="hyperlink"/>
      <w:u w:val="single"/>
      <w14:textFill>
        <w14:solidFill>
          <w14:schemeClr w14:val="hlink"/>
        </w14:solidFill>
      </w14:textFill>
    </w:rPr>
  </w:style>
  <w:style w:type="character" w:styleId="22">
    <w:name w:val="annotation reference"/>
    <w:basedOn w:val="19"/>
    <w:semiHidden/>
    <w:unhideWhenUsed/>
    <w:qFormat/>
    <w:uiPriority w:val="99"/>
    <w:rPr>
      <w:sz w:val="21"/>
      <w:szCs w:val="21"/>
    </w:rPr>
  </w:style>
  <w:style w:type="character" w:customStyle="1" w:styleId="23">
    <w:name w:val="Header Char"/>
    <w:basedOn w:val="19"/>
    <w:semiHidden/>
    <w:qFormat/>
    <w:uiPriority w:val="99"/>
    <w:rPr>
      <w:rFonts w:ascii="Times New Roman" w:hAnsi="Times New Roman"/>
      <w:sz w:val="18"/>
      <w:szCs w:val="18"/>
    </w:rPr>
  </w:style>
  <w:style w:type="character" w:customStyle="1" w:styleId="24">
    <w:name w:val="页眉 字符"/>
    <w:link w:val="13"/>
    <w:semiHidden/>
    <w:qFormat/>
    <w:locked/>
    <w:uiPriority w:val="99"/>
    <w:rPr>
      <w:sz w:val="18"/>
    </w:rPr>
  </w:style>
  <w:style w:type="character" w:customStyle="1" w:styleId="25">
    <w:name w:val="Footer Char"/>
    <w:basedOn w:val="19"/>
    <w:semiHidden/>
    <w:qFormat/>
    <w:uiPriority w:val="99"/>
    <w:rPr>
      <w:rFonts w:ascii="Times New Roman" w:hAnsi="Times New Roman"/>
      <w:sz w:val="18"/>
      <w:szCs w:val="18"/>
    </w:rPr>
  </w:style>
  <w:style w:type="character" w:customStyle="1" w:styleId="26">
    <w:name w:val="页脚 字符"/>
    <w:link w:val="12"/>
    <w:qFormat/>
    <w:locked/>
    <w:uiPriority w:val="99"/>
    <w:rPr>
      <w:sz w:val="18"/>
    </w:rPr>
  </w:style>
  <w:style w:type="character" w:customStyle="1" w:styleId="27">
    <w:name w:val="Body Text Char"/>
    <w:basedOn w:val="19"/>
    <w:semiHidden/>
    <w:qFormat/>
    <w:uiPriority w:val="99"/>
    <w:rPr>
      <w:rFonts w:ascii="Times New Roman" w:hAnsi="Times New Roman"/>
      <w:szCs w:val="24"/>
    </w:rPr>
  </w:style>
  <w:style w:type="character" w:customStyle="1" w:styleId="28">
    <w:name w:val="正文文本 字符"/>
    <w:link w:val="7"/>
    <w:qFormat/>
    <w:locked/>
    <w:uiPriority w:val="99"/>
    <w:rPr>
      <w:rFonts w:ascii="仿宋_GB2312" w:hAnsi="Times New Roman" w:eastAsia="仿宋_GB2312"/>
      <w:sz w:val="24"/>
    </w:rPr>
  </w:style>
  <w:style w:type="paragraph" w:customStyle="1" w:styleId="29">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30">
    <w:name w:val="List Paragraph"/>
    <w:basedOn w:val="1"/>
    <w:qFormat/>
    <w:uiPriority w:val="34"/>
    <w:pPr>
      <w:ind w:firstLine="420" w:firstLineChars="200"/>
    </w:pPr>
  </w:style>
  <w:style w:type="character" w:customStyle="1" w:styleId="31">
    <w:name w:val="标题 1 字符"/>
    <w:basedOn w:val="19"/>
    <w:link w:val="3"/>
    <w:qFormat/>
    <w:uiPriority w:val="9"/>
    <w:rPr>
      <w:rFonts w:ascii="Times New Roman" w:hAnsi="Times New Roman"/>
      <w:b/>
      <w:bCs/>
      <w:kern w:val="44"/>
      <w:sz w:val="44"/>
      <w:szCs w:val="44"/>
    </w:rPr>
  </w:style>
  <w:style w:type="character" w:customStyle="1" w:styleId="32">
    <w:name w:val="标题 2 字符"/>
    <w:basedOn w:val="19"/>
    <w:link w:val="4"/>
    <w:qFormat/>
    <w:uiPriority w:val="9"/>
    <w:rPr>
      <w:rFonts w:asciiTheme="majorHAnsi" w:hAnsiTheme="majorHAnsi" w:eastAsiaTheme="majorEastAsia" w:cstheme="majorBidi"/>
      <w:b/>
      <w:bCs/>
      <w:kern w:val="2"/>
      <w:sz w:val="32"/>
      <w:szCs w:val="32"/>
    </w:rPr>
  </w:style>
  <w:style w:type="paragraph" w:customStyle="1" w:styleId="33">
    <w:name w:val="TOC 标题1"/>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4">
    <w:name w:val="批注框文本 字符"/>
    <w:basedOn w:val="19"/>
    <w:link w:val="11"/>
    <w:semiHidden/>
    <w:qFormat/>
    <w:uiPriority w:val="99"/>
    <w:rPr>
      <w:rFonts w:ascii="Times New Roman" w:hAnsi="Times New Roman"/>
      <w:kern w:val="2"/>
      <w:sz w:val="18"/>
      <w:szCs w:val="18"/>
    </w:rPr>
  </w:style>
  <w:style w:type="character" w:customStyle="1" w:styleId="35">
    <w:name w:val="标题 3 字符"/>
    <w:basedOn w:val="19"/>
    <w:link w:val="5"/>
    <w:qFormat/>
    <w:uiPriority w:val="9"/>
    <w:rPr>
      <w:rFonts w:ascii="Times New Roman" w:hAnsi="Times New Roman"/>
      <w:b/>
      <w:bCs/>
      <w:kern w:val="2"/>
      <w:sz w:val="32"/>
      <w:szCs w:val="32"/>
    </w:rPr>
  </w:style>
  <w:style w:type="paragraph" w:customStyle="1" w:styleId="36">
    <w:name w:val="TOC 标题2"/>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7">
    <w:name w:val="四号正文"/>
    <w:basedOn w:val="1"/>
    <w:qFormat/>
    <w:uiPriority w:val="0"/>
    <w:pPr>
      <w:spacing w:line="360" w:lineRule="auto"/>
    </w:pPr>
    <w:rPr>
      <w:rFonts w:ascii="??" w:hAnsi="??"/>
      <w:color w:val="000000"/>
      <w:kern w:val="0"/>
      <w:sz w:val="28"/>
      <w:szCs w:val="21"/>
      <w:lang w:val="zh-CN"/>
    </w:rPr>
  </w:style>
  <w:style w:type="character" w:customStyle="1" w:styleId="38">
    <w:name w:val="批注文字 字符"/>
    <w:basedOn w:val="19"/>
    <w:link w:val="6"/>
    <w:semiHidden/>
    <w:qFormat/>
    <w:uiPriority w:val="99"/>
    <w:rPr>
      <w:rFonts w:ascii="Times New Roman" w:hAnsi="Times New Roman"/>
      <w:kern w:val="2"/>
      <w:sz w:val="21"/>
      <w:szCs w:val="24"/>
    </w:rPr>
  </w:style>
  <w:style w:type="character" w:customStyle="1" w:styleId="39">
    <w:name w:val="批注主题 字符"/>
    <w:basedOn w:val="38"/>
    <w:link w:val="17"/>
    <w:semiHidden/>
    <w:qFormat/>
    <w:uiPriority w:val="99"/>
    <w:rPr>
      <w:rFonts w:ascii="Times New Roman" w:hAnsi="Times New Roman"/>
      <w:b/>
      <w:bCs/>
      <w:kern w:val="2"/>
      <w:sz w:val="21"/>
      <w:szCs w:val="24"/>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1.xml"/><Relationship Id="rId16" Type="http://schemas.openxmlformats.org/officeDocument/2006/relationships/chart" Target="charts/chart7.xml"/><Relationship Id="rId15" Type="http://schemas.openxmlformats.org/officeDocument/2006/relationships/chart" Target="charts/chart6.xml"/><Relationship Id="rId14" Type="http://schemas.openxmlformats.org/officeDocument/2006/relationships/chart" Target="charts/chart5.xml"/><Relationship Id="rId13" Type="http://schemas.openxmlformats.org/officeDocument/2006/relationships/chart" Target="charts/chart4.xml"/><Relationship Id="rId12" Type="http://schemas.openxmlformats.org/officeDocument/2006/relationships/chart" Target="charts/chart3.xml"/><Relationship Id="rId11" Type="http://schemas.openxmlformats.org/officeDocument/2006/relationships/chart" Target="charts/chart2.xml"/><Relationship Id="rId10" Type="http://schemas.openxmlformats.org/officeDocument/2006/relationships/chart" Target="charts/chart1.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2.xml"/><Relationship Id="rId1" Type="http://schemas.openxmlformats.org/officeDocument/2006/relationships/package" Target="../embeddings/Workbook3.xlsx"/></Relationships>
</file>

<file path=word/charts/_rels/chart2.xml.rels><?xml version="1.0" encoding="UTF-8" standalone="yes"?>
<Relationships xmlns="http://schemas.openxmlformats.org/package/2006/relationships"><Relationship Id="rId1" Type="http://schemas.openxmlformats.org/officeDocument/2006/relationships/package" Target="../embeddings/Workbook4.xlsx"/></Relationships>
</file>

<file path=word/charts/_rels/chart3.xml.rels><?xml version="1.0" encoding="UTF-8" standalone="yes"?>
<Relationships xmlns="http://schemas.openxmlformats.org/package/2006/relationships"><Relationship Id="rId1" Type="http://schemas.openxmlformats.org/officeDocument/2006/relationships/package" Target="../embeddings/Workbook5.xlsx"/></Relationships>
</file>

<file path=word/charts/_rels/chart4.xml.rels><?xml version="1.0" encoding="UTF-8" standalone="yes"?>
<Relationships xmlns="http://schemas.openxmlformats.org/package/2006/relationships"><Relationship Id="rId4" Type="http://schemas.microsoft.com/office/2011/relationships/chartColorStyle" Target="colors1.xml"/><Relationship Id="rId3" Type="http://schemas.microsoft.com/office/2011/relationships/chartStyle" Target="style1.xml"/><Relationship Id="rId2" Type="http://schemas.openxmlformats.org/officeDocument/2006/relationships/chartUserShapes" Target="../drawings/drawing1.xml"/><Relationship Id="rId1" Type="http://schemas.openxmlformats.org/officeDocument/2006/relationships/package" Target="../embeddings/Workbook2.xlsx"/></Relationships>
</file>

<file path=word/charts/_rels/chart5.xml.rels><?xml version="1.0" encoding="UTF-8" standalone="yes"?>
<Relationships xmlns="http://schemas.openxmlformats.org/package/2006/relationships"><Relationship Id="rId2" Type="http://schemas.openxmlformats.org/officeDocument/2006/relationships/chartUserShapes" Target="../drawings/drawing3.xml"/><Relationship Id="rId1" Type="http://schemas.openxmlformats.org/officeDocument/2006/relationships/package" Target="../embeddings/Workbook6.xlsx"/></Relationships>
</file>

<file path=word/charts/_rels/chart6.xml.rels><?xml version="1.0" encoding="UTF-8" standalone="yes"?>
<Relationships xmlns="http://schemas.openxmlformats.org/package/2006/relationships"><Relationship Id="rId1" Type="http://schemas.openxmlformats.org/officeDocument/2006/relationships/package" Target="../embeddings/Workbook7.xlsx"/></Relationships>
</file>

<file path=word/charts/_rels/chart7.xml.rels><?xml version="1.0" encoding="UTF-8" standalone="yes"?>
<Relationships xmlns="http://schemas.openxmlformats.org/package/2006/relationships"><Relationship Id="rId1" Type="http://schemas.openxmlformats.org/officeDocument/2006/relationships/package" Target="../embeddings/Workbook1.xlsx"/></Relationships>
</file>

<file path=word/charts/chart1.xml><?xml version="1.0" encoding="utf-8"?>
<c:chartSpace xmlns:c="http://schemas.openxmlformats.org/drawingml/2006/chart" xmlns:a="http://schemas.openxmlformats.org/drawingml/2006/main" xmlns:r="http://schemas.openxmlformats.org/officeDocument/2006/relationships">
  <c:date1904 val="false"/>
  <c:lang val="zh-CN"/>
  <c:roundedCorners val="false"/>
  <mc:AlternateContent xmlns:mc="http://schemas.openxmlformats.org/markup-compatibility/2006">
    <mc:Choice xmlns:c14="http://schemas.microsoft.com/office/drawing/2007/8/2/chart" Requires="c14">
      <c14:style val="102"/>
    </mc:Choice>
    <mc:Fallback>
      <c:style val="2"/>
    </mc:Fallback>
  </mc:AlternateContent>
  <c:chart>
    <c:autoTitleDeleted val="true"/>
    <c:plotArea>
      <c:layout>
        <c:manualLayout>
          <c:layoutTarget val="inner"/>
          <c:xMode val="edge"/>
          <c:yMode val="edge"/>
          <c:x val="0.111891531693253"/>
          <c:y val="0.0860851926977688"/>
          <c:w val="0.747603383191356"/>
          <c:h val="0.837441954371088"/>
        </c:manualLayout>
      </c:layout>
      <c:barChart>
        <c:barDir val="col"/>
        <c:grouping val="clustered"/>
        <c:varyColors val="false"/>
        <c:ser>
          <c:idx val="0"/>
          <c:order val="0"/>
          <c:tx>
            <c:strRef>
              <c:f>Sheet1!$B$1</c:f>
              <c:strCache>
                <c:ptCount val="1"/>
                <c:pt idx="0">
                  <c:v>2024年</c:v>
                </c:pt>
              </c:strCache>
            </c:strRef>
          </c:tx>
          <c:invertIfNegative val="false"/>
          <c:dLbls>
            <c:dLbl>
              <c:idx val="0"/>
              <c:layout/>
              <c:tx>
                <c:rich>
                  <a:bodyPr rot="0" spcFirstLastPara="0" vertOverflow="ellipsis" vert="horz" wrap="square" lIns="38100" tIns="19050" rIns="38100" bIns="19050" anchor="ctr" anchorCtr="true"/>
                  <a:lstStyle/>
                  <a:p>
                    <a:pPr>
                      <a:defRPr lang="zh-CN" sz="1000" b="0" i="0" u="none" strike="noStrike" kern="1200" baseline="0">
                        <a:solidFill>
                          <a:schemeClr val="tx1"/>
                        </a:solidFill>
                        <a:latin typeface="+mn-lt"/>
                        <a:ea typeface="+mn-ea"/>
                        <a:cs typeface="+mn-cs"/>
                      </a:defRPr>
                    </a:pPr>
                    <a:r>
                      <a:rPr lang="en-US" altLang="zh-CN"/>
                      <a:t>2319.89</a:t>
                    </a:r>
                    <a:r>
                      <a:rPr lang="zh-CN" altLang="en-US"/>
                      <a:t>万元</a:t>
                    </a:r>
                    <a:endParaRPr lang="zh-CN" altLang="en-US"/>
                  </a:p>
                </c:rich>
              </c:tx>
              <c:dLblPos val="outEnd"/>
              <c:showLegendKey val="false"/>
              <c:showVal val="true"/>
              <c:showCatName val="false"/>
              <c:showSerName val="false"/>
              <c:showPercent val="false"/>
              <c:showBubbleSize val="false"/>
              <c:extLst>
                <c:ext xmlns:c15="http://schemas.microsoft.com/office/drawing/2012/chart" uri="{CE6537A1-D6FC-4f65-9D91-7224C49458BB}"/>
              </c:extLst>
            </c:dLbl>
            <c:dLbl>
              <c:idx val="1"/>
              <c:layout>
                <c:manualLayout>
                  <c:x val="-0.0337105706718035"/>
                  <c:y val="0"/>
                </c:manualLayout>
              </c:layout>
              <c:tx>
                <c:rich>
                  <a:bodyPr rot="0" spcFirstLastPara="0" vertOverflow="ellipsis" vert="horz" wrap="square" lIns="38100" tIns="19050" rIns="38100" bIns="19050" anchor="ctr" anchorCtr="true"/>
                  <a:lstStyle/>
                  <a:p>
                    <a:pPr>
                      <a:defRPr lang="zh-CN" sz="1000" b="0" i="0" u="none" strike="noStrike" kern="1200" baseline="0">
                        <a:solidFill>
                          <a:schemeClr val="tx1"/>
                        </a:solidFill>
                        <a:latin typeface="+mn-lt"/>
                        <a:ea typeface="+mn-ea"/>
                        <a:cs typeface="+mn-cs"/>
                      </a:defRPr>
                    </a:pPr>
                    <a:r>
                      <a:rPr lang="en-US" altLang="zh-CN"/>
                      <a:t>2319.89</a:t>
                    </a:r>
                    <a:r>
                      <a:rPr lang="zh-CN" altLang="en-US"/>
                      <a:t>万元</a:t>
                    </a:r>
                    <a:endParaRPr lang="zh-CN" altLang="en-US"/>
                  </a:p>
                </c:rich>
              </c:tx>
              <c:dLblPos val="outEnd"/>
              <c:showLegendKey val="false"/>
              <c:showVal val="true"/>
              <c:showCatName val="false"/>
              <c:showSerName val="false"/>
              <c:showPercent val="false"/>
              <c:showBubbleSize val="false"/>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true"/>
              <a:lstStyle/>
              <a:p>
                <a:pPr>
                  <a:defRPr lang="zh-CN" sz="1000" b="0" i="0" u="none" strike="noStrike" kern="1200" baseline="0">
                    <a:solidFill>
                      <a:schemeClr val="tx1"/>
                    </a:solidFill>
                    <a:latin typeface="+mn-lt"/>
                    <a:ea typeface="+mn-ea"/>
                    <a:cs typeface="+mn-cs"/>
                  </a:defRPr>
                </a:pPr>
              </a:p>
            </c:txPr>
            <c:dLblPos val="outEnd"/>
            <c:showLegendKey val="false"/>
            <c:showVal val="true"/>
            <c:showCatName val="false"/>
            <c:showSerName val="false"/>
            <c:showPercent val="false"/>
            <c:showBubbleSize val="false"/>
            <c:showLeaderLines val="false"/>
            <c:extLst>
              <c:ext xmlns:c15="http://schemas.microsoft.com/office/drawing/2012/chart" uri="{CE6537A1-D6FC-4f65-9D91-7224C49458BB}">
                <c15:layout/>
                <c15:showLeaderLines val="false"/>
                <c15:leaderLines/>
              </c:ext>
            </c:extLst>
          </c:dLbls>
          <c:cat>
            <c:strRef>
              <c:f>Sheet1!$A$2:$A$3</c:f>
              <c:strCache>
                <c:ptCount val="2"/>
                <c:pt idx="0">
                  <c:v>收入</c:v>
                </c:pt>
                <c:pt idx="1">
                  <c:v>支出</c:v>
                </c:pt>
              </c:strCache>
            </c:strRef>
          </c:cat>
          <c:val>
            <c:numRef>
              <c:f>Sheet1!$B$2:$B$3</c:f>
              <c:numCache>
                <c:formatCode>General</c:formatCode>
                <c:ptCount val="2"/>
                <c:pt idx="0">
                  <c:v>2319.89</c:v>
                </c:pt>
                <c:pt idx="1">
                  <c:v>2319.89</c:v>
                </c:pt>
              </c:numCache>
            </c:numRef>
          </c:val>
        </c:ser>
        <c:ser>
          <c:idx val="1"/>
          <c:order val="1"/>
          <c:tx>
            <c:strRef>
              <c:f>Sheet1!$C$1</c:f>
              <c:strCache>
                <c:ptCount val="1"/>
                <c:pt idx="0">
                  <c:v>2025年</c:v>
                </c:pt>
              </c:strCache>
            </c:strRef>
          </c:tx>
          <c:invertIfNegative val="false"/>
          <c:dLbls>
            <c:dLbl>
              <c:idx val="0"/>
              <c:layout/>
              <c:tx>
                <c:rich>
                  <a:bodyPr rot="0" spcFirstLastPara="0" vertOverflow="ellipsis" vert="horz" wrap="square" lIns="38100" tIns="19050" rIns="38100" bIns="19050" anchor="ctr" anchorCtr="true"/>
                  <a:lstStyle/>
                  <a:p>
                    <a:pPr>
                      <a:defRPr lang="zh-CN" sz="1000" b="0" i="0" u="none" strike="noStrike" kern="1200" baseline="0">
                        <a:solidFill>
                          <a:schemeClr val="tx1"/>
                        </a:solidFill>
                        <a:latin typeface="+mn-lt"/>
                        <a:ea typeface="+mn-ea"/>
                        <a:cs typeface="+mn-cs"/>
                      </a:defRPr>
                    </a:pPr>
                    <a:r>
                      <a:rPr lang="en-US" altLang="zh-CN"/>
                      <a:t>3468.88</a:t>
                    </a:r>
                    <a:r>
                      <a:rPr lang="zh-CN" altLang="en-US"/>
                      <a:t>万元</a:t>
                    </a:r>
                    <a:endParaRPr lang="zh-CN" altLang="en-US"/>
                  </a:p>
                </c:rich>
              </c:tx>
              <c:dLblPos val="outEnd"/>
              <c:showLegendKey val="false"/>
              <c:showVal val="true"/>
              <c:showCatName val="false"/>
              <c:showSerName val="false"/>
              <c:showPercent val="false"/>
              <c:showBubbleSize val="false"/>
              <c:extLst>
                <c:ext xmlns:c15="http://schemas.microsoft.com/office/drawing/2012/chart" uri="{CE6537A1-D6FC-4f65-9D91-7224C49458BB}"/>
              </c:extLst>
            </c:dLbl>
            <c:dLbl>
              <c:idx val="1"/>
              <c:layout/>
              <c:tx>
                <c:rich>
                  <a:bodyPr rot="0" spcFirstLastPara="0" vertOverflow="ellipsis" vert="horz" wrap="square" lIns="38100" tIns="19050" rIns="38100" bIns="19050" anchor="ctr" anchorCtr="true"/>
                  <a:lstStyle/>
                  <a:p>
                    <a:pPr>
                      <a:defRPr lang="zh-CN" sz="1000" b="0" i="0" u="none" strike="noStrike" kern="1200" baseline="0">
                        <a:solidFill>
                          <a:schemeClr val="tx1"/>
                        </a:solidFill>
                        <a:latin typeface="+mn-lt"/>
                        <a:ea typeface="+mn-ea"/>
                        <a:cs typeface="+mn-cs"/>
                      </a:defRPr>
                    </a:pPr>
                    <a:r>
                      <a:rPr lang="en-US" altLang="zh-CN"/>
                      <a:t>3468.88</a:t>
                    </a:r>
                    <a:r>
                      <a:rPr lang="zh-CN" altLang="en-US"/>
                      <a:t>万元</a:t>
                    </a:r>
                    <a:endParaRPr lang="zh-CN" altLang="en-US"/>
                  </a:p>
                </c:rich>
              </c:tx>
              <c:dLblPos val="outEnd"/>
              <c:showLegendKey val="false"/>
              <c:showVal val="true"/>
              <c:showCatName val="false"/>
              <c:showSerName val="false"/>
              <c:showPercent val="false"/>
              <c:showBubbleSize val="false"/>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true"/>
              <a:lstStyle/>
              <a:p>
                <a:pPr>
                  <a:defRPr lang="zh-CN" sz="1000" b="0" i="0" u="none" strike="noStrike" kern="1200" baseline="0">
                    <a:solidFill>
                      <a:schemeClr val="tx1"/>
                    </a:solidFill>
                    <a:latin typeface="+mn-lt"/>
                    <a:ea typeface="+mn-ea"/>
                    <a:cs typeface="+mn-cs"/>
                  </a:defRPr>
                </a:pPr>
              </a:p>
            </c:txPr>
            <c:dLblPos val="outEnd"/>
            <c:showLegendKey val="false"/>
            <c:showVal val="true"/>
            <c:showCatName val="false"/>
            <c:showSerName val="false"/>
            <c:showPercent val="false"/>
            <c:showBubbleSize val="false"/>
            <c:showLeaderLines val="false"/>
            <c:extLst>
              <c:ext xmlns:c15="http://schemas.microsoft.com/office/drawing/2012/chart" uri="{CE6537A1-D6FC-4f65-9D91-7224C49458BB}">
                <c15:layout/>
                <c15:showLeaderLines val="false"/>
                <c15:leaderLines/>
              </c:ext>
            </c:extLst>
          </c:dLbls>
          <c:cat>
            <c:strRef>
              <c:f>Sheet1!$A$2:$A$3</c:f>
              <c:strCache>
                <c:ptCount val="2"/>
                <c:pt idx="0">
                  <c:v>收入</c:v>
                </c:pt>
                <c:pt idx="1">
                  <c:v>支出</c:v>
                </c:pt>
              </c:strCache>
            </c:strRef>
          </c:cat>
          <c:val>
            <c:numRef>
              <c:f>Sheet1!$C$2:$C$3</c:f>
              <c:numCache>
                <c:formatCode>General</c:formatCode>
                <c:ptCount val="2"/>
                <c:pt idx="0">
                  <c:v>3468.88</c:v>
                </c:pt>
                <c:pt idx="1">
                  <c:v>3468.88</c:v>
                </c:pt>
              </c:numCache>
            </c:numRef>
          </c:val>
        </c:ser>
        <c:dLbls>
          <c:showLegendKey val="false"/>
          <c:showVal val="true"/>
          <c:showCatName val="false"/>
          <c:showSerName val="false"/>
          <c:showPercent val="false"/>
          <c:showBubbleSize val="false"/>
        </c:dLbls>
        <c:gapWidth val="150"/>
        <c:axId val="86481152"/>
        <c:axId val="86544384"/>
      </c:barChart>
      <c:catAx>
        <c:axId val="86481152"/>
        <c:scaling>
          <c:orientation val="minMax"/>
        </c:scaling>
        <c:delete val="false"/>
        <c:axPos val="b"/>
        <c:numFmt formatCode="General" sourceLinked="false"/>
        <c:majorTickMark val="out"/>
        <c:minorTickMark val="none"/>
        <c:tickLblPos val="nextTo"/>
        <c:txPr>
          <a:bodyPr rot="-60000000" spcFirstLastPara="0" vertOverflow="ellipsis" vert="horz" wrap="square" anchor="ctr" anchorCtr="true"/>
          <a:lstStyle/>
          <a:p>
            <a:pPr>
              <a:defRPr lang="zh-CN" sz="1000" b="0" i="0" u="none" strike="noStrike" kern="1200" baseline="0">
                <a:solidFill>
                  <a:schemeClr val="tx1"/>
                </a:solidFill>
                <a:latin typeface="+mn-lt"/>
                <a:ea typeface="+mn-ea"/>
                <a:cs typeface="+mn-cs"/>
              </a:defRPr>
            </a:pPr>
          </a:p>
        </c:txPr>
        <c:crossAx val="86544384"/>
        <c:crosses val="autoZero"/>
        <c:auto val="true"/>
        <c:lblAlgn val="ctr"/>
        <c:lblOffset val="100"/>
        <c:noMultiLvlLbl val="false"/>
      </c:catAx>
      <c:valAx>
        <c:axId val="86544384"/>
        <c:scaling>
          <c:orientation val="minMax"/>
        </c:scaling>
        <c:delete val="false"/>
        <c:axPos val="l"/>
        <c:majorGridlines/>
        <c:numFmt formatCode="General" sourceLinked="true"/>
        <c:majorTickMark val="out"/>
        <c:minorTickMark val="none"/>
        <c:tickLblPos val="nextTo"/>
        <c:txPr>
          <a:bodyPr rot="-60000000" spcFirstLastPara="0" vertOverflow="ellipsis" vert="horz" wrap="square" anchor="ctr" anchorCtr="true"/>
          <a:lstStyle/>
          <a:p>
            <a:pPr>
              <a:defRPr lang="zh-CN" sz="1000" b="0" i="0" u="none" strike="noStrike" kern="1200" baseline="0">
                <a:solidFill>
                  <a:schemeClr val="tx1"/>
                </a:solidFill>
                <a:latin typeface="+mn-lt"/>
                <a:ea typeface="+mn-ea"/>
                <a:cs typeface="+mn-cs"/>
              </a:defRPr>
            </a:pPr>
          </a:p>
        </c:txPr>
        <c:crossAx val="86481152"/>
        <c:crosses val="autoZero"/>
        <c:crossBetween val="between"/>
      </c:valAx>
    </c:plotArea>
    <c:legend>
      <c:legendPos val="r"/>
      <c:layout/>
      <c:overlay val="false"/>
      <c:txPr>
        <a:bodyPr rot="0" spcFirstLastPara="0" vertOverflow="ellipsis" vert="horz" wrap="square" anchor="ctr" anchorCtr="true"/>
        <a:lstStyle/>
        <a:p>
          <a:pPr>
            <a:defRPr lang="zh-CN" sz="1000" b="0" i="0" u="none" strike="noStrike" kern="1200" baseline="0">
              <a:solidFill>
                <a:schemeClr val="tx1"/>
              </a:solidFill>
              <a:latin typeface="+mn-lt"/>
              <a:ea typeface="+mn-ea"/>
              <a:cs typeface="+mn-cs"/>
            </a:defRPr>
          </a:pPr>
        </a:p>
      </c:txPr>
    </c:legend>
    <c:plotVisOnly val="true"/>
    <c:dispBlanksAs val="gap"/>
    <c:showDLblsOverMax val="false"/>
  </c:chart>
  <c:txPr>
    <a:bodyPr/>
    <a:lstStyle/>
    <a:p>
      <a:pPr>
        <a:defRPr lang="zh-CN"/>
      </a:pPr>
    </a:p>
  </c:txPr>
  <c:externalData r:id="rId1">
    <c:autoUpdate val="false"/>
  </c:externalData>
  <c:userShapes r:id="rId2"/>
</c:chartSpace>
</file>

<file path=word/charts/chart2.xml><?xml version="1.0" encoding="utf-8"?>
<c:chartSpace xmlns:c="http://schemas.openxmlformats.org/drawingml/2006/chart" xmlns:a="http://schemas.openxmlformats.org/drawingml/2006/main" xmlns:r="http://schemas.openxmlformats.org/officeDocument/2006/relationships">
  <c:date1904 val="false"/>
  <c:lang val="zh-CN"/>
  <c:roundedCorners val="false"/>
  <mc:AlternateContent xmlns:mc="http://schemas.openxmlformats.org/markup-compatibility/2006">
    <mc:Choice xmlns:c14="http://schemas.microsoft.com/office/drawing/2007/8/2/chart" Requires="c14">
      <c14:style val="102"/>
    </mc:Choice>
    <mc:Fallback>
      <c:style val="2"/>
    </mc:Fallback>
  </mc:AlternateContent>
  <c:chart>
    <c:title>
      <c:layout/>
      <c:overlay val="false"/>
      <c:txPr>
        <a:bodyPr rot="0" spcFirstLastPara="0" vertOverflow="ellipsis" vert="horz" wrap="square" anchor="ctr" anchorCtr="true"/>
        <a:lstStyle/>
        <a:p>
          <a:pPr>
            <a:defRPr lang="zh-CN" sz="1800" b="1" i="0" u="none" strike="noStrike" kern="1200" baseline="0">
              <a:solidFill>
                <a:schemeClr val="tx1"/>
              </a:solidFill>
              <a:latin typeface="+mn-lt"/>
              <a:ea typeface="+mn-ea"/>
              <a:cs typeface="+mn-cs"/>
            </a:defRPr>
          </a:pPr>
        </a:p>
      </c:txPr>
    </c:title>
    <c:autoTitleDeleted val="false"/>
    <c:plotArea>
      <c:layout/>
      <c:pieChart>
        <c:varyColors val="true"/>
        <c:ser>
          <c:idx val="0"/>
          <c:order val="0"/>
          <c:tx>
            <c:strRef>
              <c:f>Sheet1!$B$1</c:f>
              <c:strCache>
                <c:ptCount val="1"/>
                <c:pt idx="0">
                  <c:v>收入决算结构</c:v>
                </c:pt>
              </c:strCache>
            </c:strRef>
          </c:tx>
          <c:explosion val="0"/>
          <c:dPt>
            <c:idx val="0"/>
            <c:bubble3D val="false"/>
          </c:dPt>
          <c:dLbls>
            <c:dLbl>
              <c:idx val="0"/>
              <c:layout/>
              <c:tx>
                <c:rich>
                  <a:bodyPr rot="0" spcFirstLastPara="0" vertOverflow="ellipsis" vert="horz" wrap="square" lIns="38100" tIns="19050" rIns="38100" bIns="19050" anchor="ctr" anchorCtr="true"/>
                  <a:lstStyle/>
                  <a:p>
                    <a:pPr>
                      <a:defRPr lang="zh-CN" sz="1000" b="0" i="0" u="none" strike="noStrike" kern="1200" baseline="0">
                        <a:solidFill>
                          <a:schemeClr val="tx1"/>
                        </a:solidFill>
                        <a:latin typeface="+mn-lt"/>
                        <a:ea typeface="+mn-ea"/>
                        <a:cs typeface="+mn-cs"/>
                      </a:defRPr>
                    </a:pPr>
                    <a:r>
                      <a:rPr lang="en-US" altLang="zh-CN"/>
                      <a:t>3468.88</a:t>
                    </a:r>
                    <a:r>
                      <a:rPr lang="zh-CN" altLang="en-US"/>
                      <a:t>万元</a:t>
                    </a:r>
                    <a:endParaRPr lang="zh-CN" altLang="en-US"/>
                  </a:p>
                </c:rich>
              </c:tx>
              <c:dLblPos val="bestFit"/>
              <c:showLegendKey val="false"/>
              <c:showVal val="true"/>
              <c:showCatName val="false"/>
              <c:showSerName val="false"/>
              <c:showPercent val="false"/>
              <c:showBubbleSize val="false"/>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true"/>
              <a:lstStyle/>
              <a:p>
                <a:pPr>
                  <a:defRPr lang="zh-CN" sz="1000" b="0" i="0" u="none" strike="noStrike" kern="1200" baseline="0">
                    <a:solidFill>
                      <a:schemeClr val="tx1"/>
                    </a:solidFill>
                    <a:latin typeface="+mn-lt"/>
                    <a:ea typeface="+mn-ea"/>
                    <a:cs typeface="+mn-cs"/>
                  </a:defRPr>
                </a:pPr>
              </a:p>
            </c:txPr>
            <c:dLblPos val="bestFit"/>
            <c:showLegendKey val="false"/>
            <c:showVal val="true"/>
            <c:showCatName val="false"/>
            <c:showSerName val="false"/>
            <c:showPercent val="false"/>
            <c:showBubbleSize val="false"/>
            <c:showLeaderLines val="true"/>
            <c:extLst>
              <c:ext xmlns:c15="http://schemas.microsoft.com/office/drawing/2012/chart" uri="{CE6537A1-D6FC-4f65-9D91-7224C49458BB}">
                <c15:layout/>
                <c15:showLeaderLines val="true"/>
                <c15:leaderLines/>
              </c:ext>
            </c:extLst>
          </c:dLbls>
          <c:cat>
            <c:strRef>
              <c:f>Sheet1!$A$2</c:f>
              <c:strCache>
                <c:ptCount val="1"/>
                <c:pt idx="0">
                  <c:v>一般公共预算</c:v>
                </c:pt>
              </c:strCache>
            </c:strRef>
          </c:cat>
          <c:val>
            <c:numRef>
              <c:f>Sheet1!$B$2</c:f>
              <c:numCache>
                <c:formatCode>General</c:formatCode>
                <c:ptCount val="1"/>
                <c:pt idx="0">
                  <c:v>8.2</c:v>
                </c:pt>
              </c:numCache>
            </c:numRef>
          </c:val>
        </c:ser>
        <c:dLbls>
          <c:showLegendKey val="false"/>
          <c:showVal val="true"/>
          <c:showCatName val="false"/>
          <c:showSerName val="false"/>
          <c:showPercent val="false"/>
          <c:showBubbleSize val="false"/>
          <c:showLeaderLines val="true"/>
        </c:dLbls>
        <c:firstSliceAng val="0"/>
      </c:pieChart>
    </c:plotArea>
    <c:legend>
      <c:legendPos val="r"/>
      <c:layout/>
      <c:overlay val="false"/>
      <c:txPr>
        <a:bodyPr rot="0" spcFirstLastPara="0" vertOverflow="ellipsis" vert="horz" wrap="square" anchor="ctr" anchorCtr="true"/>
        <a:lstStyle/>
        <a:p>
          <a:pPr>
            <a:defRPr lang="zh-CN" sz="1000" b="0" i="0" u="none" strike="noStrike" kern="1200" baseline="0">
              <a:solidFill>
                <a:schemeClr val="tx1"/>
              </a:solidFill>
              <a:latin typeface="+mn-lt"/>
              <a:ea typeface="+mn-ea"/>
              <a:cs typeface="+mn-cs"/>
            </a:defRPr>
          </a:pPr>
        </a:p>
      </c:txPr>
    </c:legend>
    <c:plotVisOnly val="true"/>
    <c:dispBlanksAs val="gap"/>
    <c:showDLblsOverMax val="false"/>
  </c:chart>
  <c:txPr>
    <a:bodyPr/>
    <a:lstStyle/>
    <a:p>
      <a:pPr>
        <a:defRPr lang="zh-CN"/>
      </a:pPr>
    </a:p>
  </c:txPr>
  <c:externalData r:id="rId1">
    <c:autoUpdate val="false"/>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false"/>
  <c:lang val="zh-CN"/>
  <c:roundedCorners val="false"/>
  <mc:AlternateContent xmlns:mc="http://schemas.openxmlformats.org/markup-compatibility/2006">
    <mc:Choice xmlns:c14="http://schemas.microsoft.com/office/drawing/2007/8/2/chart" Requires="c14">
      <c14:style val="102"/>
    </mc:Choice>
    <mc:Fallback>
      <c:style val="2"/>
    </mc:Fallback>
  </mc:AlternateContent>
  <c:chart>
    <c:title>
      <c:layout/>
      <c:overlay val="false"/>
      <c:txPr>
        <a:bodyPr rot="0" spcFirstLastPara="0" vertOverflow="ellipsis" vert="horz" wrap="square" anchor="ctr" anchorCtr="true"/>
        <a:lstStyle/>
        <a:p>
          <a:pPr>
            <a:defRPr lang="zh-CN" sz="1800" b="1" i="0" u="none" strike="noStrike" kern="1200" baseline="0">
              <a:solidFill>
                <a:schemeClr val="tx1"/>
              </a:solidFill>
              <a:latin typeface="+mn-lt"/>
              <a:ea typeface="+mn-ea"/>
              <a:cs typeface="+mn-cs"/>
            </a:defRPr>
          </a:pPr>
        </a:p>
      </c:txPr>
    </c:title>
    <c:autoTitleDeleted val="false"/>
    <c:plotArea>
      <c:layout>
        <c:manualLayout>
          <c:layoutTarget val="inner"/>
          <c:xMode val="edge"/>
          <c:yMode val="edge"/>
          <c:x val="0.0755082204319836"/>
          <c:y val="0.228165488322969"/>
          <c:w val="0.676897526537507"/>
          <c:h val="0.673398753083793"/>
        </c:manualLayout>
      </c:layout>
      <c:pieChart>
        <c:varyColors val="true"/>
        <c:ser>
          <c:idx val="0"/>
          <c:order val="0"/>
          <c:tx>
            <c:strRef>
              <c:f>Sheet1!$B$1</c:f>
              <c:strCache>
                <c:ptCount val="1"/>
                <c:pt idx="0">
                  <c:v>支出决算结构</c:v>
                </c:pt>
              </c:strCache>
            </c:strRef>
          </c:tx>
          <c:explosion val="25"/>
          <c:dPt>
            <c:idx val="0"/>
            <c:bubble3D val="false"/>
          </c:dPt>
          <c:dPt>
            <c:idx val="1"/>
            <c:bubble3D val="false"/>
          </c:dPt>
          <c:dLbls>
            <c:dLbl>
              <c:idx val="0"/>
              <c:layout/>
              <c:tx>
                <c:rich>
                  <a:bodyPr rot="0" spcFirstLastPara="0" vertOverflow="ellipsis" vert="horz" wrap="square" lIns="38100" tIns="19050" rIns="38100" bIns="19050" anchor="ctr" anchorCtr="true"/>
                  <a:lstStyle/>
                  <a:p>
                    <a:pPr>
                      <a:defRPr lang="zh-CN" sz="1000" b="0" i="0" u="none" strike="noStrike" kern="1200" baseline="0">
                        <a:solidFill>
                          <a:schemeClr val="tx1"/>
                        </a:solidFill>
                        <a:latin typeface="+mn-lt"/>
                        <a:ea typeface="+mn-ea"/>
                        <a:cs typeface="+mn-cs"/>
                      </a:defRPr>
                    </a:pPr>
                    <a:r>
                      <a:rPr lang="en-US" altLang="zh-CN"/>
                      <a:t>3263.43</a:t>
                    </a:r>
                    <a:r>
                      <a:rPr lang="zh-CN" altLang="en-US"/>
                      <a:t>万元</a:t>
                    </a:r>
                    <a:endParaRPr lang="zh-CN" altLang="en-US"/>
                  </a:p>
                </c:rich>
              </c:tx>
              <c:dLblPos val="bestFit"/>
              <c:showLegendKey val="false"/>
              <c:showVal val="true"/>
              <c:showCatName val="false"/>
              <c:showSerName val="false"/>
              <c:showPercent val="false"/>
              <c:showBubbleSize val="false"/>
              <c:extLst>
                <c:ext xmlns:c15="http://schemas.microsoft.com/office/drawing/2012/chart" uri="{CE6537A1-D6FC-4f65-9D91-7224C49458BB}"/>
              </c:extLst>
            </c:dLbl>
            <c:dLbl>
              <c:idx val="1"/>
              <c:layout/>
              <c:tx>
                <c:rich>
                  <a:bodyPr rot="0" spcFirstLastPara="0" vertOverflow="ellipsis" vert="horz" wrap="square" lIns="38100" tIns="19050" rIns="38100" bIns="19050" anchor="ctr" anchorCtr="true"/>
                  <a:lstStyle/>
                  <a:p>
                    <a:pPr>
                      <a:defRPr lang="zh-CN" sz="1000" b="0" i="0" u="none" strike="noStrike" kern="1200" baseline="0">
                        <a:solidFill>
                          <a:schemeClr val="tx1"/>
                        </a:solidFill>
                        <a:latin typeface="+mn-lt"/>
                        <a:ea typeface="+mn-ea"/>
                        <a:cs typeface="+mn-cs"/>
                      </a:defRPr>
                    </a:pPr>
                    <a:r>
                      <a:rPr lang="en-US" altLang="zh-CN"/>
                      <a:t>205.45</a:t>
                    </a:r>
                    <a:r>
                      <a:rPr lang="zh-CN" altLang="en-US"/>
                      <a:t>万元</a:t>
                    </a:r>
                    <a:endParaRPr lang="zh-CN" altLang="en-US"/>
                  </a:p>
                </c:rich>
              </c:tx>
              <c:dLblPos val="bestFit"/>
              <c:showLegendKey val="false"/>
              <c:showVal val="true"/>
              <c:showCatName val="false"/>
              <c:showSerName val="false"/>
              <c:showPercent val="false"/>
              <c:showBubbleSize val="false"/>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true"/>
              <a:lstStyle/>
              <a:p>
                <a:pPr>
                  <a:defRPr lang="zh-CN" sz="1000" b="0" i="0" u="none" strike="noStrike" kern="1200" baseline="0">
                    <a:solidFill>
                      <a:schemeClr val="tx1"/>
                    </a:solidFill>
                    <a:latin typeface="+mn-lt"/>
                    <a:ea typeface="+mn-ea"/>
                    <a:cs typeface="+mn-cs"/>
                  </a:defRPr>
                </a:pPr>
              </a:p>
            </c:txPr>
            <c:dLblPos val="bestFit"/>
            <c:showLegendKey val="false"/>
            <c:showVal val="true"/>
            <c:showCatName val="false"/>
            <c:showSerName val="false"/>
            <c:showPercent val="false"/>
            <c:showBubbleSize val="false"/>
            <c:showLeaderLines val="true"/>
            <c:extLst>
              <c:ext xmlns:c15="http://schemas.microsoft.com/office/drawing/2012/chart" uri="{CE6537A1-D6FC-4f65-9D91-7224C49458BB}">
                <c15:layout/>
                <c15:showLeaderLines val="true"/>
                <c15:leaderLines/>
              </c:ext>
            </c:extLst>
          </c:dLbls>
          <c:cat>
            <c:strRef>
              <c:f>Sheet1!$A$2:$A$3</c:f>
              <c:strCache>
                <c:ptCount val="2"/>
                <c:pt idx="0">
                  <c:v>基本支出</c:v>
                </c:pt>
                <c:pt idx="1">
                  <c:v>项目支出</c:v>
                </c:pt>
              </c:strCache>
            </c:strRef>
          </c:cat>
          <c:val>
            <c:numRef>
              <c:f>Sheet1!$B$2:$B$3</c:f>
              <c:numCache>
                <c:formatCode>General</c:formatCode>
                <c:ptCount val="2"/>
                <c:pt idx="0">
                  <c:v>3263.43</c:v>
                </c:pt>
                <c:pt idx="1">
                  <c:v>205.45</c:v>
                </c:pt>
              </c:numCache>
            </c:numRef>
          </c:val>
        </c:ser>
        <c:dLbls>
          <c:showLegendKey val="false"/>
          <c:showVal val="true"/>
          <c:showCatName val="false"/>
          <c:showSerName val="false"/>
          <c:showPercent val="false"/>
          <c:showBubbleSize val="false"/>
          <c:showLeaderLines val="true"/>
        </c:dLbls>
        <c:firstSliceAng val="0"/>
      </c:pieChart>
      <c:spPr>
        <a:noFill/>
        <a:ln>
          <a:noFill/>
        </a:ln>
        <a:effectLst/>
      </c:spPr>
    </c:plotArea>
    <c:legend>
      <c:legendPos val="r"/>
      <c:layout/>
      <c:overlay val="false"/>
      <c:txPr>
        <a:bodyPr rot="0" spcFirstLastPara="0" vertOverflow="ellipsis" vert="horz" wrap="square" anchor="ctr" anchorCtr="true"/>
        <a:lstStyle/>
        <a:p>
          <a:pPr>
            <a:defRPr lang="zh-CN" sz="1000" b="0" i="0" u="none" strike="noStrike" kern="1200" baseline="0">
              <a:solidFill>
                <a:schemeClr val="tx1"/>
              </a:solidFill>
              <a:latin typeface="+mn-lt"/>
              <a:ea typeface="+mn-ea"/>
              <a:cs typeface="+mn-cs"/>
            </a:defRPr>
          </a:pPr>
        </a:p>
      </c:txPr>
    </c:legend>
    <c:plotVisOnly val="true"/>
    <c:dispBlanksAs val="gap"/>
    <c:showDLblsOverMax val="false"/>
  </c:chart>
  <c:txPr>
    <a:bodyPr/>
    <a:lstStyle/>
    <a:p>
      <a:pPr>
        <a:defRPr lang="zh-CN"/>
      </a:pPr>
    </a:p>
  </c:txPr>
  <c:externalData r:id="rId1">
    <c:autoUpdate val="false"/>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false"/>
  <c:lang val="zh-CN"/>
  <c:roundedCorners val="false"/>
  <mc:AlternateContent xmlns:mc="http://schemas.openxmlformats.org/markup-compatibility/2006">
    <mc:Choice xmlns:c14="http://schemas.microsoft.com/office/drawing/2007/8/2/chart" Requires="c14">
      <c14:style val="102"/>
    </mc:Choice>
    <mc:Fallback>
      <c:style val="2"/>
    </mc:Fallback>
  </mc:AlternateContent>
  <c:chart>
    <c:autoTitleDeleted val="true"/>
    <c:plotArea>
      <c:layout>
        <c:manualLayout>
          <c:layoutTarget val="inner"/>
          <c:xMode val="edge"/>
          <c:yMode val="edge"/>
          <c:x val="0.0849944467843543"/>
          <c:y val="0.0474041162852756"/>
          <c:w val="0.774532600260064"/>
          <c:h val="0.856728502157569"/>
        </c:manualLayout>
      </c:layout>
      <c:barChart>
        <c:barDir val="col"/>
        <c:grouping val="clustered"/>
        <c:varyColors val="false"/>
        <c:ser>
          <c:idx val="0"/>
          <c:order val="0"/>
          <c:tx>
            <c:strRef>
              <c:f>Sheet1!$B$1</c:f>
              <c:strCache>
                <c:ptCount val="1"/>
                <c:pt idx="0">
                  <c:v>2024</c:v>
                </c:pt>
              </c:strCache>
            </c:strRef>
          </c:tx>
          <c:spPr>
            <a:solidFill>
              <a:schemeClr val="accent1"/>
            </a:solidFill>
            <a:ln>
              <a:noFill/>
            </a:ln>
            <a:effectLst/>
          </c:spPr>
          <c:invertIfNegative val="false"/>
          <c:dLbls>
            <c:dLbl>
              <c:idx val="0"/>
              <c:layout/>
              <c:tx>
                <c:rich>
                  <a:bodyPr rot="0" spcFirstLastPara="0" vertOverflow="ellipsis" vert="horz" wrap="square" lIns="38100" tIns="19050" rIns="38100" bIns="19050" anchor="ctr" anchorCtr="true"/>
                  <a:lstStyle/>
                  <a:p>
                    <a:pPr>
                      <a:defRPr lang="zh-CN" sz="900" b="0" i="0" u="none" strike="noStrike" kern="1200" baseline="0">
                        <a:solidFill>
                          <a:schemeClr val="tx1">
                            <a:lumMod val="75000"/>
                            <a:lumOff val="25000"/>
                          </a:schemeClr>
                        </a:solidFill>
                        <a:latin typeface="+mn-lt"/>
                        <a:ea typeface="+mn-ea"/>
                        <a:cs typeface="+mn-cs"/>
                      </a:defRPr>
                    </a:pPr>
                    <a:r>
                      <a:rPr lang="en-US" altLang="zh-CN"/>
                      <a:t>2319.89</a:t>
                    </a:r>
                    <a:r>
                      <a:rPr lang="zh-CN" altLang="en-US"/>
                      <a:t>万元</a:t>
                    </a:r>
                    <a:endParaRPr lang="zh-CN" altLang="en-US"/>
                  </a:p>
                </c:rich>
              </c:tx>
              <c:dLblPos val="outEnd"/>
              <c:showLegendKey val="false"/>
              <c:showVal val="true"/>
              <c:showCatName val="false"/>
              <c:showSerName val="false"/>
              <c:showPercent val="false"/>
              <c:showBubbleSize val="false"/>
              <c:extLst>
                <c:ext xmlns:c15="http://schemas.microsoft.com/office/drawing/2012/chart" uri="{CE6537A1-D6FC-4f65-9D91-7224C49458BB}"/>
              </c:extLst>
            </c:dLbl>
            <c:dLbl>
              <c:idx val="1"/>
              <c:layout/>
              <c:tx>
                <c:rich>
                  <a:bodyPr rot="0" spcFirstLastPara="0" vertOverflow="ellipsis" vert="horz" wrap="square" lIns="38100" tIns="19050" rIns="38100" bIns="19050" anchor="ctr" anchorCtr="true"/>
                  <a:lstStyle/>
                  <a:p>
                    <a:pPr>
                      <a:defRPr lang="zh-CN" sz="900" b="0" i="0" u="none" strike="noStrike" kern="1200" baseline="0">
                        <a:solidFill>
                          <a:schemeClr val="tx1">
                            <a:lumMod val="75000"/>
                            <a:lumOff val="25000"/>
                          </a:schemeClr>
                        </a:solidFill>
                        <a:latin typeface="+mn-lt"/>
                        <a:ea typeface="+mn-ea"/>
                        <a:cs typeface="+mn-cs"/>
                      </a:defRPr>
                    </a:pPr>
                    <a:r>
                      <a:rPr lang="en-US" altLang="zh-CN"/>
                      <a:t>2319..89</a:t>
                    </a:r>
                    <a:r>
                      <a:rPr lang="zh-CN" altLang="en-US"/>
                      <a:t>万元</a:t>
                    </a:r>
                    <a:endParaRPr lang="zh-CN" altLang="en-US"/>
                  </a:p>
                </c:rich>
              </c:tx>
              <c:dLblPos val="outEnd"/>
              <c:showLegendKey val="false"/>
              <c:showVal val="true"/>
              <c:showCatName val="false"/>
              <c:showSerName val="false"/>
              <c:showPercent val="false"/>
              <c:showBubbleSize val="false"/>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true"/>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false"/>
            <c:showVal val="true"/>
            <c:showCatName val="false"/>
            <c:showSerName val="false"/>
            <c:showPercent val="false"/>
            <c:showBubbleSize val="false"/>
            <c:showLeaderLines val="false"/>
            <c:extLst>
              <c:ext xmlns:c15="http://schemas.microsoft.com/office/drawing/2012/chart" uri="{CE6537A1-D6FC-4f65-9D91-7224C49458BB}">
                <c15:layout/>
                <c15:showLeaderLines val="false"/>
                <c15:leaderLines>
                  <c:spPr>
                    <a:ln w="9525" cap="flat" cmpd="sng" algn="ctr">
                      <a:solidFill>
                        <a:schemeClr val="tx1">
                          <a:lumMod val="35000"/>
                          <a:lumOff val="65000"/>
                        </a:schemeClr>
                      </a:solidFill>
                      <a:round/>
                    </a:ln>
                    <a:effectLst/>
                  </c:spPr>
                </c15:leaderLines>
              </c:ext>
            </c:extLst>
          </c:dLbls>
          <c:cat>
            <c:strRef>
              <c:f>Sheet1!$A$2:$A$3</c:f>
              <c:strCache>
                <c:ptCount val="2"/>
                <c:pt idx="0">
                  <c:v>财政拨款收入</c:v>
                </c:pt>
                <c:pt idx="1">
                  <c:v>财政拨款支出</c:v>
                </c:pt>
              </c:strCache>
            </c:strRef>
          </c:cat>
          <c:val>
            <c:numRef>
              <c:f>Sheet1!$B$2:$B$3</c:f>
              <c:numCache>
                <c:formatCode>General</c:formatCode>
                <c:ptCount val="2"/>
                <c:pt idx="0">
                  <c:v>2319.89</c:v>
                </c:pt>
                <c:pt idx="1">
                  <c:v>2319.89</c:v>
                </c:pt>
              </c:numCache>
            </c:numRef>
          </c:val>
        </c:ser>
        <c:ser>
          <c:idx val="1"/>
          <c:order val="1"/>
          <c:tx>
            <c:strRef>
              <c:f>Sheet1!$C$1</c:f>
              <c:strCache>
                <c:ptCount val="1"/>
                <c:pt idx="0">
                  <c:v>2025</c:v>
                </c:pt>
              </c:strCache>
            </c:strRef>
          </c:tx>
          <c:spPr>
            <a:solidFill>
              <a:schemeClr val="accent2"/>
            </a:solidFill>
            <a:ln>
              <a:noFill/>
            </a:ln>
            <a:effectLst/>
          </c:spPr>
          <c:invertIfNegative val="false"/>
          <c:dLbls>
            <c:dLbl>
              <c:idx val="0"/>
              <c:layout/>
              <c:tx>
                <c:rich>
                  <a:bodyPr rot="0" spcFirstLastPara="0" vertOverflow="ellipsis" vert="horz" wrap="square" lIns="38100" tIns="19050" rIns="38100" bIns="19050" anchor="ctr" anchorCtr="true"/>
                  <a:lstStyle/>
                  <a:p>
                    <a:pPr>
                      <a:defRPr lang="zh-CN" sz="900" b="0" i="0" u="none" strike="noStrike" kern="1200" baseline="0">
                        <a:solidFill>
                          <a:schemeClr val="tx1">
                            <a:lumMod val="75000"/>
                            <a:lumOff val="25000"/>
                          </a:schemeClr>
                        </a:solidFill>
                        <a:latin typeface="+mn-lt"/>
                        <a:ea typeface="+mn-ea"/>
                        <a:cs typeface="+mn-cs"/>
                      </a:defRPr>
                    </a:pPr>
                    <a:r>
                      <a:rPr lang="en-US" altLang="zh-CN"/>
                      <a:t>3468.88</a:t>
                    </a:r>
                    <a:r>
                      <a:rPr lang="zh-CN" altLang="en-US"/>
                      <a:t>万元</a:t>
                    </a:r>
                    <a:endParaRPr lang="zh-CN" altLang="en-US"/>
                  </a:p>
                </c:rich>
              </c:tx>
              <c:dLblPos val="outEnd"/>
              <c:showLegendKey val="false"/>
              <c:showVal val="true"/>
              <c:showCatName val="false"/>
              <c:showSerName val="false"/>
              <c:showPercent val="false"/>
              <c:showBubbleSize val="false"/>
              <c:extLst>
                <c:ext xmlns:c15="http://schemas.microsoft.com/office/drawing/2012/chart" uri="{CE6537A1-D6FC-4f65-9D91-7224C49458BB}"/>
              </c:extLst>
            </c:dLbl>
            <c:dLbl>
              <c:idx val="1"/>
              <c:layout/>
              <c:tx>
                <c:rich>
                  <a:bodyPr rot="0" spcFirstLastPara="0" vertOverflow="ellipsis" vert="horz" wrap="square" lIns="38100" tIns="19050" rIns="38100" bIns="19050" anchor="ctr" anchorCtr="true"/>
                  <a:lstStyle/>
                  <a:p>
                    <a:pPr>
                      <a:defRPr lang="zh-CN" sz="900" b="0" i="0" u="none" strike="noStrike" kern="1200" baseline="0">
                        <a:solidFill>
                          <a:schemeClr val="tx1">
                            <a:lumMod val="75000"/>
                            <a:lumOff val="25000"/>
                          </a:schemeClr>
                        </a:solidFill>
                        <a:latin typeface="+mn-lt"/>
                        <a:ea typeface="+mn-ea"/>
                        <a:cs typeface="+mn-cs"/>
                      </a:defRPr>
                    </a:pPr>
                    <a:r>
                      <a:rPr lang="en-US" altLang="zh-CN"/>
                      <a:t>3468.88</a:t>
                    </a:r>
                    <a:r>
                      <a:rPr lang="zh-CN" altLang="en-US"/>
                      <a:t>万元</a:t>
                    </a:r>
                    <a:endParaRPr lang="zh-CN" altLang="en-US"/>
                  </a:p>
                </c:rich>
              </c:tx>
              <c:dLblPos val="outEnd"/>
              <c:showLegendKey val="false"/>
              <c:showVal val="true"/>
              <c:showCatName val="false"/>
              <c:showSerName val="false"/>
              <c:showPercent val="false"/>
              <c:showBubbleSize val="false"/>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true"/>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false"/>
            <c:showVal val="true"/>
            <c:showCatName val="false"/>
            <c:showSerName val="false"/>
            <c:showPercent val="false"/>
            <c:showBubbleSize val="false"/>
            <c:showLeaderLines val="false"/>
            <c:extLst>
              <c:ext xmlns:c15="http://schemas.microsoft.com/office/drawing/2012/chart" uri="{CE6537A1-D6FC-4f65-9D91-7224C49458BB}">
                <c15:layout/>
                <c15:showLeaderLines val="false"/>
                <c15:leaderLines>
                  <c:spPr>
                    <a:ln w="9525" cap="flat" cmpd="sng" algn="ctr">
                      <a:solidFill>
                        <a:schemeClr val="tx1">
                          <a:lumMod val="35000"/>
                          <a:lumOff val="65000"/>
                        </a:schemeClr>
                      </a:solidFill>
                      <a:round/>
                    </a:ln>
                    <a:effectLst/>
                  </c:spPr>
                </c15:leaderLines>
              </c:ext>
            </c:extLst>
          </c:dLbls>
          <c:cat>
            <c:strRef>
              <c:f>Sheet1!$A$2:$A$3</c:f>
              <c:strCache>
                <c:ptCount val="2"/>
                <c:pt idx="0">
                  <c:v>财政拨款收入</c:v>
                </c:pt>
                <c:pt idx="1">
                  <c:v>财政拨款支出</c:v>
                </c:pt>
              </c:strCache>
            </c:strRef>
          </c:cat>
          <c:val>
            <c:numRef>
              <c:f>Sheet1!$C$2:$C$3</c:f>
              <c:numCache>
                <c:formatCode>General</c:formatCode>
                <c:ptCount val="2"/>
                <c:pt idx="0">
                  <c:v>3468.88</c:v>
                </c:pt>
                <c:pt idx="1">
                  <c:v>3468.88</c:v>
                </c:pt>
              </c:numCache>
            </c:numRef>
          </c:val>
        </c:ser>
        <c:dLbls>
          <c:showLegendKey val="false"/>
          <c:showVal val="true"/>
          <c:showCatName val="false"/>
          <c:showSerName val="false"/>
          <c:showPercent val="false"/>
          <c:showBubbleSize val="false"/>
        </c:dLbls>
        <c:gapWidth val="219"/>
        <c:overlap val="-27"/>
        <c:axId val="61299328"/>
        <c:axId val="61321600"/>
      </c:barChart>
      <c:catAx>
        <c:axId val="61299328"/>
        <c:scaling>
          <c:orientation val="minMax"/>
        </c:scaling>
        <c:delete val="false"/>
        <c:axPos val="b"/>
        <c:numFmt formatCode="General" sourceLinked="false"/>
        <c:majorTickMark val="out"/>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true"/>
          <a:lstStyle/>
          <a:p>
            <a:pPr>
              <a:defRPr lang="zh-CN" sz="900" b="0" i="0" u="none" strike="noStrike" kern="1200" baseline="0">
                <a:solidFill>
                  <a:schemeClr val="tx1">
                    <a:lumMod val="65000"/>
                    <a:lumOff val="35000"/>
                  </a:schemeClr>
                </a:solidFill>
                <a:latin typeface="+mn-lt"/>
                <a:ea typeface="+mn-ea"/>
                <a:cs typeface="+mn-cs"/>
              </a:defRPr>
            </a:pPr>
          </a:p>
        </c:txPr>
        <c:crossAx val="61321600"/>
        <c:crosses val="autoZero"/>
        <c:auto val="true"/>
        <c:lblAlgn val="ctr"/>
        <c:lblOffset val="100"/>
        <c:noMultiLvlLbl val="false"/>
      </c:catAx>
      <c:valAx>
        <c:axId val="61321600"/>
        <c:scaling>
          <c:orientation val="minMax"/>
        </c:scaling>
        <c:delete val="false"/>
        <c:axPos val="l"/>
        <c:majorGridlines>
          <c:spPr>
            <a:ln w="9525" cap="flat" cmpd="sng" algn="ctr">
              <a:solidFill>
                <a:schemeClr val="tx1">
                  <a:lumMod val="15000"/>
                  <a:lumOff val="85000"/>
                </a:schemeClr>
              </a:solidFill>
              <a:round/>
            </a:ln>
            <a:effectLst/>
          </c:spPr>
        </c:majorGridlines>
        <c:numFmt formatCode="General" sourceLinked="true"/>
        <c:majorTickMark val="out"/>
        <c:minorTickMark val="none"/>
        <c:tickLblPos val="nextTo"/>
        <c:spPr>
          <a:noFill/>
          <a:ln>
            <a:noFill/>
          </a:ln>
          <a:effectLst/>
        </c:spPr>
        <c:txPr>
          <a:bodyPr rot="-60000000" spcFirstLastPara="0" vertOverflow="ellipsis" vert="horz" wrap="square" anchor="ctr" anchorCtr="true"/>
          <a:lstStyle/>
          <a:p>
            <a:pPr>
              <a:defRPr lang="zh-CN" sz="900" b="0" i="0" u="none" strike="noStrike" kern="1200" baseline="0">
                <a:solidFill>
                  <a:schemeClr val="tx1">
                    <a:lumMod val="65000"/>
                    <a:lumOff val="35000"/>
                  </a:schemeClr>
                </a:solidFill>
                <a:latin typeface="+mn-lt"/>
                <a:ea typeface="+mn-ea"/>
                <a:cs typeface="+mn-cs"/>
              </a:defRPr>
            </a:pPr>
          </a:p>
        </c:txPr>
        <c:crossAx val="61299328"/>
        <c:crosses val="autoZero"/>
        <c:crossBetween val="between"/>
      </c:valAx>
      <c:spPr>
        <a:noFill/>
        <a:ln>
          <a:noFill/>
        </a:ln>
        <a:effectLst/>
      </c:spPr>
    </c:plotArea>
    <c:plotVisOnly val="true"/>
    <c:dispBlanksAs val="gap"/>
    <c:showDLblsOverMax val="false"/>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false"/>
  </c:externalData>
  <c:userShapes r:id="rId2"/>
</c:chartSpace>
</file>

<file path=word/charts/chart5.xml><?xml version="1.0" encoding="utf-8"?>
<c:chartSpace xmlns:c="http://schemas.openxmlformats.org/drawingml/2006/chart" xmlns:a="http://schemas.openxmlformats.org/drawingml/2006/main" xmlns:r="http://schemas.openxmlformats.org/officeDocument/2006/relationships">
  <c:date1904 val="false"/>
  <c:lang val="zh-CN"/>
  <c:roundedCorners val="false"/>
  <mc:AlternateContent xmlns:mc="http://schemas.openxmlformats.org/markup-compatibility/2006">
    <mc:Choice xmlns:c14="http://schemas.microsoft.com/office/drawing/2007/8/2/chart" Requires="c14">
      <c14:style val="102"/>
    </mc:Choice>
    <mc:Fallback>
      <c:style val="2"/>
    </mc:Fallback>
  </mc:AlternateContent>
  <c:chart>
    <c:autoTitleDeleted val="true"/>
    <c:plotArea>
      <c:layout>
        <c:manualLayout>
          <c:layoutTarget val="inner"/>
          <c:xMode val="edge"/>
          <c:yMode val="edge"/>
          <c:x val="0.150364060466255"/>
          <c:y val="0.095702055301778"/>
          <c:w val="0.771682362242644"/>
          <c:h val="0.820089222593306"/>
        </c:manualLayout>
      </c:layout>
      <c:barChart>
        <c:barDir val="col"/>
        <c:grouping val="clustered"/>
        <c:varyColors val="false"/>
        <c:ser>
          <c:idx val="0"/>
          <c:order val="0"/>
          <c:tx>
            <c:strRef>
              <c:f>Sheet1!$B$1</c:f>
              <c:strCache>
                <c:ptCount val="1"/>
                <c:pt idx="0">
                  <c:v>2024</c:v>
                </c:pt>
              </c:strCache>
            </c:strRef>
          </c:tx>
          <c:invertIfNegative val="false"/>
          <c:dLbls>
            <c:dLbl>
              <c:idx val="0"/>
              <c:layout/>
              <c:tx>
                <c:rich>
                  <a:bodyPr rot="0" spcFirstLastPara="0" vertOverflow="ellipsis" vert="horz" wrap="square" lIns="38100" tIns="19050" rIns="38100" bIns="19050" anchor="ctr" anchorCtr="true"/>
                  <a:lstStyle/>
                  <a:p>
                    <a:pPr>
                      <a:defRPr lang="zh-CN" sz="1000" b="0" i="0" u="none" strike="noStrike" kern="1200" baseline="0">
                        <a:solidFill>
                          <a:schemeClr val="tx1"/>
                        </a:solidFill>
                        <a:latin typeface="+mn-lt"/>
                        <a:ea typeface="+mn-ea"/>
                        <a:cs typeface="+mn-cs"/>
                      </a:defRPr>
                    </a:pPr>
                    <a:r>
                      <a:rPr lang="en-US" altLang="zh-CN"/>
                      <a:t>2319.89</a:t>
                    </a:r>
                    <a:r>
                      <a:rPr lang="zh-CN" altLang="en-US"/>
                      <a:t>万元</a:t>
                    </a:r>
                    <a:endParaRPr lang="zh-CN" altLang="en-US"/>
                  </a:p>
                </c:rich>
              </c:tx>
              <c:dLblPos val="outEnd"/>
              <c:showLegendKey val="false"/>
              <c:showVal val="true"/>
              <c:showCatName val="false"/>
              <c:showSerName val="false"/>
              <c:showPercent val="false"/>
              <c:showBubbleSize val="false"/>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true"/>
              <a:lstStyle/>
              <a:p>
                <a:pPr>
                  <a:defRPr lang="zh-CN" sz="1000" b="0" i="0" u="none" strike="noStrike" kern="1200" baseline="0">
                    <a:solidFill>
                      <a:schemeClr val="tx1"/>
                    </a:solidFill>
                    <a:latin typeface="+mn-lt"/>
                    <a:ea typeface="+mn-ea"/>
                    <a:cs typeface="+mn-cs"/>
                  </a:defRPr>
                </a:pPr>
              </a:p>
            </c:txPr>
            <c:dLblPos val="outEnd"/>
            <c:showLegendKey val="false"/>
            <c:showVal val="true"/>
            <c:showCatName val="false"/>
            <c:showSerName val="false"/>
            <c:showPercent val="false"/>
            <c:showBubbleSize val="false"/>
            <c:showLeaderLines val="false"/>
            <c:extLst>
              <c:ext xmlns:c15="http://schemas.microsoft.com/office/drawing/2012/chart" uri="{CE6537A1-D6FC-4f65-9D91-7224C49458BB}">
                <c15:layout/>
                <c15:showLeaderLines val="false"/>
                <c15:leaderLines/>
              </c:ext>
            </c:extLst>
          </c:dLbls>
          <c:cat>
            <c:numRef>
              <c:f>Sheet1!$A$2</c:f>
              <c:numCache>
                <c:formatCode>General</c:formatCode>
                <c:ptCount val="1"/>
              </c:numCache>
            </c:numRef>
          </c:cat>
          <c:val>
            <c:numRef>
              <c:f>Sheet1!$B$2</c:f>
              <c:numCache>
                <c:formatCode>General</c:formatCode>
                <c:ptCount val="1"/>
                <c:pt idx="0">
                  <c:v>2319.89</c:v>
                </c:pt>
              </c:numCache>
            </c:numRef>
          </c:val>
        </c:ser>
        <c:ser>
          <c:idx val="1"/>
          <c:order val="1"/>
          <c:tx>
            <c:strRef>
              <c:f>Sheet1!$C$1</c:f>
              <c:strCache>
                <c:ptCount val="1"/>
                <c:pt idx="0">
                  <c:v>2025</c:v>
                </c:pt>
              </c:strCache>
            </c:strRef>
          </c:tx>
          <c:invertIfNegative val="false"/>
          <c:dLbls>
            <c:dLbl>
              <c:idx val="0"/>
              <c:layout/>
              <c:tx>
                <c:rich>
                  <a:bodyPr rot="0" spcFirstLastPara="0" vertOverflow="ellipsis" vert="horz" wrap="square" lIns="38100" tIns="19050" rIns="38100" bIns="19050" anchor="ctr" anchorCtr="true"/>
                  <a:lstStyle/>
                  <a:p>
                    <a:pPr>
                      <a:defRPr lang="zh-CN" sz="1000" b="0" i="0" u="none" strike="noStrike" kern="1200" baseline="0">
                        <a:solidFill>
                          <a:schemeClr val="tx1"/>
                        </a:solidFill>
                        <a:latin typeface="+mn-lt"/>
                        <a:ea typeface="+mn-ea"/>
                        <a:cs typeface="+mn-cs"/>
                      </a:defRPr>
                    </a:pPr>
                    <a:r>
                      <a:rPr lang="en-US" altLang="zh-CN"/>
                      <a:t>3468.88</a:t>
                    </a:r>
                    <a:r>
                      <a:rPr lang="zh-CN" altLang="en-US"/>
                      <a:t>万元</a:t>
                    </a:r>
                    <a:endParaRPr lang="zh-CN" altLang="en-US"/>
                  </a:p>
                </c:rich>
              </c:tx>
              <c:dLblPos val="outEnd"/>
              <c:showLegendKey val="false"/>
              <c:showVal val="true"/>
              <c:showCatName val="false"/>
              <c:showSerName val="false"/>
              <c:showPercent val="false"/>
              <c:showBubbleSize val="false"/>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true"/>
              <a:lstStyle/>
              <a:p>
                <a:pPr>
                  <a:defRPr lang="zh-CN" sz="1000" b="0" i="0" u="none" strike="noStrike" kern="1200" baseline="0">
                    <a:solidFill>
                      <a:schemeClr val="tx1"/>
                    </a:solidFill>
                    <a:latin typeface="+mn-lt"/>
                    <a:ea typeface="+mn-ea"/>
                    <a:cs typeface="+mn-cs"/>
                  </a:defRPr>
                </a:pPr>
              </a:p>
            </c:txPr>
            <c:dLblPos val="outEnd"/>
            <c:showLegendKey val="false"/>
            <c:showVal val="true"/>
            <c:showCatName val="false"/>
            <c:showSerName val="false"/>
            <c:showPercent val="false"/>
            <c:showBubbleSize val="false"/>
            <c:showLeaderLines val="false"/>
            <c:extLst>
              <c:ext xmlns:c15="http://schemas.microsoft.com/office/drawing/2012/chart" uri="{CE6537A1-D6FC-4f65-9D91-7224C49458BB}">
                <c15:layout/>
                <c15:showLeaderLines val="false"/>
                <c15:leaderLines/>
              </c:ext>
            </c:extLst>
          </c:dLbls>
          <c:cat>
            <c:numRef>
              <c:f>Sheet1!$A$2</c:f>
              <c:numCache>
                <c:formatCode>General</c:formatCode>
                <c:ptCount val="1"/>
              </c:numCache>
            </c:numRef>
          </c:cat>
          <c:val>
            <c:numRef>
              <c:f>Sheet1!$C$2</c:f>
              <c:numCache>
                <c:formatCode>General</c:formatCode>
                <c:ptCount val="1"/>
                <c:pt idx="0">
                  <c:v>3468.88</c:v>
                </c:pt>
              </c:numCache>
            </c:numRef>
          </c:val>
        </c:ser>
        <c:dLbls>
          <c:showLegendKey val="false"/>
          <c:showVal val="true"/>
          <c:showCatName val="false"/>
          <c:showSerName val="false"/>
          <c:showPercent val="false"/>
          <c:showBubbleSize val="false"/>
        </c:dLbls>
        <c:gapWidth val="150"/>
        <c:axId val="87344256"/>
        <c:axId val="87345792"/>
      </c:barChart>
      <c:catAx>
        <c:axId val="87344256"/>
        <c:scaling>
          <c:orientation val="minMax"/>
        </c:scaling>
        <c:delete val="false"/>
        <c:axPos val="b"/>
        <c:numFmt formatCode="General" sourceLinked="true"/>
        <c:majorTickMark val="out"/>
        <c:minorTickMark val="none"/>
        <c:tickLblPos val="nextTo"/>
        <c:txPr>
          <a:bodyPr rot="-60000000" spcFirstLastPara="0" vertOverflow="ellipsis" vert="horz" wrap="square" anchor="ctr" anchorCtr="true"/>
          <a:lstStyle/>
          <a:p>
            <a:pPr>
              <a:defRPr lang="zh-CN" sz="1000" b="0" i="0" u="none" strike="noStrike" kern="1200" baseline="0">
                <a:solidFill>
                  <a:schemeClr val="tx1"/>
                </a:solidFill>
                <a:latin typeface="+mn-lt"/>
                <a:ea typeface="+mn-ea"/>
                <a:cs typeface="+mn-cs"/>
              </a:defRPr>
            </a:pPr>
          </a:p>
        </c:txPr>
        <c:crossAx val="87345792"/>
        <c:crosses val="autoZero"/>
        <c:auto val="true"/>
        <c:lblAlgn val="ctr"/>
        <c:lblOffset val="100"/>
        <c:noMultiLvlLbl val="false"/>
      </c:catAx>
      <c:valAx>
        <c:axId val="87345792"/>
        <c:scaling>
          <c:orientation val="minMax"/>
        </c:scaling>
        <c:delete val="false"/>
        <c:axPos val="l"/>
        <c:majorGridlines/>
        <c:numFmt formatCode="General" sourceLinked="true"/>
        <c:majorTickMark val="out"/>
        <c:minorTickMark val="none"/>
        <c:tickLblPos val="nextTo"/>
        <c:txPr>
          <a:bodyPr rot="-60000000" spcFirstLastPara="0" vertOverflow="ellipsis" vert="horz" wrap="square" anchor="ctr" anchorCtr="true"/>
          <a:lstStyle/>
          <a:p>
            <a:pPr>
              <a:defRPr lang="zh-CN" sz="1000" b="0" i="0" u="none" strike="noStrike" kern="1200" baseline="0">
                <a:solidFill>
                  <a:schemeClr val="tx1"/>
                </a:solidFill>
                <a:latin typeface="+mn-lt"/>
                <a:ea typeface="+mn-ea"/>
                <a:cs typeface="+mn-cs"/>
              </a:defRPr>
            </a:pPr>
          </a:p>
        </c:txPr>
        <c:crossAx val="87344256"/>
        <c:crosses val="autoZero"/>
        <c:crossBetween val="between"/>
      </c:valAx>
    </c:plotArea>
    <c:legend>
      <c:legendPos val="r"/>
      <c:layout/>
      <c:overlay val="false"/>
      <c:txPr>
        <a:bodyPr rot="0" spcFirstLastPara="0" vertOverflow="ellipsis" vert="horz" wrap="square" anchor="ctr" anchorCtr="true"/>
        <a:lstStyle/>
        <a:p>
          <a:pPr>
            <a:defRPr lang="zh-CN" sz="1000" b="0" i="0" u="none" strike="noStrike" kern="1200" baseline="0">
              <a:solidFill>
                <a:schemeClr val="tx1"/>
              </a:solidFill>
              <a:latin typeface="+mn-lt"/>
              <a:ea typeface="+mn-ea"/>
              <a:cs typeface="+mn-cs"/>
            </a:defRPr>
          </a:pPr>
        </a:p>
      </c:txPr>
    </c:legend>
    <c:plotVisOnly val="true"/>
    <c:dispBlanksAs val="gap"/>
    <c:showDLblsOverMax val="false"/>
  </c:chart>
  <c:txPr>
    <a:bodyPr/>
    <a:lstStyle/>
    <a:p>
      <a:pPr>
        <a:defRPr lang="zh-CN"/>
      </a:pPr>
    </a:p>
  </c:txPr>
  <c:externalData r:id="rId1">
    <c:autoUpdate val="false"/>
  </c:externalData>
  <c:userShapes r:id="rId2"/>
</c:chartSpace>
</file>

<file path=word/charts/chart6.xml><?xml version="1.0" encoding="utf-8"?>
<c:chartSpace xmlns:c="http://schemas.openxmlformats.org/drawingml/2006/chart" xmlns:a="http://schemas.openxmlformats.org/drawingml/2006/main" xmlns:r="http://schemas.openxmlformats.org/officeDocument/2006/relationships">
  <c:date1904 val="false"/>
  <c:lang val="zh-CN"/>
  <c:roundedCorners val="false"/>
  <mc:AlternateContent xmlns:mc="http://schemas.openxmlformats.org/markup-compatibility/2006">
    <mc:Choice xmlns:c14="http://schemas.microsoft.com/office/drawing/2007/8/2/chart" Requires="c14">
      <c14:style val="102"/>
    </mc:Choice>
    <mc:Fallback>
      <c:style val="2"/>
    </mc:Fallback>
  </mc:AlternateContent>
  <c:chart>
    <c:title>
      <c:layout/>
      <c:overlay val="false"/>
      <c:txPr>
        <a:bodyPr rot="0" spcFirstLastPara="0" vertOverflow="ellipsis" vert="horz" wrap="square" anchor="ctr" anchorCtr="true"/>
        <a:lstStyle/>
        <a:p>
          <a:pPr>
            <a:defRPr lang="zh-CN" sz="1800" b="1" i="0" u="none" strike="noStrike" kern="1200" baseline="0">
              <a:solidFill>
                <a:schemeClr val="tx1"/>
              </a:solidFill>
              <a:latin typeface="+mn-lt"/>
              <a:ea typeface="+mn-ea"/>
              <a:cs typeface="+mn-cs"/>
            </a:defRPr>
          </a:pPr>
        </a:p>
      </c:txPr>
    </c:title>
    <c:autoTitleDeleted val="false"/>
    <c:plotArea>
      <c:layout/>
      <c:pieChart>
        <c:varyColors val="true"/>
        <c:ser>
          <c:idx val="0"/>
          <c:order val="0"/>
          <c:tx>
            <c:strRef>
              <c:f>Sheet1!$B$1</c:f>
              <c:strCache>
                <c:ptCount val="1"/>
                <c:pt idx="0">
                  <c:v>一般公共预算财政拨款支出</c:v>
                </c:pt>
              </c:strCache>
            </c:strRef>
          </c:tx>
          <c:explosion val="25"/>
          <c:dPt>
            <c:idx val="0"/>
            <c:bubble3D val="false"/>
          </c:dPt>
          <c:dPt>
            <c:idx val="1"/>
            <c:bubble3D val="false"/>
          </c:dPt>
          <c:dPt>
            <c:idx val="2"/>
            <c:bubble3D val="false"/>
          </c:dPt>
          <c:dPt>
            <c:idx val="3"/>
            <c:bubble3D val="false"/>
          </c:dPt>
          <c:dLbls>
            <c:dLbl>
              <c:idx val="0"/>
              <c:layout/>
              <c:tx>
                <c:rich>
                  <a:bodyPr rot="0" spcFirstLastPara="0" vertOverflow="ellipsis" vert="horz" wrap="square" lIns="38100" tIns="19050" rIns="38100" bIns="19050" anchor="ctr" anchorCtr="true"/>
                  <a:lstStyle/>
                  <a:p>
                    <a:pPr>
                      <a:defRPr lang="zh-CN" sz="1000" b="0" i="0" u="none" strike="noStrike" kern="1200" baseline="0">
                        <a:solidFill>
                          <a:schemeClr val="tx1"/>
                        </a:solidFill>
                        <a:latin typeface="+mn-lt"/>
                        <a:ea typeface="+mn-ea"/>
                        <a:cs typeface="+mn-cs"/>
                      </a:defRPr>
                    </a:pPr>
                    <a:r>
                      <a:rPr lang="en-US" altLang="zh-CN"/>
                      <a:t>379.20</a:t>
                    </a:r>
                    <a:r>
                      <a:rPr lang="zh-CN" altLang="en-US"/>
                      <a:t>万元</a:t>
                    </a:r>
                    <a:endParaRPr lang="zh-CN" altLang="en-US"/>
                  </a:p>
                </c:rich>
              </c:tx>
              <c:dLblPos val="bestFit"/>
              <c:showLegendKey val="false"/>
              <c:showVal val="true"/>
              <c:showCatName val="false"/>
              <c:showSerName val="false"/>
              <c:showPercent val="false"/>
              <c:showBubbleSize val="false"/>
              <c:extLst>
                <c:ext xmlns:c15="http://schemas.microsoft.com/office/drawing/2012/chart" uri="{CE6537A1-D6FC-4f65-9D91-7224C49458BB}"/>
              </c:extLst>
            </c:dLbl>
            <c:dLbl>
              <c:idx val="1"/>
              <c:layout/>
              <c:tx>
                <c:rich>
                  <a:bodyPr rot="0" spcFirstLastPara="0" vertOverflow="ellipsis" vert="horz" wrap="square" lIns="38100" tIns="19050" rIns="38100" bIns="19050" anchor="ctr" anchorCtr="true"/>
                  <a:lstStyle/>
                  <a:p>
                    <a:pPr>
                      <a:defRPr lang="zh-CN" sz="1000" b="0" i="0" u="none" strike="noStrike" kern="1200" baseline="0">
                        <a:solidFill>
                          <a:schemeClr val="tx1"/>
                        </a:solidFill>
                        <a:latin typeface="+mn-lt"/>
                        <a:ea typeface="+mn-ea"/>
                        <a:cs typeface="+mn-cs"/>
                      </a:defRPr>
                    </a:pPr>
                    <a:r>
                      <a:rPr lang="en-US" altLang="zh-CN"/>
                      <a:t>166.40</a:t>
                    </a:r>
                    <a:r>
                      <a:rPr lang="zh-CN" altLang="en-US"/>
                      <a:t>万元</a:t>
                    </a:r>
                    <a:endParaRPr lang="zh-CN" altLang="en-US"/>
                  </a:p>
                </c:rich>
              </c:tx>
              <c:dLblPos val="bestFit"/>
              <c:showLegendKey val="false"/>
              <c:showVal val="true"/>
              <c:showCatName val="false"/>
              <c:showSerName val="false"/>
              <c:showPercent val="false"/>
              <c:showBubbleSize val="false"/>
              <c:extLst>
                <c:ext xmlns:c15="http://schemas.microsoft.com/office/drawing/2012/chart" uri="{CE6537A1-D6FC-4f65-9D91-7224C49458BB}"/>
              </c:extLst>
            </c:dLbl>
            <c:dLbl>
              <c:idx val="2"/>
              <c:layout/>
              <c:tx>
                <c:rich>
                  <a:bodyPr rot="0" spcFirstLastPara="0" vertOverflow="ellipsis" vert="horz" wrap="square" lIns="38100" tIns="19050" rIns="38100" bIns="19050" anchor="ctr" anchorCtr="true"/>
                  <a:lstStyle/>
                  <a:p>
                    <a:pPr>
                      <a:defRPr lang="zh-CN" sz="1000" b="0" i="0" u="none" strike="noStrike" kern="1200" baseline="0">
                        <a:solidFill>
                          <a:schemeClr val="tx1"/>
                        </a:solidFill>
                        <a:latin typeface="+mn-lt"/>
                        <a:ea typeface="+mn-ea"/>
                        <a:cs typeface="+mn-cs"/>
                      </a:defRPr>
                    </a:pPr>
                    <a:r>
                      <a:rPr lang="en-US" altLang="zh-CN"/>
                      <a:t>208.23</a:t>
                    </a:r>
                    <a:r>
                      <a:rPr lang="zh-CN" altLang="en-US"/>
                      <a:t>万元</a:t>
                    </a:r>
                    <a:endParaRPr lang="zh-CN" altLang="en-US"/>
                  </a:p>
                </c:rich>
              </c:tx>
              <c:dLblPos val="bestFit"/>
              <c:showLegendKey val="false"/>
              <c:showVal val="true"/>
              <c:showCatName val="false"/>
              <c:showSerName val="false"/>
              <c:showPercent val="false"/>
              <c:showBubbleSize val="false"/>
              <c:extLst>
                <c:ext xmlns:c15="http://schemas.microsoft.com/office/drawing/2012/chart" uri="{CE6537A1-D6FC-4f65-9D91-7224C49458BB}"/>
              </c:extLst>
            </c:dLbl>
            <c:dLbl>
              <c:idx val="3"/>
              <c:layout/>
              <c:tx>
                <c:rich>
                  <a:bodyPr rot="0" spcFirstLastPara="0" vertOverflow="ellipsis" vert="horz" wrap="square" lIns="38100" tIns="19050" rIns="38100" bIns="19050" anchor="ctr" anchorCtr="true"/>
                  <a:lstStyle/>
                  <a:p>
                    <a:pPr>
                      <a:defRPr lang="zh-CN" sz="1000" b="0" i="0" u="none" strike="noStrike" kern="1200" baseline="0">
                        <a:solidFill>
                          <a:schemeClr val="tx1"/>
                        </a:solidFill>
                        <a:latin typeface="+mn-lt"/>
                        <a:ea typeface="+mn-ea"/>
                        <a:cs typeface="+mn-cs"/>
                      </a:defRPr>
                    </a:pPr>
                    <a:r>
                      <a:rPr lang="en-US" altLang="zh-CN"/>
                      <a:t>2715.04</a:t>
                    </a:r>
                    <a:r>
                      <a:rPr lang="zh-CN" altLang="en-US"/>
                      <a:t>万元</a:t>
                    </a:r>
                    <a:endParaRPr lang="zh-CN" altLang="en-US"/>
                  </a:p>
                </c:rich>
              </c:tx>
              <c:dLblPos val="bestFit"/>
              <c:showLegendKey val="false"/>
              <c:showVal val="true"/>
              <c:showCatName val="false"/>
              <c:showSerName val="false"/>
              <c:showPercent val="false"/>
              <c:showBubbleSize val="false"/>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true"/>
              <a:lstStyle/>
              <a:p>
                <a:pPr>
                  <a:defRPr lang="zh-CN" sz="1000" b="0" i="0" u="none" strike="noStrike" kern="1200" baseline="0">
                    <a:solidFill>
                      <a:schemeClr val="tx1"/>
                    </a:solidFill>
                    <a:latin typeface="+mn-lt"/>
                    <a:ea typeface="+mn-ea"/>
                    <a:cs typeface="+mn-cs"/>
                  </a:defRPr>
                </a:pPr>
              </a:p>
            </c:txPr>
            <c:dLblPos val="bestFit"/>
            <c:showLegendKey val="false"/>
            <c:showVal val="true"/>
            <c:showCatName val="false"/>
            <c:showSerName val="false"/>
            <c:showPercent val="false"/>
            <c:showBubbleSize val="false"/>
            <c:showLeaderLines val="true"/>
            <c:extLst>
              <c:ext xmlns:c15="http://schemas.microsoft.com/office/drawing/2012/chart" uri="{CE6537A1-D6FC-4f65-9D91-7224C49458BB}">
                <c15:layout/>
                <c15:showLeaderLines val="true"/>
                <c15:leaderLines/>
              </c:ext>
            </c:extLst>
          </c:dLbls>
          <c:cat>
            <c:strRef>
              <c:f>Sheet1!$A$2:$A$5</c:f>
              <c:strCache>
                <c:ptCount val="4"/>
                <c:pt idx="0">
                  <c:v>社会保障和就业支出</c:v>
                </c:pt>
                <c:pt idx="1">
                  <c:v>卫生健康支出</c:v>
                </c:pt>
                <c:pt idx="2">
                  <c:v>住房保障支出</c:v>
                </c:pt>
                <c:pt idx="3">
                  <c:v>交通运输支出</c:v>
                </c:pt>
              </c:strCache>
            </c:strRef>
          </c:cat>
          <c:val>
            <c:numRef>
              <c:f>Sheet1!$B$2:$B$5</c:f>
              <c:numCache>
                <c:formatCode>General</c:formatCode>
                <c:ptCount val="4"/>
                <c:pt idx="0">
                  <c:v>379.2</c:v>
                </c:pt>
                <c:pt idx="1">
                  <c:v>166.4</c:v>
                </c:pt>
                <c:pt idx="2">
                  <c:v>208.23</c:v>
                </c:pt>
                <c:pt idx="3">
                  <c:v>2715.04</c:v>
                </c:pt>
              </c:numCache>
            </c:numRef>
          </c:val>
        </c:ser>
        <c:dLbls>
          <c:showLegendKey val="false"/>
          <c:showVal val="true"/>
          <c:showCatName val="false"/>
          <c:showSerName val="false"/>
          <c:showPercent val="false"/>
          <c:showBubbleSize val="false"/>
          <c:showLeaderLines val="true"/>
        </c:dLbls>
        <c:firstSliceAng val="0"/>
      </c:pieChart>
      <c:spPr>
        <a:noFill/>
        <a:ln>
          <a:noFill/>
        </a:ln>
        <a:effectLst/>
      </c:spPr>
    </c:plotArea>
    <c:legend>
      <c:legendPos val="r"/>
      <c:layout/>
      <c:overlay val="false"/>
      <c:txPr>
        <a:bodyPr rot="0" spcFirstLastPara="0" vertOverflow="ellipsis" vert="horz" wrap="square" anchor="ctr" anchorCtr="true"/>
        <a:lstStyle/>
        <a:p>
          <a:pPr>
            <a:defRPr lang="zh-CN" sz="1000" b="0" i="0" u="none" strike="noStrike" kern="1200" baseline="0">
              <a:solidFill>
                <a:schemeClr val="tx1"/>
              </a:solidFill>
              <a:latin typeface="+mn-lt"/>
              <a:ea typeface="+mn-ea"/>
              <a:cs typeface="+mn-cs"/>
            </a:defRPr>
          </a:pPr>
        </a:p>
      </c:txPr>
    </c:legend>
    <c:plotVisOnly val="true"/>
    <c:dispBlanksAs val="gap"/>
    <c:showDLblsOverMax val="false"/>
  </c:chart>
  <c:txPr>
    <a:bodyPr/>
    <a:lstStyle/>
    <a:p>
      <a:pPr>
        <a:defRPr lang="zh-CN"/>
      </a:pPr>
    </a:p>
  </c:txPr>
  <c:externalData r:id="rId1">
    <c:autoUpdate val="false"/>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false"/>
  <c:lang val="zh-CN"/>
  <c:roundedCorners val="false"/>
  <mc:AlternateContent xmlns:mc="http://schemas.openxmlformats.org/markup-compatibility/2006">
    <mc:Choice xmlns:c14="http://schemas.microsoft.com/office/drawing/2007/8/2/chart" Requires="c14">
      <c14:style val="102"/>
    </mc:Choice>
    <mc:Fallback>
      <c:style val="2"/>
    </mc:Fallback>
  </mc:AlternateContent>
  <c:chart>
    <c:title>
      <c:layout/>
      <c:overlay val="false"/>
      <c:txPr>
        <a:bodyPr rot="0" spcFirstLastPara="0" vertOverflow="ellipsis" vert="horz" wrap="square" anchor="ctr" anchorCtr="true"/>
        <a:lstStyle/>
        <a:p>
          <a:pPr>
            <a:defRPr lang="zh-CN" sz="1800" b="1" i="0" u="none" strike="noStrike" kern="1200" baseline="0">
              <a:solidFill>
                <a:schemeClr val="tx1"/>
              </a:solidFill>
              <a:latin typeface="+mn-lt"/>
              <a:ea typeface="+mn-ea"/>
              <a:cs typeface="+mn-cs"/>
            </a:defRPr>
          </a:pPr>
        </a:p>
      </c:txPr>
    </c:title>
    <c:autoTitleDeleted val="false"/>
    <c:plotArea>
      <c:layout/>
      <c:pieChart>
        <c:varyColors val="true"/>
        <c:ser>
          <c:idx val="0"/>
          <c:order val="0"/>
          <c:tx>
            <c:strRef>
              <c:f>Sheet1!$B$1</c:f>
              <c:strCache>
                <c:ptCount val="1"/>
                <c:pt idx="0">
                  <c:v>三公经费财政拨款支出</c:v>
                </c:pt>
              </c:strCache>
            </c:strRef>
          </c:tx>
          <c:explosion val="25"/>
          <c:dPt>
            <c:idx val="0"/>
            <c:bubble3D val="false"/>
          </c:dPt>
          <c:dPt>
            <c:idx val="1"/>
            <c:bubble3D val="false"/>
          </c:dPt>
          <c:dLbls>
            <c:dLbl>
              <c:idx val="0"/>
              <c:layout/>
              <c:tx>
                <c:rich>
                  <a:bodyPr rot="0" spcFirstLastPara="0" vertOverflow="ellipsis" vert="horz" wrap="square" lIns="38100" tIns="19050" rIns="38100" bIns="19050" anchor="ctr" anchorCtr="true"/>
                  <a:lstStyle/>
                  <a:p>
                    <a:pPr>
                      <a:defRPr lang="zh-CN" sz="1000" b="0" i="0" u="none" strike="noStrike" kern="1200" baseline="0">
                        <a:solidFill>
                          <a:schemeClr val="tx1"/>
                        </a:solidFill>
                        <a:latin typeface="+mn-lt"/>
                        <a:ea typeface="+mn-ea"/>
                        <a:cs typeface="+mn-cs"/>
                      </a:defRPr>
                    </a:pPr>
                    <a:r>
                      <a:rPr lang="en-US" altLang="zh-CN"/>
                      <a:t>10.28</a:t>
                    </a:r>
                    <a:r>
                      <a:rPr lang="zh-CN" altLang="en-US"/>
                      <a:t>万元</a:t>
                    </a:r>
                    <a:endParaRPr lang="zh-CN" altLang="en-US"/>
                  </a:p>
                </c:rich>
              </c:tx>
              <c:dLblPos val="bestFit"/>
              <c:showLegendKey val="false"/>
              <c:showVal val="true"/>
              <c:showCatName val="false"/>
              <c:showSerName val="false"/>
              <c:showPercent val="false"/>
              <c:showBubbleSize val="false"/>
              <c:extLst>
                <c:ext xmlns:c15="http://schemas.microsoft.com/office/drawing/2012/chart" uri="{CE6537A1-D6FC-4f65-9D91-7224C49458BB}"/>
              </c:extLst>
            </c:dLbl>
            <c:dLbl>
              <c:idx val="1"/>
              <c:layout/>
              <c:tx>
                <c:rich>
                  <a:bodyPr rot="0" spcFirstLastPara="0" vertOverflow="ellipsis" vert="horz" wrap="square" lIns="38100" tIns="19050" rIns="38100" bIns="19050" anchor="ctr" anchorCtr="true"/>
                  <a:lstStyle/>
                  <a:p>
                    <a:pPr>
                      <a:defRPr lang="zh-CN" sz="1000" b="0" i="0" u="none" strike="noStrike" kern="1200" baseline="0">
                        <a:solidFill>
                          <a:schemeClr val="tx1"/>
                        </a:solidFill>
                        <a:latin typeface="+mn-lt"/>
                        <a:ea typeface="+mn-ea"/>
                        <a:cs typeface="+mn-cs"/>
                      </a:defRPr>
                    </a:pPr>
                    <a:r>
                      <a:rPr lang="en-US" altLang="zh-CN"/>
                      <a:t>0.05</a:t>
                    </a:r>
                    <a:r>
                      <a:rPr lang="zh-CN" altLang="en-US"/>
                      <a:t>万元</a:t>
                    </a:r>
                    <a:endParaRPr lang="zh-CN" altLang="en-US"/>
                  </a:p>
                </c:rich>
              </c:tx>
              <c:dLblPos val="bestFit"/>
              <c:showLegendKey val="false"/>
              <c:showVal val="true"/>
              <c:showCatName val="false"/>
              <c:showSerName val="false"/>
              <c:showPercent val="false"/>
              <c:showBubbleSize val="false"/>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true"/>
              <a:lstStyle/>
              <a:p>
                <a:pPr>
                  <a:defRPr lang="zh-CN" sz="1000" b="0" i="0" u="none" strike="noStrike" kern="1200" baseline="0">
                    <a:solidFill>
                      <a:schemeClr val="tx1"/>
                    </a:solidFill>
                    <a:latin typeface="+mn-lt"/>
                    <a:ea typeface="+mn-ea"/>
                    <a:cs typeface="+mn-cs"/>
                  </a:defRPr>
                </a:pPr>
              </a:p>
            </c:txPr>
            <c:dLblPos val="bestFit"/>
            <c:showLegendKey val="false"/>
            <c:showVal val="true"/>
            <c:showCatName val="false"/>
            <c:showSerName val="false"/>
            <c:showPercent val="false"/>
            <c:showBubbleSize val="false"/>
            <c:showLeaderLines val="true"/>
            <c:extLst>
              <c:ext xmlns:c15="http://schemas.microsoft.com/office/drawing/2012/chart" uri="{CE6537A1-D6FC-4f65-9D91-7224C49458BB}">
                <c15:layout/>
                <c15:showLeaderLines val="true"/>
                <c15:leaderLines/>
              </c:ext>
            </c:extLst>
          </c:dLbls>
          <c:cat>
            <c:strRef>
              <c:f>Sheet1!$A$2:$A$3</c:f>
              <c:strCache>
                <c:ptCount val="2"/>
                <c:pt idx="0">
                  <c:v>公务用车购置及运行维护费支出</c:v>
                </c:pt>
                <c:pt idx="1">
                  <c:v>公务接待费支出</c:v>
                </c:pt>
              </c:strCache>
            </c:strRef>
          </c:cat>
          <c:val>
            <c:numRef>
              <c:f>Sheet1!$B$2:$B$3</c:f>
              <c:numCache>
                <c:formatCode>General</c:formatCode>
                <c:ptCount val="2"/>
                <c:pt idx="0">
                  <c:v>11.17</c:v>
                </c:pt>
                <c:pt idx="1">
                  <c:v>0.05</c:v>
                </c:pt>
              </c:numCache>
            </c:numRef>
          </c:val>
        </c:ser>
        <c:dLbls>
          <c:showLegendKey val="false"/>
          <c:showVal val="true"/>
          <c:showCatName val="false"/>
          <c:showSerName val="false"/>
          <c:showPercent val="false"/>
          <c:showBubbleSize val="false"/>
          <c:showLeaderLines val="true"/>
        </c:dLbls>
        <c:firstSliceAng val="0"/>
      </c:pieChart>
      <c:spPr>
        <a:noFill/>
        <a:ln>
          <a:noFill/>
        </a:ln>
        <a:effectLst/>
      </c:spPr>
    </c:plotArea>
    <c:legend>
      <c:legendPos val="r"/>
      <c:layout/>
      <c:overlay val="false"/>
      <c:txPr>
        <a:bodyPr rot="0" spcFirstLastPara="0" vertOverflow="ellipsis" vert="horz" wrap="square" anchor="ctr" anchorCtr="true"/>
        <a:lstStyle/>
        <a:p>
          <a:pPr>
            <a:defRPr lang="zh-CN" sz="1000" b="0" i="0" u="none" strike="noStrike" kern="1200" baseline="0">
              <a:solidFill>
                <a:schemeClr val="tx1"/>
              </a:solidFill>
              <a:latin typeface="+mn-lt"/>
              <a:ea typeface="+mn-ea"/>
              <a:cs typeface="+mn-cs"/>
            </a:defRPr>
          </a:pPr>
        </a:p>
      </c:txPr>
    </c:legend>
    <c:plotVisOnly val="true"/>
    <c:dispBlanksAs val="gap"/>
    <c:showDLblsOverMax val="false"/>
  </c:chart>
  <c:txPr>
    <a:bodyPr/>
    <a:lstStyle/>
    <a:p>
      <a:pPr>
        <a:defRPr lang="zh-CN"/>
      </a:pPr>
    </a:p>
  </c:txPr>
  <c:externalData r:id="rId1">
    <c:autoUpdate val="false"/>
  </c:externalData>
</c:chartSpace>
</file>

<file path=word/charts/colors1.xml><?xml version="1.0" encoding="utf-8"?>
<cs:colorStyle xmlns:cs="http://schemas.microsoft.com/office/drawing/2012/chartStyle" xmlns:a="http://schemas.openxmlformats.org/drawingml/2006/main" meth="acrossLinear" id="2">
  <a:schemeClr val="accent1"/>
  <a:schemeClr val="accent2"/>
  <a:schemeClr val="accent3"/>
  <a:schemeClr val="accent4"/>
  <a:schemeClr val="accent5"/>
  <a:schemeClr val="accent6"/>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true">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0.27821</cdr:x>
      <cdr:y>0.01453</cdr:y>
    </cdr:from>
    <cdr:to>
      <cdr:x>0.68482</cdr:x>
      <cdr:y>0.08717</cdr:y>
    </cdr:to>
    <cdr:sp>
      <cdr:nvSpPr>
        <cdr:cNvPr id="2" name="矩形 1"/>
        <cdr:cNvSpPr/>
      </cdr:nvSpPr>
      <cdr:spPr xmlns:a="http://schemas.openxmlformats.org/drawingml/2006/main">
        <a:xfrm xmlns:a="http://schemas.openxmlformats.org/drawingml/2006/main">
          <a:off x="1485900" y="57150"/>
          <a:ext cx="2171700" cy="285750"/>
        </a:xfrm>
        <a:prstGeom xmlns:a="http://schemas.openxmlformats.org/drawingml/2006/main" prst="rect">
          <a:avLst/>
        </a:prstGeom>
      </cdr:spPr>
      <cdr:txBody xmlns:a="http://schemas.openxmlformats.org/drawingml/2006/main">
        <a:bodyPr vert="horz" wrap="square" lIns="45720" tIns="45720" rIns="45720" bIns="45720" rtlCol="0" anchor="t" anchorCtr="false">
          <a:normAutofit/>
        </a:bodyPr>
        <a:lstStyle/>
        <a:p>
          <a:endParaRPr lang="zh-CN" altLang="en-US" sz="1100"/>
        </a:p>
      </cdr:txBody>
    </cdr:sp>
  </cdr:relSizeAnchor>
  <cdr:relSizeAnchor xmlns:cdr="http://schemas.openxmlformats.org/drawingml/2006/chartDrawing">
    <cdr:from>
      <cdr:x>0.25681</cdr:x>
      <cdr:y>0</cdr:y>
    </cdr:from>
    <cdr:to>
      <cdr:x>0.70978</cdr:x>
      <cdr:y>0.07264</cdr:y>
    </cdr:to>
    <cdr:sp>
      <cdr:nvSpPr>
        <cdr:cNvPr id="3" name="矩形 2"/>
        <cdr:cNvSpPr/>
      </cdr:nvSpPr>
      <cdr:spPr xmlns:a="http://schemas.openxmlformats.org/drawingml/2006/main">
        <a:xfrm xmlns:a="http://schemas.openxmlformats.org/drawingml/2006/main">
          <a:off x="1340453" y="0"/>
          <a:ext cx="2364411" cy="249772"/>
        </a:xfrm>
        <a:prstGeom xmlns:a="http://schemas.openxmlformats.org/drawingml/2006/main" prst="rect">
          <a:avLst/>
        </a:prstGeom>
      </cdr:spPr>
      <cdr:txBody xmlns:a="http://schemas.openxmlformats.org/drawingml/2006/main">
        <a:bodyPr vert="horz" wrap="square" lIns="45720" tIns="45720" rIns="45720" bIns="45720" rtlCol="0" anchor="t" anchorCtr="false">
          <a:normAutofit/>
        </a:bodyPr>
        <a:lstStyle/>
        <a:p>
          <a:r>
            <a:rPr lang="zh-CN" altLang="en-US" sz="1800"/>
            <a:t>财政拨款收入对比表表</a:t>
          </a:r>
          <a:endParaRPr lang="zh-CN" altLang="en-US" sz="1800"/>
        </a:p>
      </cdr:txBody>
    </cdr:sp>
  </cdr:relSizeAnchor>
</c:userShapes>
</file>

<file path=word/drawings/drawing2.xml><?xml version="1.0" encoding="utf-8"?>
<c:userShapes xmlns:c="http://schemas.openxmlformats.org/drawingml/2006/chart">
  <cdr:relSizeAnchor xmlns:cdr="http://schemas.openxmlformats.org/drawingml/2006/chartDrawing">
    <cdr:from>
      <cdr:x>0.30915</cdr:x>
      <cdr:y>0.02231</cdr:y>
    </cdr:from>
    <cdr:to>
      <cdr:x>0.72712</cdr:x>
      <cdr:y>0.08316</cdr:y>
    </cdr:to>
    <cdr:sp>
      <cdr:nvSpPr>
        <cdr:cNvPr id="2" name="矩形 1"/>
        <cdr:cNvSpPr/>
      </cdr:nvSpPr>
      <cdr:spPr xmlns:a="http://schemas.openxmlformats.org/drawingml/2006/main">
        <a:xfrm xmlns:a="http://schemas.openxmlformats.org/drawingml/2006/main">
          <a:off x="1704975" y="104775"/>
          <a:ext cx="2305050" cy="285750"/>
        </a:xfrm>
        <a:prstGeom xmlns:a="http://schemas.openxmlformats.org/drawingml/2006/main" prst="rect">
          <a:avLst/>
        </a:prstGeom>
      </cdr:spPr>
      <cdr:txBody xmlns:a="http://schemas.openxmlformats.org/drawingml/2006/main">
        <a:bodyPr vert="horz" wrap="square" lIns="45720" tIns="45720" rIns="45720" bIns="45720" rtlCol="0" anchor="t" anchorCtr="false">
          <a:normAutofit/>
        </a:bodyPr>
        <a:lstStyle/>
        <a:p>
          <a:endParaRPr lang="zh-CN" altLang="en-US" sz="1100"/>
        </a:p>
      </cdr:txBody>
    </cdr:sp>
  </cdr:relSizeAnchor>
  <cdr:relSizeAnchor xmlns:cdr="http://schemas.openxmlformats.org/drawingml/2006/chartDrawing">
    <cdr:from>
      <cdr:x>0.29879</cdr:x>
      <cdr:y>0.02231</cdr:y>
    </cdr:from>
    <cdr:to>
      <cdr:x>0.70984</cdr:x>
      <cdr:y>0.08114</cdr:y>
    </cdr:to>
    <cdr:sp>
      <cdr:nvSpPr>
        <cdr:cNvPr id="3" name="矩形 2"/>
        <cdr:cNvSpPr/>
      </cdr:nvSpPr>
      <cdr:spPr xmlns:a="http://schemas.openxmlformats.org/drawingml/2006/main">
        <a:xfrm xmlns:a="http://schemas.openxmlformats.org/drawingml/2006/main">
          <a:off x="1647825" y="104775"/>
          <a:ext cx="2266950" cy="276225"/>
        </a:xfrm>
        <a:prstGeom xmlns:a="http://schemas.openxmlformats.org/drawingml/2006/main" prst="rect">
          <a:avLst/>
        </a:prstGeom>
      </cdr:spPr>
      <cdr:txBody xmlns:a="http://schemas.openxmlformats.org/drawingml/2006/main">
        <a:bodyPr vert="horz" wrap="square" lIns="45720" tIns="45720" rIns="45720" bIns="45720" rtlCol="0" anchor="t" anchorCtr="false">
          <a:normAutofit/>
        </a:bodyPr>
        <a:lstStyle/>
        <a:p>
          <a:endParaRPr lang="zh-CN" altLang="en-US" sz="1100"/>
        </a:p>
      </cdr:txBody>
    </cdr:sp>
  </cdr:relSizeAnchor>
  <cdr:relSizeAnchor xmlns:cdr="http://schemas.openxmlformats.org/drawingml/2006/chartDrawing">
    <cdr:from>
      <cdr:x>0.36442</cdr:x>
      <cdr:y>0.01623</cdr:y>
    </cdr:from>
    <cdr:to>
      <cdr:x>0.68566</cdr:x>
      <cdr:y>0.07505</cdr:y>
    </cdr:to>
    <cdr:sp>
      <cdr:nvSpPr>
        <cdr:cNvPr id="4" name="矩形 3"/>
        <cdr:cNvSpPr/>
      </cdr:nvSpPr>
      <cdr:spPr xmlns:a="http://schemas.openxmlformats.org/drawingml/2006/main">
        <a:xfrm xmlns:a="http://schemas.openxmlformats.org/drawingml/2006/main">
          <a:off x="2009775" y="76201"/>
          <a:ext cx="1771650" cy="276224"/>
        </a:xfrm>
        <a:prstGeom xmlns:a="http://schemas.openxmlformats.org/drawingml/2006/main" prst="rect">
          <a:avLst/>
        </a:prstGeom>
      </cdr:spPr>
      <cdr:txBody xmlns:a="http://schemas.openxmlformats.org/drawingml/2006/main">
        <a:bodyPr vert="horz" wrap="square" lIns="45720" tIns="45720" rIns="45720" bIns="45720" rtlCol="0" anchor="t" anchorCtr="false">
          <a:normAutofit/>
        </a:bodyPr>
        <a:lstStyle/>
        <a:p>
          <a:r>
            <a:rPr lang="zh-CN" altLang="en-US" sz="1800" b="0"/>
            <a:t>收入支出对比</a:t>
          </a:r>
          <a:endParaRPr lang="zh-CN" altLang="en-US" sz="1800" b="0"/>
        </a:p>
      </cdr:txBody>
    </cdr:sp>
  </cdr:relSizeAnchor>
</c:userShapes>
</file>

<file path=word/drawings/drawing3.xml><?xml version="1.0" encoding="utf-8"?>
<c:userShapes xmlns:c="http://schemas.openxmlformats.org/drawingml/2006/chart">
  <cdr:relSizeAnchor xmlns:cdr="http://schemas.openxmlformats.org/drawingml/2006/chartDrawing">
    <cdr:from>
      <cdr:x>0.24343</cdr:x>
      <cdr:y>0.02778</cdr:y>
    </cdr:from>
    <cdr:to>
      <cdr:x>0.7986</cdr:x>
      <cdr:y>0.12626</cdr:y>
    </cdr:to>
    <cdr:sp>
      <cdr:nvSpPr>
        <cdr:cNvPr id="2" name="矩形 1"/>
        <cdr:cNvSpPr/>
      </cdr:nvSpPr>
      <cdr:spPr xmlns:a="http://schemas.openxmlformats.org/drawingml/2006/main">
        <a:xfrm xmlns:a="http://schemas.openxmlformats.org/drawingml/2006/main">
          <a:off x="1323975" y="104776"/>
          <a:ext cx="3019425" cy="371474"/>
        </a:xfrm>
        <a:prstGeom xmlns:a="http://schemas.openxmlformats.org/drawingml/2006/main" prst="rect">
          <a:avLst/>
        </a:prstGeom>
      </cdr:spPr>
      <cdr:txBody xmlns:a="http://schemas.openxmlformats.org/drawingml/2006/main">
        <a:bodyPr vert="horz" wrap="square" lIns="45720" tIns="45720" rIns="45720" bIns="45720" rtlCol="0" anchor="t" anchorCtr="false">
          <a:normAutofit/>
        </a:bodyPr>
        <a:lstStyle/>
        <a:p>
          <a:r>
            <a:rPr lang="zh-CN" altLang="en-US" sz="1800"/>
            <a:t>一般公共预算财政拨款支出</a:t>
          </a:r>
          <a:endParaRPr lang="zh-CN" altLang="en-US" sz="1800"/>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四川省财政厅</Company>
  <Pages>19</Pages>
  <Words>1010</Words>
  <Characters>5761</Characters>
  <Lines>48</Lines>
  <Paragraphs>13</Paragraphs>
  <TotalTime>17</TotalTime>
  <ScaleCrop>false</ScaleCrop>
  <LinksUpToDate>false</LinksUpToDate>
  <CharactersWithSpaces>6758</CharactersWithSpaces>
  <Application>WPS Office_11.8.2.10125_F1E327BC-269C-435d-A152-05C5408002CA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2026-09-14T09:31:00Z</dcterms:created>
  <dc:creator>曹颖</dc:creator>
  <cp:lastModifiedBy>李颉妍</cp:lastModifiedBy>
  <cp:lastPrinted>2025-08-08T09:34:00Z</cp:lastPrinted>
  <dcterms:modified xsi:type="dcterms:W3CDTF">2026-09-17T11:57:34Z</dcterms:modified>
  <dc:title>四川省***</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2052-11.8.2.10125</vt:lpwstr>
  </property>
  <property fmtid="{D5CDD505-2E9C-101B-9397-08002B2CF9AE}" pid="3" name="ICV">
    <vt:lpwstr>008EA898182D4DFEAF71CB866AEC518A_13</vt:lpwstr>
  </property>
</Properties>
</file>