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宋体" w:eastAsia="方正小标宋简体"/>
          <w:sz w:val="72"/>
          <w:szCs w:val="72"/>
        </w:rPr>
      </w:pPr>
      <w:bookmarkStart w:id="0" w:name="_Toc15378441"/>
      <w:bookmarkStart w:id="1" w:name="_Toc15396475"/>
      <w:bookmarkStart w:id="2" w:name="_Toc15306267"/>
      <w:bookmarkStart w:id="3" w:name="_Toc15377193"/>
      <w:bookmarkStart w:id="4" w:name="_Toc15377425"/>
      <w:bookmarkStart w:id="5" w:name="_Toc15396597"/>
    </w:p>
    <w:p>
      <w:pPr>
        <w:spacing w:line="600" w:lineRule="exact"/>
        <w:jc w:val="center"/>
        <w:rPr>
          <w:rFonts w:ascii="方正小标宋简体" w:hAnsi="宋体" w:eastAsia="方正小标宋简体"/>
          <w:sz w:val="72"/>
          <w:szCs w:val="72"/>
        </w:rPr>
      </w:pPr>
    </w:p>
    <w:bookmarkEnd w:id="0"/>
    <w:bookmarkEnd w:id="1"/>
    <w:bookmarkEnd w:id="2"/>
    <w:bookmarkEnd w:id="3"/>
    <w:bookmarkEnd w:id="4"/>
    <w:bookmarkEnd w:id="5"/>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26886"/>
      <w:bookmarkStart w:id="7" w:name="_Toc15075"/>
      <w:r>
        <w:rPr>
          <w:rFonts w:hint="eastAsia" w:ascii="方正小标宋简体" w:hAnsi="方正小标宋简体" w:eastAsia="方正小标宋简体" w:cs="方正小标宋简体"/>
          <w:sz w:val="72"/>
          <w:szCs w:val="72"/>
        </w:rPr>
        <w:t>2025年度</w:t>
      </w:r>
      <w:bookmarkEnd w:id="6"/>
      <w:bookmarkEnd w:id="7"/>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8" w:name="_Toc15396476"/>
      <w:bookmarkStart w:id="9" w:name="_Toc15377426"/>
      <w:bookmarkStart w:id="10" w:name="_Toc15306268"/>
      <w:bookmarkStart w:id="11" w:name="_Toc15378442"/>
      <w:bookmarkStart w:id="12" w:name="_Toc15396598"/>
      <w:bookmarkStart w:id="13" w:name="_Toc23491"/>
      <w:bookmarkStart w:id="14" w:name="_Toc18013"/>
      <w:bookmarkStart w:id="15" w:name="_Toc15377194"/>
      <w:r>
        <w:rPr>
          <w:rFonts w:hint="eastAsia" w:ascii="方正小标宋简体" w:hAnsi="方正小标宋简体" w:eastAsia="方正小标宋简体" w:cs="方正小标宋简体"/>
          <w:sz w:val="72"/>
          <w:szCs w:val="72"/>
        </w:rPr>
        <w:t>攀枝花市交通运输局部门决算</w:t>
      </w:r>
      <w:bookmarkEnd w:id="8"/>
      <w:bookmarkEnd w:id="9"/>
      <w:bookmarkEnd w:id="10"/>
      <w:bookmarkEnd w:id="11"/>
      <w:bookmarkEnd w:id="12"/>
      <w:bookmarkEnd w:id="13"/>
      <w:bookmarkEnd w:id="14"/>
      <w:bookmarkEnd w:id="15"/>
    </w:p>
    <w:p>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pPr>
        <w:widowControl/>
        <w:jc w:val="center"/>
        <w:rPr>
          <w:rFonts w:ascii="黑体" w:hAnsi="黑体" w:eastAsia="黑体" w:cstheme="minorBidi"/>
          <w:sz w:val="28"/>
          <w:szCs w:val="28"/>
        </w:rPr>
      </w:pPr>
    </w:p>
    <w:p>
      <w:pPr>
        <w:pStyle w:val="15"/>
      </w:pPr>
      <w:r>
        <w:rPr>
          <w:rFonts w:hint="eastAsia"/>
        </w:rPr>
        <w:t>公开时间：2026年9月15日</w:t>
      </w:r>
    </w:p>
    <w:p/>
    <w:sdt>
      <w:sdtPr>
        <w:rPr>
          <w:rFonts w:ascii="宋体" w:hAnsi="宋体"/>
        </w:rPr>
        <w:id w:val="147460846"/>
        <w15:color w:val="DBDBDB"/>
        <w:docPartObj>
          <w:docPartGallery w:val="Table of Contents"/>
          <w:docPartUnique/>
        </w:docPartObj>
      </w:sdtPr>
      <w:sdtEndPr>
        <w:rPr>
          <w:rFonts w:ascii="宋体" w:hAnsi="宋体"/>
          <w:b/>
        </w:rPr>
      </w:sdtEndPr>
      <w:sdtContent>
        <w:p>
          <w:pPr>
            <w:jc w:val="center"/>
            <w:rPr>
              <w:b/>
            </w:rPr>
          </w:pPr>
          <w:r>
            <w:fldChar w:fldCharType="begin"/>
          </w:r>
          <w:r>
            <w:instrText xml:space="preserve">TOC \o "1-2" \h \u </w:instrText>
          </w:r>
          <w:r>
            <w:fldChar w:fldCharType="separate"/>
          </w:r>
        </w:p>
        <w:p>
          <w:pPr>
            <w:pStyle w:val="59"/>
            <w:tabs>
              <w:tab w:val="right" w:leader="dot" w:pos="8306"/>
            </w:tabs>
            <w:rPr>
              <w:b/>
            </w:rPr>
          </w:pPr>
          <w:r>
            <w:fldChar w:fldCharType="begin"/>
          </w:r>
          <w:r>
            <w:instrText xml:space="preserve"> HYPERLINK \l "_Toc15017" </w:instrText>
          </w:r>
          <w:r>
            <w:fldChar w:fldCharType="separate"/>
          </w:r>
          <w:r>
            <w:rPr>
              <w:rFonts w:hint="eastAsia" w:ascii="黑体" w:hAnsi="黑体" w:eastAsia="黑体"/>
              <w:b/>
            </w:rPr>
            <w:t>第一部分 部门概况</w:t>
          </w:r>
          <w:r>
            <w:rPr>
              <w:b/>
            </w:rPr>
            <w:tab/>
          </w:r>
          <w:r>
            <w:rPr>
              <w:b/>
            </w:rPr>
            <w:fldChar w:fldCharType="begin"/>
          </w:r>
          <w:r>
            <w:rPr>
              <w:b/>
            </w:rPr>
            <w:instrText xml:space="preserve"> PAGEREF _Toc15017 \h </w:instrText>
          </w:r>
          <w:r>
            <w:rPr>
              <w:b/>
            </w:rPr>
            <w:fldChar w:fldCharType="separate"/>
          </w:r>
          <w:r>
            <w:rPr>
              <w:b/>
            </w:rPr>
            <w:t>3</w:t>
          </w:r>
          <w:r>
            <w:rPr>
              <w:b/>
            </w:rPr>
            <w:fldChar w:fldCharType="end"/>
          </w:r>
          <w:r>
            <w:rPr>
              <w:b/>
            </w:rPr>
            <w:fldChar w:fldCharType="end"/>
          </w:r>
        </w:p>
        <w:p>
          <w:pPr>
            <w:pStyle w:val="60"/>
            <w:tabs>
              <w:tab w:val="right" w:leader="dot" w:pos="8306"/>
            </w:tabs>
            <w:ind w:left="420"/>
          </w:pPr>
          <w:r>
            <w:fldChar w:fldCharType="begin"/>
          </w:r>
          <w:r>
            <w:instrText xml:space="preserve"> HYPERLINK \l "_Toc29832" </w:instrText>
          </w:r>
          <w:r>
            <w:fldChar w:fldCharType="separate"/>
          </w:r>
          <w:r>
            <w:rPr>
              <w:rFonts w:ascii="黑体" w:hAnsi="黑体" w:eastAsia="黑体"/>
            </w:rPr>
            <w:t xml:space="preserve">一、 </w:t>
          </w:r>
          <w:r>
            <w:rPr>
              <w:rFonts w:hint="eastAsia" w:ascii="黑体" w:hAnsi="黑体" w:eastAsia="黑体"/>
            </w:rPr>
            <w:t>部门职责</w:t>
          </w:r>
          <w:r>
            <w:tab/>
          </w:r>
          <w:r>
            <w:fldChar w:fldCharType="begin"/>
          </w:r>
          <w:r>
            <w:instrText xml:space="preserve"> PAGEREF _Toc29832 \h </w:instrText>
          </w:r>
          <w:r>
            <w:fldChar w:fldCharType="separate"/>
          </w:r>
          <w:r>
            <w:t>3</w:t>
          </w:r>
          <w:r>
            <w:fldChar w:fldCharType="end"/>
          </w:r>
          <w:r>
            <w:fldChar w:fldCharType="end"/>
          </w:r>
        </w:p>
        <w:p>
          <w:pPr>
            <w:pStyle w:val="60"/>
            <w:tabs>
              <w:tab w:val="right" w:leader="dot" w:pos="8306"/>
            </w:tabs>
            <w:ind w:left="420"/>
          </w:pPr>
          <w:r>
            <w:fldChar w:fldCharType="begin"/>
          </w:r>
          <w:r>
            <w:instrText xml:space="preserve"> HYPERLINK \l "_Toc12758" </w:instrText>
          </w:r>
          <w:r>
            <w:fldChar w:fldCharType="separate"/>
          </w:r>
          <w:r>
            <w:rPr>
              <w:rFonts w:hint="eastAsia" w:ascii="黑体" w:eastAsia="黑体"/>
            </w:rPr>
            <w:t>二、</w:t>
          </w:r>
          <w:r>
            <w:rPr>
              <w:rFonts w:hint="eastAsia" w:ascii="黑体" w:hAnsi="黑体" w:eastAsia="黑体"/>
            </w:rPr>
            <w:t>机构设置</w:t>
          </w:r>
          <w:r>
            <w:tab/>
          </w:r>
          <w:r>
            <w:fldChar w:fldCharType="begin"/>
          </w:r>
          <w:r>
            <w:instrText xml:space="preserve"> PAGEREF _Toc12758 \h </w:instrText>
          </w:r>
          <w:r>
            <w:fldChar w:fldCharType="separate"/>
          </w:r>
          <w:r>
            <w:t>5</w:t>
          </w:r>
          <w:r>
            <w:fldChar w:fldCharType="end"/>
          </w:r>
          <w:r>
            <w:fldChar w:fldCharType="end"/>
          </w:r>
        </w:p>
        <w:p>
          <w:pPr>
            <w:pStyle w:val="59"/>
            <w:tabs>
              <w:tab w:val="right" w:leader="dot" w:pos="8306"/>
            </w:tabs>
            <w:rPr>
              <w:b/>
            </w:rPr>
          </w:pPr>
          <w:r>
            <w:fldChar w:fldCharType="begin"/>
          </w:r>
          <w:r>
            <w:instrText xml:space="preserve"> HYPERLINK \l "_Toc27550" </w:instrText>
          </w:r>
          <w:r>
            <w:fldChar w:fldCharType="separate"/>
          </w:r>
          <w:r>
            <w:rPr>
              <w:rFonts w:hint="eastAsia" w:ascii="黑体" w:hAnsi="黑体" w:eastAsia="黑体"/>
              <w:b/>
            </w:rPr>
            <w:t>第二部分 2025年度</w:t>
          </w:r>
          <w:r>
            <w:rPr>
              <w:rFonts w:hint="eastAsia" w:ascii="黑体" w:hAnsi="黑体" w:eastAsia="黑体"/>
              <w:b/>
              <w:bCs/>
            </w:rPr>
            <w:t>部门决算情况说明</w:t>
          </w:r>
          <w:r>
            <w:rPr>
              <w:b/>
            </w:rPr>
            <w:tab/>
          </w:r>
          <w:r>
            <w:rPr>
              <w:b/>
            </w:rPr>
            <w:fldChar w:fldCharType="begin"/>
          </w:r>
          <w:r>
            <w:rPr>
              <w:b/>
            </w:rPr>
            <w:instrText xml:space="preserve"> PAGEREF _Toc27550 \h </w:instrText>
          </w:r>
          <w:r>
            <w:rPr>
              <w:b/>
            </w:rPr>
            <w:fldChar w:fldCharType="separate"/>
          </w:r>
          <w:r>
            <w:rPr>
              <w:b/>
            </w:rPr>
            <w:t>6</w:t>
          </w:r>
          <w:r>
            <w:rPr>
              <w:b/>
            </w:rPr>
            <w:fldChar w:fldCharType="end"/>
          </w:r>
          <w:r>
            <w:rPr>
              <w:b/>
            </w:rPr>
            <w:fldChar w:fldCharType="end"/>
          </w:r>
        </w:p>
        <w:p>
          <w:pPr>
            <w:pStyle w:val="60"/>
            <w:tabs>
              <w:tab w:val="right" w:leader="dot" w:pos="8306"/>
            </w:tabs>
            <w:ind w:left="420"/>
          </w:pPr>
          <w:r>
            <w:fldChar w:fldCharType="begin"/>
          </w:r>
          <w:r>
            <w:instrText xml:space="preserve"> HYPERLINK \l "_Toc4574" </w:instrText>
          </w:r>
          <w:r>
            <w:fldChar w:fldCharType="separate"/>
          </w:r>
          <w:r>
            <w:rPr>
              <w:rFonts w:ascii="黑体" w:hAnsi="黑体" w:eastAsia="黑体"/>
            </w:rPr>
            <w:t xml:space="preserve">一、 </w:t>
          </w:r>
          <w:r>
            <w:rPr>
              <w:rFonts w:hint="eastAsia" w:ascii="黑体" w:hAnsi="黑体" w:eastAsia="黑体"/>
              <w:szCs w:val="32"/>
            </w:rPr>
            <w:t>收</w:t>
          </w:r>
          <w:r>
            <w:rPr>
              <w:rFonts w:hint="eastAsia" w:ascii="黑体" w:hAnsi="黑体" w:eastAsia="黑体"/>
            </w:rPr>
            <w:t>入支出决算总体情况说明</w:t>
          </w:r>
          <w:r>
            <w:tab/>
          </w:r>
          <w:r>
            <w:fldChar w:fldCharType="begin"/>
          </w:r>
          <w:r>
            <w:instrText xml:space="preserve"> PAGEREF _Toc4574 \h </w:instrText>
          </w:r>
          <w:r>
            <w:fldChar w:fldCharType="separate"/>
          </w:r>
          <w:r>
            <w:t>6</w:t>
          </w:r>
          <w:r>
            <w:fldChar w:fldCharType="end"/>
          </w:r>
          <w:r>
            <w:fldChar w:fldCharType="end"/>
          </w:r>
        </w:p>
        <w:p>
          <w:pPr>
            <w:pStyle w:val="60"/>
            <w:tabs>
              <w:tab w:val="right" w:leader="dot" w:pos="8306"/>
            </w:tabs>
            <w:ind w:left="420"/>
          </w:pPr>
          <w:r>
            <w:fldChar w:fldCharType="begin"/>
          </w:r>
          <w:r>
            <w:instrText xml:space="preserve"> HYPERLINK \l "_Toc27204" </w:instrText>
          </w:r>
          <w:r>
            <w:fldChar w:fldCharType="separate"/>
          </w:r>
          <w:r>
            <w:rPr>
              <w:rFonts w:ascii="黑体" w:hAnsi="黑体" w:eastAsia="黑体"/>
            </w:rPr>
            <w:t xml:space="preserve">二、 </w:t>
          </w:r>
          <w:r>
            <w:rPr>
              <w:rFonts w:hint="eastAsia" w:ascii="黑体" w:hAnsi="黑体" w:eastAsia="黑体"/>
              <w:szCs w:val="32"/>
            </w:rPr>
            <w:t>收</w:t>
          </w:r>
          <w:r>
            <w:rPr>
              <w:rFonts w:hint="eastAsia" w:ascii="黑体" w:hAnsi="黑体" w:eastAsia="黑体"/>
            </w:rPr>
            <w:t>入决算情况说明</w:t>
          </w:r>
          <w:r>
            <w:tab/>
          </w:r>
          <w:r>
            <w:fldChar w:fldCharType="begin"/>
          </w:r>
          <w:r>
            <w:instrText xml:space="preserve"> PAGEREF _Toc27204 \h </w:instrText>
          </w:r>
          <w:r>
            <w:fldChar w:fldCharType="separate"/>
          </w:r>
          <w:r>
            <w:t>6</w:t>
          </w:r>
          <w:r>
            <w:fldChar w:fldCharType="end"/>
          </w:r>
          <w:r>
            <w:fldChar w:fldCharType="end"/>
          </w:r>
        </w:p>
        <w:p>
          <w:pPr>
            <w:pStyle w:val="60"/>
            <w:tabs>
              <w:tab w:val="right" w:leader="dot" w:pos="8306"/>
            </w:tabs>
            <w:ind w:left="420"/>
          </w:pPr>
          <w:r>
            <w:fldChar w:fldCharType="begin"/>
          </w:r>
          <w:r>
            <w:instrText xml:space="preserve"> HYPERLINK \l "_Toc12892" </w:instrText>
          </w:r>
          <w:r>
            <w:fldChar w:fldCharType="separate"/>
          </w:r>
          <w:r>
            <w:rPr>
              <w:rFonts w:ascii="黑体" w:hAnsi="黑体" w:eastAsia="黑体"/>
            </w:rPr>
            <w:t xml:space="preserve">三、 </w:t>
          </w:r>
          <w:r>
            <w:rPr>
              <w:rFonts w:hint="eastAsia" w:ascii="黑体" w:hAnsi="黑体" w:eastAsia="黑体"/>
              <w:szCs w:val="32"/>
            </w:rPr>
            <w:t>支</w:t>
          </w:r>
          <w:r>
            <w:rPr>
              <w:rFonts w:hint="eastAsia" w:ascii="黑体" w:hAnsi="黑体" w:eastAsia="黑体"/>
            </w:rPr>
            <w:t>出决算情况说明</w:t>
          </w:r>
          <w:r>
            <w:tab/>
          </w:r>
          <w:r>
            <w:fldChar w:fldCharType="begin"/>
          </w:r>
          <w:r>
            <w:instrText xml:space="preserve"> PAGEREF _Toc12892 \h </w:instrText>
          </w:r>
          <w:r>
            <w:fldChar w:fldCharType="separate"/>
          </w:r>
          <w:r>
            <w:t>7</w:t>
          </w:r>
          <w:r>
            <w:fldChar w:fldCharType="end"/>
          </w:r>
          <w:r>
            <w:fldChar w:fldCharType="end"/>
          </w:r>
        </w:p>
        <w:p>
          <w:pPr>
            <w:pStyle w:val="60"/>
            <w:tabs>
              <w:tab w:val="right" w:leader="dot" w:pos="8306"/>
            </w:tabs>
            <w:ind w:left="420"/>
          </w:pPr>
          <w:r>
            <w:fldChar w:fldCharType="begin"/>
          </w:r>
          <w:r>
            <w:instrText xml:space="preserve"> HYPERLINK \l "_Toc13351" </w:instrText>
          </w:r>
          <w:r>
            <w:fldChar w:fldCharType="separate"/>
          </w:r>
          <w:r>
            <w:rPr>
              <w:rFonts w:hint="eastAsia" w:ascii="黑体" w:hAnsi="黑体" w:eastAsia="黑体"/>
              <w:szCs w:val="32"/>
            </w:rPr>
            <w:t>四、财</w:t>
          </w:r>
          <w:r>
            <w:rPr>
              <w:rFonts w:hint="eastAsia" w:ascii="黑体" w:hAnsi="黑体" w:eastAsia="黑体"/>
            </w:rPr>
            <w:t>政拨款收入支出决算总体情况说明</w:t>
          </w:r>
          <w:r>
            <w:tab/>
          </w:r>
          <w:r>
            <w:fldChar w:fldCharType="begin"/>
          </w:r>
          <w:r>
            <w:instrText xml:space="preserve"> PAGEREF _Toc13351 \h </w:instrText>
          </w:r>
          <w:r>
            <w:fldChar w:fldCharType="separate"/>
          </w:r>
          <w:r>
            <w:t>7</w:t>
          </w:r>
          <w:r>
            <w:fldChar w:fldCharType="end"/>
          </w:r>
          <w:r>
            <w:fldChar w:fldCharType="end"/>
          </w:r>
        </w:p>
        <w:p>
          <w:pPr>
            <w:pStyle w:val="60"/>
            <w:tabs>
              <w:tab w:val="right" w:leader="dot" w:pos="8306"/>
            </w:tabs>
            <w:ind w:left="420"/>
          </w:pPr>
          <w:r>
            <w:fldChar w:fldCharType="begin"/>
          </w:r>
          <w:r>
            <w:instrText xml:space="preserve"> HYPERLINK \l "_Toc6453" </w:instrText>
          </w:r>
          <w:r>
            <w:fldChar w:fldCharType="separate"/>
          </w:r>
          <w:r>
            <w:rPr>
              <w:rFonts w:hint="eastAsia" w:ascii="黑体" w:hAnsi="黑体" w:eastAsia="黑体"/>
              <w:szCs w:val="32"/>
            </w:rPr>
            <w:t>五、一</w:t>
          </w:r>
          <w:r>
            <w:rPr>
              <w:rFonts w:hint="eastAsia" w:ascii="黑体" w:hAnsi="黑体" w:eastAsia="黑体"/>
            </w:rPr>
            <w:t>般公共预算财政拨款支出决算情况说明</w:t>
          </w:r>
          <w:r>
            <w:tab/>
          </w:r>
          <w:r>
            <w:fldChar w:fldCharType="begin"/>
          </w:r>
          <w:r>
            <w:instrText xml:space="preserve"> PAGEREF _Toc6453 \h </w:instrText>
          </w:r>
          <w:r>
            <w:fldChar w:fldCharType="separate"/>
          </w:r>
          <w:r>
            <w:t>8</w:t>
          </w:r>
          <w:r>
            <w:fldChar w:fldCharType="end"/>
          </w:r>
          <w:r>
            <w:fldChar w:fldCharType="end"/>
          </w:r>
        </w:p>
        <w:p>
          <w:pPr>
            <w:pStyle w:val="60"/>
            <w:tabs>
              <w:tab w:val="right" w:leader="dot" w:pos="8306"/>
            </w:tabs>
            <w:ind w:left="420"/>
          </w:pPr>
          <w:r>
            <w:fldChar w:fldCharType="begin"/>
          </w:r>
          <w:r>
            <w:instrText xml:space="preserve"> HYPERLINK \l "_Toc6989" </w:instrText>
          </w:r>
          <w:r>
            <w:fldChar w:fldCharType="separate"/>
          </w:r>
          <w:r>
            <w:rPr>
              <w:rFonts w:hint="eastAsia" w:ascii="黑体" w:eastAsia="黑体"/>
              <w:szCs w:val="32"/>
            </w:rPr>
            <w:t>六、</w:t>
          </w:r>
          <w:r>
            <w:rPr>
              <w:rFonts w:hint="eastAsia" w:ascii="黑体" w:hAnsi="黑体" w:eastAsia="黑体"/>
              <w:szCs w:val="32"/>
            </w:rPr>
            <w:t>一</w:t>
          </w:r>
          <w:r>
            <w:rPr>
              <w:rFonts w:hint="eastAsia" w:ascii="黑体" w:hAnsi="黑体" w:eastAsia="黑体"/>
            </w:rPr>
            <w:t>般公共预算财政拨款基本支出决算情况说明</w:t>
          </w:r>
          <w:r>
            <w:tab/>
          </w:r>
          <w:r>
            <w:fldChar w:fldCharType="begin"/>
          </w:r>
          <w:r>
            <w:instrText xml:space="preserve"> PAGEREF _Toc6989 \h </w:instrText>
          </w:r>
          <w:r>
            <w:fldChar w:fldCharType="separate"/>
          </w:r>
          <w:r>
            <w:t>13</w:t>
          </w:r>
          <w:r>
            <w:fldChar w:fldCharType="end"/>
          </w:r>
          <w:r>
            <w:fldChar w:fldCharType="end"/>
          </w:r>
        </w:p>
        <w:p>
          <w:pPr>
            <w:pStyle w:val="60"/>
            <w:tabs>
              <w:tab w:val="right" w:leader="dot" w:pos="8306"/>
            </w:tabs>
            <w:ind w:left="420"/>
          </w:pPr>
          <w:r>
            <w:fldChar w:fldCharType="begin"/>
          </w:r>
          <w:r>
            <w:instrText xml:space="preserve"> HYPERLINK \l "_Toc18413" </w:instrText>
          </w:r>
          <w:r>
            <w:fldChar w:fldCharType="separate"/>
          </w:r>
          <w:r>
            <w:rPr>
              <w:rFonts w:hint="eastAsia" w:ascii="黑体" w:eastAsia="黑体"/>
              <w:szCs w:val="32"/>
            </w:rPr>
            <w:t>七、</w:t>
          </w:r>
          <w:r>
            <w:rPr>
              <w:rFonts w:hint="eastAsia" w:ascii="黑体" w:hAnsi="黑体" w:eastAsia="黑体"/>
            </w:rPr>
            <w:t>财政拨款“三公”经费支出决算情况说明</w:t>
          </w:r>
          <w:r>
            <w:tab/>
          </w:r>
          <w:r>
            <w:fldChar w:fldCharType="begin"/>
          </w:r>
          <w:r>
            <w:instrText xml:space="preserve"> PAGEREF _Toc18413 \h </w:instrText>
          </w:r>
          <w:r>
            <w:fldChar w:fldCharType="separate"/>
          </w:r>
          <w:r>
            <w:t>14</w:t>
          </w:r>
          <w:r>
            <w:fldChar w:fldCharType="end"/>
          </w:r>
          <w:r>
            <w:fldChar w:fldCharType="end"/>
          </w:r>
        </w:p>
        <w:p>
          <w:pPr>
            <w:pStyle w:val="60"/>
            <w:tabs>
              <w:tab w:val="right" w:leader="dot" w:pos="8306"/>
            </w:tabs>
            <w:ind w:left="420"/>
          </w:pPr>
          <w:r>
            <w:fldChar w:fldCharType="begin"/>
          </w:r>
          <w:r>
            <w:instrText xml:space="preserve"> HYPERLINK \l "_Toc5439" </w:instrText>
          </w:r>
          <w:r>
            <w:fldChar w:fldCharType="separate"/>
          </w:r>
          <w:r>
            <w:rPr>
              <w:rFonts w:hint="eastAsia" w:ascii="黑体" w:eastAsia="黑体"/>
              <w:szCs w:val="32"/>
            </w:rPr>
            <w:t>八、</w:t>
          </w:r>
          <w:r>
            <w:rPr>
              <w:rFonts w:hint="eastAsia" w:ascii="黑体" w:hAnsi="黑体" w:eastAsia="黑体"/>
            </w:rPr>
            <w:t>政府性基金预算支出决算情况说明</w:t>
          </w:r>
          <w:r>
            <w:tab/>
          </w:r>
          <w:r>
            <w:fldChar w:fldCharType="begin"/>
          </w:r>
          <w:r>
            <w:instrText xml:space="preserve"> PAGEREF _Toc5439 \h </w:instrText>
          </w:r>
          <w:r>
            <w:fldChar w:fldCharType="separate"/>
          </w:r>
          <w:r>
            <w:t>16</w:t>
          </w:r>
          <w:r>
            <w:fldChar w:fldCharType="end"/>
          </w:r>
          <w:r>
            <w:fldChar w:fldCharType="end"/>
          </w:r>
        </w:p>
        <w:p>
          <w:pPr>
            <w:pStyle w:val="60"/>
            <w:tabs>
              <w:tab w:val="right" w:leader="dot" w:pos="8306"/>
            </w:tabs>
            <w:ind w:left="420"/>
          </w:pPr>
          <w:r>
            <w:fldChar w:fldCharType="begin"/>
          </w:r>
          <w:r>
            <w:instrText xml:space="preserve"> HYPERLINK \l "_Toc12260" </w:instrText>
          </w:r>
          <w:r>
            <w:fldChar w:fldCharType="separate"/>
          </w:r>
          <w:r>
            <w:rPr>
              <w:rFonts w:hint="eastAsia" w:ascii="黑体" w:hAnsi="黑体" w:eastAsia="黑体"/>
            </w:rPr>
            <w:t>九、 国有资本经营预算支出决算情况说明</w:t>
          </w:r>
          <w:r>
            <w:tab/>
          </w:r>
          <w:r>
            <w:fldChar w:fldCharType="begin"/>
          </w:r>
          <w:r>
            <w:instrText xml:space="preserve"> PAGEREF _Toc12260 \h </w:instrText>
          </w:r>
          <w:r>
            <w:fldChar w:fldCharType="separate"/>
          </w:r>
          <w:r>
            <w:t>16</w:t>
          </w:r>
          <w:r>
            <w:fldChar w:fldCharType="end"/>
          </w:r>
          <w:r>
            <w:fldChar w:fldCharType="end"/>
          </w:r>
        </w:p>
        <w:p>
          <w:pPr>
            <w:pStyle w:val="60"/>
            <w:tabs>
              <w:tab w:val="right" w:leader="dot" w:pos="8306"/>
            </w:tabs>
            <w:ind w:left="420"/>
          </w:pPr>
          <w:r>
            <w:fldChar w:fldCharType="begin"/>
          </w:r>
          <w:r>
            <w:instrText xml:space="preserve"> HYPERLINK \l "_Toc9105" </w:instrText>
          </w:r>
          <w:r>
            <w:fldChar w:fldCharType="separate"/>
          </w:r>
          <w:r>
            <w:rPr>
              <w:rFonts w:hint="eastAsia" w:ascii="黑体" w:hAnsi="黑体" w:eastAsia="黑体"/>
            </w:rPr>
            <w:t>十、 其他重要事项的情况说明</w:t>
          </w:r>
          <w:r>
            <w:tab/>
          </w:r>
          <w:r>
            <w:fldChar w:fldCharType="begin"/>
          </w:r>
          <w:r>
            <w:instrText xml:space="preserve"> PAGEREF _Toc9105 \h </w:instrText>
          </w:r>
          <w:r>
            <w:fldChar w:fldCharType="separate"/>
          </w:r>
          <w:r>
            <w:t>16</w:t>
          </w:r>
          <w:r>
            <w:fldChar w:fldCharType="end"/>
          </w:r>
          <w:r>
            <w:fldChar w:fldCharType="end"/>
          </w:r>
        </w:p>
        <w:p>
          <w:pPr>
            <w:pStyle w:val="59"/>
            <w:tabs>
              <w:tab w:val="right" w:leader="dot" w:pos="8306"/>
            </w:tabs>
            <w:rPr>
              <w:b/>
            </w:rPr>
          </w:pPr>
          <w:r>
            <w:fldChar w:fldCharType="begin"/>
          </w:r>
          <w:r>
            <w:instrText xml:space="preserve"> HYPERLINK \l "_Toc23400" </w:instrText>
          </w:r>
          <w:r>
            <w:fldChar w:fldCharType="separate"/>
          </w:r>
          <w:r>
            <w:rPr>
              <w:rFonts w:hint="eastAsia" w:ascii="黑体" w:hAnsi="黑体" w:eastAsia="黑体"/>
              <w:b/>
            </w:rPr>
            <w:t xml:space="preserve">第三部分 </w:t>
          </w:r>
          <w:r>
            <w:rPr>
              <w:rFonts w:hint="eastAsia" w:ascii="黑体" w:hAnsi="黑体" w:eastAsia="黑体"/>
              <w:b/>
              <w:szCs w:val="44"/>
            </w:rPr>
            <w:t>名</w:t>
          </w:r>
          <w:r>
            <w:rPr>
              <w:rFonts w:hint="eastAsia" w:ascii="黑体" w:hAnsi="黑体" w:eastAsia="黑体"/>
              <w:b/>
            </w:rPr>
            <w:t>词解释</w:t>
          </w:r>
          <w:r>
            <w:rPr>
              <w:b/>
            </w:rPr>
            <w:tab/>
          </w:r>
          <w:r>
            <w:rPr>
              <w:b/>
            </w:rPr>
            <w:fldChar w:fldCharType="begin"/>
          </w:r>
          <w:r>
            <w:rPr>
              <w:b/>
            </w:rPr>
            <w:instrText xml:space="preserve"> PAGEREF _Toc23400 \h </w:instrText>
          </w:r>
          <w:r>
            <w:rPr>
              <w:b/>
            </w:rPr>
            <w:fldChar w:fldCharType="separate"/>
          </w:r>
          <w:r>
            <w:rPr>
              <w:b/>
            </w:rPr>
            <w:t>19</w:t>
          </w:r>
          <w:r>
            <w:rPr>
              <w:b/>
            </w:rPr>
            <w:fldChar w:fldCharType="end"/>
          </w:r>
          <w:r>
            <w:rPr>
              <w:b/>
            </w:rPr>
            <w:fldChar w:fldCharType="end"/>
          </w:r>
        </w:p>
        <w:p>
          <w:pPr>
            <w:pStyle w:val="59"/>
            <w:tabs>
              <w:tab w:val="right" w:leader="dot" w:pos="8306"/>
            </w:tabs>
            <w:rPr>
              <w:b/>
            </w:rPr>
          </w:pPr>
          <w:r>
            <w:fldChar w:fldCharType="begin"/>
          </w:r>
          <w:r>
            <w:instrText xml:space="preserve"> HYPERLINK \l "_Toc8765" </w:instrText>
          </w:r>
          <w:r>
            <w:fldChar w:fldCharType="separate"/>
          </w:r>
          <w:r>
            <w:rPr>
              <w:rFonts w:hint="eastAsia" w:ascii="黑体" w:hAnsi="黑体" w:eastAsia="黑体"/>
              <w:b/>
            </w:rPr>
            <w:t>第四部分 附件</w:t>
          </w:r>
          <w:r>
            <w:rPr>
              <w:b/>
            </w:rPr>
            <w:tab/>
          </w:r>
          <w:r>
            <w:rPr>
              <w:b/>
            </w:rPr>
            <w:fldChar w:fldCharType="begin"/>
          </w:r>
          <w:r>
            <w:rPr>
              <w:b/>
            </w:rPr>
            <w:instrText xml:space="preserve"> PAGEREF _Toc8765 \h </w:instrText>
          </w:r>
          <w:r>
            <w:rPr>
              <w:b/>
            </w:rPr>
            <w:fldChar w:fldCharType="separate"/>
          </w:r>
          <w:r>
            <w:rPr>
              <w:b/>
            </w:rPr>
            <w:t>25</w:t>
          </w:r>
          <w:r>
            <w:rPr>
              <w:b/>
            </w:rPr>
            <w:fldChar w:fldCharType="end"/>
          </w:r>
          <w:r>
            <w:rPr>
              <w:b/>
            </w:rPr>
            <w:fldChar w:fldCharType="end"/>
          </w:r>
        </w:p>
        <w:p>
          <w:pPr>
            <w:pStyle w:val="59"/>
            <w:tabs>
              <w:tab w:val="right" w:leader="dot" w:pos="8306"/>
            </w:tabs>
            <w:rPr>
              <w:b/>
            </w:rPr>
          </w:pPr>
          <w:r>
            <w:fldChar w:fldCharType="begin"/>
          </w:r>
          <w:r>
            <w:instrText xml:space="preserve"> HYPERLINK \l "_Toc19940" </w:instrText>
          </w:r>
          <w:r>
            <w:fldChar w:fldCharType="separate"/>
          </w:r>
          <w:r>
            <w:rPr>
              <w:rFonts w:hint="eastAsia" w:ascii="黑体" w:hAnsi="黑体" w:eastAsia="黑体"/>
              <w:b/>
              <w:szCs w:val="44"/>
            </w:rPr>
            <w:t>第</w:t>
          </w:r>
          <w:r>
            <w:rPr>
              <w:rFonts w:hint="eastAsia" w:ascii="黑体" w:hAnsi="黑体" w:eastAsia="黑体"/>
              <w:b/>
            </w:rPr>
            <w:t>五部分 附表</w:t>
          </w:r>
          <w:r>
            <w:rPr>
              <w:b/>
            </w:rPr>
            <w:tab/>
          </w:r>
          <w:r>
            <w:rPr>
              <w:b/>
            </w:rPr>
            <w:fldChar w:fldCharType="begin"/>
          </w:r>
          <w:r>
            <w:rPr>
              <w:b/>
            </w:rPr>
            <w:instrText xml:space="preserve"> PAGEREF _Toc19940 \h </w:instrText>
          </w:r>
          <w:r>
            <w:rPr>
              <w:b/>
            </w:rPr>
            <w:fldChar w:fldCharType="separate"/>
          </w:r>
          <w:r>
            <w:rPr>
              <w:b/>
            </w:rPr>
            <w:t>107</w:t>
          </w:r>
          <w:r>
            <w:rPr>
              <w:b/>
            </w:rPr>
            <w:fldChar w:fldCharType="end"/>
          </w:r>
          <w:r>
            <w:rPr>
              <w:b/>
            </w:rPr>
            <w:fldChar w:fldCharType="end"/>
          </w:r>
        </w:p>
        <w:p>
          <w:pPr>
            <w:pStyle w:val="60"/>
            <w:tabs>
              <w:tab w:val="right" w:leader="dot" w:pos="8306"/>
            </w:tabs>
            <w:ind w:left="420"/>
          </w:pPr>
          <w:r>
            <w:fldChar w:fldCharType="begin"/>
          </w:r>
          <w:r>
            <w:instrText xml:space="preserve"> HYPERLINK \l "_Toc10480" </w:instrText>
          </w:r>
          <w:r>
            <w:fldChar w:fldCharType="separate"/>
          </w:r>
          <w:r>
            <w:rPr>
              <w:rFonts w:hint="eastAsia" w:ascii="仿宋" w:hAnsi="仿宋" w:eastAsia="仿宋"/>
            </w:rPr>
            <w:t>一、收入支出决算总表</w:t>
          </w:r>
          <w:r>
            <w:tab/>
          </w:r>
          <w:r>
            <w:fldChar w:fldCharType="begin"/>
          </w:r>
          <w:r>
            <w:instrText xml:space="preserve"> PAGEREF _Toc10480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"_Toc8821" </w:instrText>
          </w:r>
          <w:r>
            <w:fldChar w:fldCharType="separate"/>
          </w:r>
          <w:r>
            <w:rPr>
              <w:rFonts w:hint="eastAsia" w:ascii="仿宋" w:hAnsi="仿宋" w:eastAsia="仿宋"/>
            </w:rPr>
            <w:t>二、收入决算表</w:t>
          </w:r>
          <w:r>
            <w:tab/>
          </w:r>
          <w:r>
            <w:fldChar w:fldCharType="begin"/>
          </w:r>
          <w:r>
            <w:instrText xml:space="preserve"> PAGEREF _Toc8821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"_Toc26579" </w:instrText>
          </w:r>
          <w:r>
            <w:fldChar w:fldCharType="separate"/>
          </w:r>
          <w:r>
            <w:rPr>
              <w:rFonts w:hint="eastAsia" w:ascii="仿宋" w:hAnsi="仿宋" w:eastAsia="仿宋"/>
            </w:rPr>
            <w:t>三、支出决算表</w:t>
          </w:r>
          <w:r>
            <w:tab/>
          </w:r>
          <w:r>
            <w:fldChar w:fldCharType="begin"/>
          </w:r>
          <w:r>
            <w:instrText xml:space="preserve"> PAGEREF _Toc26579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"_Toc19492" </w:instrText>
          </w:r>
          <w:r>
            <w:fldChar w:fldCharType="separate"/>
          </w:r>
          <w:r>
            <w:rPr>
              <w:rFonts w:hint="eastAsia" w:ascii="仿宋" w:hAnsi="仿宋" w:eastAsia="仿宋"/>
            </w:rPr>
            <w:t>四、财政拨款收入支出决算总表</w:t>
          </w:r>
          <w:r>
            <w:tab/>
          </w:r>
          <w:r>
            <w:fldChar w:fldCharType="begin"/>
          </w:r>
          <w:r>
            <w:instrText xml:space="preserve"> PAGEREF _Toc19492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"_Toc25444" </w:instrText>
          </w:r>
          <w:r>
            <w:fldChar w:fldCharType="separate"/>
          </w:r>
          <w:r>
            <w:rPr>
              <w:rFonts w:hint="eastAsia" w:ascii="仿宋" w:hAnsi="仿宋" w:eastAsia="仿宋"/>
            </w:rPr>
            <w:t>五、财政拨款支出决算明细表</w:t>
          </w:r>
          <w:r>
            <w:tab/>
          </w:r>
          <w:r>
            <w:fldChar w:fldCharType="begin"/>
          </w:r>
          <w:r>
            <w:instrText xml:space="preserve"> PAGEREF _Toc25444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"_Toc27836" </w:instrText>
          </w:r>
          <w:r>
            <w:fldChar w:fldCharType="separate"/>
          </w:r>
          <w:r>
            <w:rPr>
              <w:rFonts w:hint="eastAsia" w:ascii="仿宋" w:hAnsi="仿宋" w:eastAsia="仿宋"/>
            </w:rPr>
            <w:t>六、一般公共预算财政拨款支出决算表</w:t>
          </w:r>
          <w:r>
            <w:tab/>
          </w:r>
          <w:r>
            <w:fldChar w:fldCharType="begin"/>
          </w:r>
          <w:r>
            <w:instrText xml:space="preserve"> PAGEREF _Toc27836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"_Toc20576" </w:instrText>
          </w:r>
          <w:r>
            <w:fldChar w:fldCharType="separate"/>
          </w:r>
          <w:r>
            <w:rPr>
              <w:rFonts w:hint="eastAsia" w:ascii="仿宋" w:hAnsi="仿宋" w:eastAsia="仿宋"/>
            </w:rPr>
            <w:t>七、一般公共预算财政拨款支出决算明细表</w:t>
          </w:r>
          <w:r>
            <w:tab/>
          </w:r>
          <w:r>
            <w:fldChar w:fldCharType="begin"/>
          </w:r>
          <w:r>
            <w:instrText xml:space="preserve"> PAGEREF _Toc20576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"_Toc8093" </w:instrText>
          </w:r>
          <w:r>
            <w:fldChar w:fldCharType="separate"/>
          </w:r>
          <w:r>
            <w:rPr>
              <w:rFonts w:hint="eastAsia" w:ascii="仿宋" w:hAnsi="仿宋" w:eastAsia="仿宋"/>
            </w:rPr>
            <w:t>八、一般公共预算财政拨款基本支出决算表</w:t>
          </w:r>
          <w:r>
            <w:tab/>
          </w:r>
          <w:r>
            <w:fldChar w:fldCharType="begin"/>
          </w:r>
          <w:r>
            <w:instrText xml:space="preserve"> PAGEREF _Toc8093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"_Toc6103" </w:instrText>
          </w:r>
          <w:r>
            <w:fldChar w:fldCharType="separate"/>
          </w:r>
          <w:r>
            <w:rPr>
              <w:rFonts w:hint="eastAsia" w:ascii="仿宋" w:hAnsi="仿宋" w:eastAsia="仿宋"/>
            </w:rPr>
            <w:t>九、一般公共预算财政拨款项目支出决算表</w:t>
          </w:r>
          <w:r>
            <w:tab/>
          </w:r>
          <w:r>
            <w:fldChar w:fldCharType="begin"/>
          </w:r>
          <w:r>
            <w:instrText xml:space="preserve"> PAGEREF _Toc6103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"_Toc16391" </w:instrText>
          </w:r>
          <w:r>
            <w:fldChar w:fldCharType="separate"/>
          </w:r>
          <w:r>
            <w:rPr>
              <w:rFonts w:hint="eastAsia" w:ascii="仿宋" w:hAnsi="仿宋" w:eastAsia="仿宋"/>
            </w:rPr>
            <w:t>十、政府性基金预算财政拨款收入支出决算表</w:t>
          </w:r>
          <w:r>
            <w:tab/>
          </w:r>
          <w:r>
            <w:fldChar w:fldCharType="begin"/>
          </w:r>
          <w:r>
            <w:instrText xml:space="preserve"> PAGEREF _Toc16391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"_Toc3279" </w:instrText>
          </w:r>
          <w:r>
            <w:fldChar w:fldCharType="separate"/>
          </w:r>
          <w:r>
            <w:rPr>
              <w:rFonts w:hint="eastAsia" w:ascii="仿宋" w:hAnsi="仿宋" w:eastAsia="仿宋"/>
            </w:rPr>
            <w:t>十一、国有资本经营预算财政拨款收入支出决算表</w:t>
          </w:r>
          <w:r>
            <w:tab/>
          </w:r>
          <w:r>
            <w:fldChar w:fldCharType="begin"/>
          </w:r>
          <w:r>
            <w:instrText xml:space="preserve"> PAGEREF _Toc3279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"_Toc11933" </w:instrText>
          </w:r>
          <w:r>
            <w:fldChar w:fldCharType="separate"/>
          </w:r>
          <w:r>
            <w:rPr>
              <w:rFonts w:hint="eastAsia" w:ascii="仿宋" w:hAnsi="仿宋" w:eastAsia="仿宋"/>
            </w:rPr>
            <w:t>十二、国有资本经营预算财政拨款支出决算表</w:t>
          </w:r>
          <w:r>
            <w:tab/>
          </w:r>
          <w:r>
            <w:fldChar w:fldCharType="begin"/>
          </w:r>
          <w:r>
            <w:instrText xml:space="preserve"> PAGEREF _Toc11933 \h </w:instrText>
          </w:r>
          <w:r>
            <w:fldChar w:fldCharType="separate"/>
          </w:r>
          <w:r>
            <w:t>107</w:t>
          </w:r>
          <w:r>
            <w:fldChar w:fldCharType="end"/>
          </w:r>
          <w:r>
            <w:fldChar w:fldCharType="end"/>
          </w:r>
        </w:p>
        <w:p>
          <w:pPr>
            <w:pStyle w:val="60"/>
            <w:tabs>
              <w:tab w:val="right" w:leader="dot" w:pos="8306"/>
            </w:tabs>
            <w:ind w:left="420"/>
          </w:pPr>
          <w:r>
            <w:fldChar w:fldCharType="begin"/>
          </w:r>
          <w:r>
            <w:instrText xml:space="preserve"> HYPERLINK \l "_Toc26669" </w:instrText>
          </w:r>
          <w:r>
            <w:fldChar w:fldCharType="separate"/>
          </w:r>
          <w:r>
            <w:rPr>
              <w:rFonts w:hint="eastAsia" w:ascii="仿宋" w:hAnsi="仿宋" w:eastAsia="仿宋"/>
            </w:rPr>
            <w:t>十三、财政拨款“三公”经费支出决算表</w:t>
          </w:r>
          <w:r>
            <w:tab/>
          </w:r>
          <w:r>
            <w:fldChar w:fldCharType="begin"/>
          </w:r>
          <w:r>
            <w:instrText xml:space="preserve"> PAGEREF _Toc26669 \h </w:instrText>
          </w:r>
          <w:r>
            <w:fldChar w:fldCharType="separate"/>
          </w:r>
          <w:r>
            <w:t>107</w:t>
          </w:r>
          <w:r>
            <w:fldChar w:fldCharType="end"/>
          </w:r>
          <w:r>
            <w:fldChar w:fldCharType="end"/>
          </w:r>
        </w:p>
        <w:p>
          <w:r>
            <w:rPr>
              <w:b/>
            </w:rPr>
            <w:fldChar w:fldCharType="end"/>
          </w:r>
        </w:p>
      </w:sdtContent>
    </w:sdt>
    <w:p>
      <w:pPr>
        <w:pStyle w:val="5"/>
        <w:jc w:val="center"/>
        <w:rPr>
          <w:rStyle w:val="35"/>
          <w:rFonts w:ascii="黑体" w:hAnsi="黑体" w:eastAsia="黑体"/>
          <w:b/>
          <w:bCs w:val="0"/>
        </w:rPr>
      </w:pPr>
      <w:bookmarkStart w:id="16" w:name="_Toc15396599"/>
      <w:bookmarkStart w:id="17" w:name="_Toc15377196"/>
      <w:bookmarkStart w:id="18" w:name="_Toc15017"/>
      <w:r>
        <w:rPr>
          <w:rFonts w:hint="eastAsia" w:ascii="黑体" w:hAnsi="黑体" w:eastAsia="黑体"/>
          <w:b w:val="0"/>
        </w:rPr>
        <w:t xml:space="preserve">第一部分 </w:t>
      </w:r>
      <w:r>
        <w:rPr>
          <w:rStyle w:val="35"/>
          <w:rFonts w:hint="eastAsia" w:ascii="黑体" w:hAnsi="黑体" w:eastAsia="黑体"/>
          <w:b w:val="0"/>
          <w:bCs w:val="0"/>
        </w:rPr>
        <w:t>部门概况</w:t>
      </w:r>
      <w:bookmarkEnd w:id="16"/>
      <w:bookmarkEnd w:id="17"/>
      <w:bookmarkEnd w:id="18"/>
    </w:p>
    <w:p>
      <w:pPr>
        <w:widowControl/>
        <w:jc w:val="left"/>
        <w:rPr>
          <w:rFonts w:ascii="黑体" w:eastAsia="黑体"/>
          <w:sz w:val="32"/>
          <w:szCs w:val="32"/>
        </w:rPr>
      </w:pPr>
    </w:p>
    <w:p>
      <w:pPr>
        <w:pStyle w:val="6"/>
        <w:numPr>
          <w:ilvl w:val="0"/>
          <w:numId w:val="1"/>
        </w:numPr>
        <w:rPr>
          <w:rFonts w:ascii="黑体" w:hAnsi="黑体" w:eastAsia="黑体"/>
          <w:b w:val="0"/>
        </w:rPr>
      </w:pPr>
      <w:bookmarkStart w:id="19" w:name="_Toc29832"/>
      <w:r>
        <w:rPr>
          <w:rFonts w:hint="eastAsia" w:ascii="黑体" w:hAnsi="黑体" w:eastAsia="黑体"/>
          <w:b w:val="0"/>
        </w:rPr>
        <w:t>部门职责</w:t>
      </w:r>
      <w:bookmarkEnd w:id="19"/>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贯彻执行国家有关交通运输行业的方针、政策和法律、法规，贯彻执行省地方性法规、规章、交通运输行业规划、政策和规范性文件。组织拟订并监督实施公路、水路等行业发展战略、政策，会同有关部门组织编制综合运输体系规划。</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（2）负责本系统、本部门依法行政工作，落实行政执法责任制；指导公路、水路行业有关体制改革和机制转换工作；参与拟定物流业发展战略和规划。</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（3）承担道路、水路交通运输市场监管责任，组织实施并监督执行道路、水路运输有关政策、技术标准和运营规范；指导城乡客运管理工作，指导出租车行业管理工作；会同有关部门制定运价。</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和参与事故调查处理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（5）负责提出公路、水路固定资产投资规模和方向、市财政资金安排建议，按照程序报批国家、省、市规划内和年度计划规模内固定资产投资项目。指导交通运输行业审计。</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承担公路、水路建设市场监管工作。组织实施并监督执行公路、水路工程建设相关政策、制度、技术标准，组织协调公路、水路有关重点工程建设，负责工程质量、安全生产监督管理工作；负责对交通行业和产业项目的招投标活动进行监督、指导；指导交通运输基础设施管理和维护，承担有关重要设施的管理和维护；按规定负责港口规划和港口岸线管理工作，指导交通运输行业特许经营管理，会同有关部门组织实施交通运输行业职业资格管理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指导公路、水路行业安全生产和应急管理工作。按规定组织协调国家、省、市重点物资、危险货物运输和紧急客货运输，负责全市干线路网运行监测和协调；组织协调地方交通战备工作，承担国防动员有关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承担交通运输科技项目开发和研究的组织实施工作，负责交通运输科研成果的推广、应用工作。指导全市交通运输信息化建设，监测分析运行情况，开展相关统计工作，发布有关信息。指导公路水路行业环境保护和节能减排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（9）负责公路水路有关涉外工作，开展经济技术交流合作，指导全市交通运输行业招商引资和利用外部资金工作。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（10）承担市政府公布的有关行政审批事项。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（11）承办市政府交办的其他事项</w:t>
      </w:r>
    </w:p>
    <w:p>
      <w:pPr>
        <w:pStyle w:val="6"/>
        <w:rPr>
          <w:rStyle w:val="36"/>
          <w:b w:val="0"/>
          <w:bCs w:val="0"/>
        </w:rPr>
      </w:pPr>
      <w:bookmarkStart w:id="20" w:name="_Toc12758"/>
      <w:bookmarkStart w:id="21" w:name="_Toc15377200"/>
      <w:bookmarkStart w:id="22" w:name="_Toc15396601"/>
      <w:r>
        <w:rPr>
          <w:rFonts w:hint="eastAsia" w:ascii="黑体" w:eastAsia="黑体"/>
          <w:b w:val="0"/>
        </w:rPr>
        <w:t>二、</w:t>
      </w:r>
      <w:r>
        <w:rPr>
          <w:rFonts w:hint="eastAsia" w:ascii="黑体" w:hAnsi="黑体" w:eastAsia="黑体"/>
          <w:b w:val="0"/>
        </w:rPr>
        <w:t>机</w:t>
      </w:r>
      <w:r>
        <w:rPr>
          <w:rStyle w:val="36"/>
          <w:rFonts w:hint="eastAsia" w:ascii="黑体" w:hAnsi="黑体" w:eastAsia="黑体"/>
          <w:b w:val="0"/>
          <w:bCs w:val="0"/>
        </w:rPr>
        <w:t>构设置</w:t>
      </w:r>
      <w:bookmarkEnd w:id="20"/>
      <w:bookmarkEnd w:id="21"/>
      <w:bookmarkEnd w:id="22"/>
    </w:p>
    <w:p>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四川省攀枝花市交通运输局下属二级预算单位7个，其中行政单位1个，参照公务员法管理的事业单位5个，其他事业单位1个。</w:t>
      </w:r>
    </w:p>
    <w:p>
      <w:pPr>
        <w:pStyle w:val="9"/>
        <w:adjustRightInd w:val="0"/>
        <w:snapToGrid w:val="0"/>
        <w:spacing w:before="93" w:line="600" w:lineRule="exact"/>
        <w:ind w:firstLine="672" w:firstLineChars="210"/>
        <w:rPr>
          <w:rFonts w:hAnsi="仿宋_GB2312" w:cs="仿宋_GB2312"/>
          <w:sz w:val="32"/>
          <w:szCs w:val="32"/>
        </w:rPr>
      </w:pPr>
      <w:r>
        <w:rPr>
          <w:rFonts w:hint="eastAsia" w:hAnsi="仿宋_GB2312" w:cs="仿宋_GB2312"/>
          <w:sz w:val="32"/>
          <w:szCs w:val="32"/>
        </w:rPr>
        <w:t>纳入攀枝花市交通运输局2025年度部门决算编制范围的二级预算单位包括：</w:t>
      </w:r>
    </w:p>
    <w:p>
      <w:pPr>
        <w:ind w:firstLine="640" w:firstLineChars="200"/>
        <w:rPr>
          <w:rFonts w:ascii="仿宋_GB2312" w:hAnsi="仿宋_GB2312" w:eastAsia="仿宋_GB2312" w:cs="仿宋_GB2312"/>
          <w:sz w:val="32"/>
          <w:szCs w:val="32"/>
        </w:rPr>
      </w:pPr>
      <w:bookmarkStart w:id="23" w:name="_Toc15378449"/>
      <w:bookmarkStart w:id="24" w:name="_Toc15306276"/>
      <w:bookmarkStart w:id="25" w:name="_Toc15377433"/>
      <w:bookmarkStart w:id="26" w:name="_Toc15377202"/>
      <w:r>
        <w:rPr>
          <w:rFonts w:hint="eastAsia" w:ascii="仿宋_GB2312" w:hAnsi="仿宋_GB2312" w:eastAsia="仿宋_GB2312" w:cs="仿宋_GB2312"/>
          <w:sz w:val="32"/>
          <w:szCs w:val="32"/>
        </w:rPr>
        <w:t>1、攀枝花市交通建设工程</w:t>
      </w:r>
      <w:bookmarkEnd w:id="23"/>
      <w:bookmarkEnd w:id="24"/>
      <w:bookmarkEnd w:id="25"/>
      <w:bookmarkEnd w:id="26"/>
      <w:r>
        <w:rPr>
          <w:rFonts w:hint="eastAsia" w:ascii="仿宋_GB2312" w:hAnsi="仿宋_GB2312" w:eastAsia="仿宋_GB2312" w:cs="仿宋_GB2312"/>
          <w:sz w:val="32"/>
          <w:szCs w:val="32"/>
        </w:rPr>
        <w:t>服务中心</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2、攀枝花市交通运输服务中心</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3、攀枝花市交通运输综合行政执法支队</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4、攀枝花市航务海事中心</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5、攀枝花市公路事业发展中心（含攀枝花市交通建设工程质量监督站）</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6、攀枝花市公路养护总段。</w:t>
      </w:r>
    </w:p>
    <w:p>
      <w:pPr>
        <w:widowControl/>
        <w:jc w:val="left"/>
        <w:rPr>
          <w:rFonts w:ascii="仿宋" w:hAnsi="仿宋" w:eastAsia="仿宋"/>
          <w:kern w:val="0"/>
          <w:sz w:val="32"/>
          <w:szCs w:val="32"/>
        </w:rPr>
      </w:pPr>
      <w:r>
        <w:rPr>
          <w:rFonts w:ascii="仿宋" w:hAnsi="仿宋" w:eastAsia="仿宋"/>
          <w:sz w:val="32"/>
          <w:szCs w:val="32"/>
        </w:rPr>
        <w:br w:type="page"/>
      </w:r>
    </w:p>
    <w:p>
      <w:pPr>
        <w:pStyle w:val="5"/>
        <w:ind w:right="440"/>
        <w:jc w:val="center"/>
      </w:pPr>
      <w:bookmarkStart w:id="27" w:name="_Toc15377204"/>
      <w:bookmarkStart w:id="28" w:name="_Toc27550"/>
      <w:bookmarkStart w:id="29" w:name="_Toc15396602"/>
      <w:r>
        <w:rPr>
          <w:rFonts w:hint="eastAsia" w:ascii="黑体" w:hAnsi="黑体" w:eastAsia="黑体"/>
          <w:b w:val="0"/>
        </w:rPr>
        <w:t>第二部分 2025年度</w:t>
      </w:r>
      <w:r>
        <w:rPr>
          <w:rStyle w:val="35"/>
          <w:rFonts w:hint="eastAsia" w:ascii="黑体" w:hAnsi="黑体" w:eastAsia="黑体"/>
          <w:b w:val="0"/>
          <w:bCs/>
        </w:rPr>
        <w:t>部门决算情况说明</w:t>
      </w:r>
      <w:bookmarkEnd w:id="27"/>
      <w:bookmarkEnd w:id="28"/>
      <w:bookmarkEnd w:id="29"/>
    </w:p>
    <w:p>
      <w:pPr>
        <w:pStyle w:val="34"/>
        <w:numPr>
          <w:ilvl w:val="0"/>
          <w:numId w:val="2"/>
        </w:numPr>
        <w:spacing w:line="600" w:lineRule="exact"/>
        <w:ind w:firstLineChars="0"/>
        <w:outlineLvl w:val="1"/>
        <w:rPr>
          <w:rStyle w:val="36"/>
          <w:rFonts w:ascii="黑体" w:hAnsi="黑体" w:eastAsia="黑体"/>
          <w:b w:val="0"/>
        </w:rPr>
      </w:pPr>
      <w:bookmarkStart w:id="30" w:name="_Toc4574"/>
      <w:bookmarkStart w:id="31" w:name="_Toc15396603"/>
      <w:bookmarkStart w:id="32" w:name="_Toc15377205"/>
      <w:r>
        <w:rPr>
          <w:rFonts w:hint="eastAsia" w:ascii="黑体" w:hAnsi="黑体" w:eastAsia="黑体"/>
          <w:sz w:val="32"/>
          <w:szCs w:val="32"/>
        </w:rPr>
        <w:t>收</w:t>
      </w:r>
      <w:r>
        <w:rPr>
          <w:rStyle w:val="36"/>
          <w:rFonts w:hint="eastAsia" w:ascii="黑体" w:hAnsi="黑体" w:eastAsia="黑体"/>
          <w:b w:val="0"/>
        </w:rPr>
        <w:t>入支出决算总体情况说明</w:t>
      </w:r>
      <w:bookmarkEnd w:id="30"/>
      <w:bookmarkEnd w:id="31"/>
      <w:bookmarkEnd w:id="32"/>
    </w:p>
    <w:p>
      <w:pPr>
        <w:pStyle w:val="34"/>
        <w:spacing w:line="600" w:lineRule="exact"/>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2025年度收入、支出总计均为66522.31万元。与2024年度相比，收入、支出总计各增加23461.91万元，增长54.5%。主要变动原因是项目支出安排增加。</w:t>
      </w:r>
    </w:p>
    <w:p>
      <w:pPr>
        <w:spacing w:line="600" w:lineRule="exact"/>
        <w:ind w:firstLine="640" w:firstLineChars="200"/>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285115</wp:posOffset>
            </wp:positionH>
            <wp:positionV relativeFrom="paragraph">
              <wp:posOffset>195580</wp:posOffset>
            </wp:positionV>
            <wp:extent cx="4711065" cy="4010660"/>
            <wp:effectExtent l="4445" t="4445" r="8890" b="2349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34"/>
        <w:numPr>
          <w:ilvl w:val="0"/>
          <w:numId w:val="2"/>
        </w:numPr>
        <w:spacing w:line="600" w:lineRule="exact"/>
        <w:ind w:firstLineChars="0"/>
        <w:outlineLvl w:val="1"/>
        <w:rPr>
          <w:rStyle w:val="36"/>
          <w:rFonts w:ascii="黑体" w:hAnsi="黑体" w:eastAsia="黑体"/>
          <w:b w:val="0"/>
        </w:rPr>
      </w:pPr>
      <w:bookmarkStart w:id="33" w:name="_Toc27204"/>
      <w:bookmarkStart w:id="34" w:name="_Toc15377206"/>
      <w:bookmarkStart w:id="35" w:name="_Toc15396604"/>
      <w:r>
        <w:rPr>
          <w:rFonts w:hint="eastAsia" w:ascii="黑体" w:hAnsi="黑体" w:eastAsia="黑体"/>
          <w:sz w:val="32"/>
          <w:szCs w:val="32"/>
        </w:rPr>
        <w:t>收</w:t>
      </w:r>
      <w:r>
        <w:rPr>
          <w:rStyle w:val="36"/>
          <w:rFonts w:hint="eastAsia" w:ascii="黑体" w:hAnsi="黑体" w:eastAsia="黑体"/>
          <w:b w:val="0"/>
        </w:rPr>
        <w:t>入决算情况说明</w:t>
      </w:r>
      <w:bookmarkEnd w:id="33"/>
      <w:bookmarkEnd w:id="34"/>
      <w:bookmarkEnd w:id="35"/>
    </w:p>
    <w:p>
      <w:pPr>
        <w:spacing w:line="600" w:lineRule="exact"/>
        <w:ind w:firstLine="640" w:firstLineChars="200"/>
        <w:rPr>
          <w:rFonts w:ascii="仿宋" w:hAnsi="仿宋" w:eastAsia="仿宋"/>
          <w:sz w:val="32"/>
          <w:szCs w:val="32"/>
        </w:rPr>
      </w:pPr>
      <w:bookmarkStart w:id="36" w:name="_Toc32135"/>
      <w:r>
        <w:rPr>
          <w:rFonts w:hint="eastAsia" w:ascii="仿宋_GB2312" w:hAnsi="仿宋_GB2312" w:eastAsia="仿宋_GB2312" w:cs="仿宋_GB2312"/>
          <w:sz w:val="32"/>
          <w:szCs w:val="32"/>
        </w:rPr>
        <w:t>2025年度本年收入合计66522.31万元，其中：一般公共预算财政拨款收入45305.17万元，占68.1%；政府性基金预算财政拨款收入21217.14万元，占31.9%；国有资本经营预算财政拨款收入0万元，占0%；上级补助收入0万元，占0%；事业收入0万元，占0%；经营收入0万元，占0%；附属单位上缴收入0万元，占0%；其他收入0万元，占0%。</w:t>
      </w:r>
      <w:r>
        <w:rPr>
          <w:rFonts w:hint="eastAsia" w:ascii="仿宋_GB2312" w:hAnsi="仿宋_GB2312" w:eastAsia="仿宋_GB2312" w:cs="仿宋_GB2312"/>
          <w:sz w:val="32"/>
          <w:szCs w:val="32"/>
        </w:rPr>
        <w:drawing>
          <wp:anchor distT="0" distB="0" distL="114300" distR="114300" simplePos="0" relativeHeight="251664384" behindDoc="0" locked="0" layoutInCell="1" allowOverlap="1">
            <wp:simplePos x="0" y="0"/>
            <wp:positionH relativeFrom="column">
              <wp:posOffset>661670</wp:posOffset>
            </wp:positionH>
            <wp:positionV relativeFrom="paragraph">
              <wp:posOffset>131445</wp:posOffset>
            </wp:positionV>
            <wp:extent cx="4109720" cy="2492375"/>
            <wp:effectExtent l="4445" t="4445" r="19685" b="1778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End w:id="36"/>
    </w:p>
    <w:p>
      <w:pPr>
        <w:pStyle w:val="34"/>
        <w:numPr>
          <w:ilvl w:val="0"/>
          <w:numId w:val="2"/>
        </w:numPr>
        <w:spacing w:line="600" w:lineRule="exact"/>
        <w:ind w:firstLineChars="0"/>
        <w:outlineLvl w:val="1"/>
        <w:rPr>
          <w:rStyle w:val="36"/>
          <w:rFonts w:ascii="黑体" w:hAnsi="黑体" w:eastAsia="黑体"/>
          <w:b w:val="0"/>
        </w:rPr>
      </w:pPr>
      <w:bookmarkStart w:id="37" w:name="_Toc12892"/>
      <w:bookmarkStart w:id="38" w:name="_Toc15396605"/>
      <w:bookmarkStart w:id="39" w:name="_Toc15377207"/>
      <w:r>
        <w:rPr>
          <w:rFonts w:hint="eastAsia" w:ascii="黑体" w:hAnsi="黑体" w:eastAsia="黑体"/>
          <w:sz w:val="32"/>
          <w:szCs w:val="32"/>
        </w:rPr>
        <w:t>支</w:t>
      </w:r>
      <w:r>
        <w:rPr>
          <w:rStyle w:val="36"/>
          <w:rFonts w:hint="eastAsia" w:ascii="黑体" w:hAnsi="黑体" w:eastAsia="黑体"/>
          <w:b w:val="0"/>
        </w:rPr>
        <w:t>出决算情况说明</w:t>
      </w:r>
      <w:bookmarkEnd w:id="37"/>
      <w:bookmarkEnd w:id="38"/>
      <w:bookmarkEnd w:id="39"/>
    </w:p>
    <w:p>
      <w:pPr>
        <w:spacing w:line="600" w:lineRule="exact"/>
        <w:ind w:firstLine="640" w:firstLineChars="200"/>
        <w:outlineLvl w:val="1"/>
        <w:rPr>
          <w:rFonts w:ascii="仿宋" w:hAnsi="仿宋" w:eastAsia="仿宋_GB2312"/>
          <w:sz w:val="32"/>
          <w:szCs w:val="32"/>
        </w:rPr>
      </w:pPr>
      <w:bookmarkStart w:id="40" w:name="_Toc29586"/>
      <w:bookmarkStart w:id="41" w:name="_Toc22225"/>
      <w:r>
        <w:rPr>
          <w:rFonts w:hint="eastAsia" w:ascii="仿宋_GB2312" w:hAnsi="仿宋_GB2312" w:eastAsia="仿宋_GB2312" w:cs="仿宋_GB2312"/>
          <w:sz w:val="32"/>
          <w:szCs w:val="32"/>
        </w:rPr>
        <w:t>2025年度本年支出合计66522.31万元，其中：基本支出17435.53万元，占26.2%；项目支出49086.79万元，占73.8%；上缴上级支出0万元，占0%；经营支出0万元，占0%；对附属单位补助支出0万元，占0%。</w:t>
      </w:r>
    </w:p>
    <w:bookmarkEnd w:id="40"/>
    <w:bookmarkEnd w:id="41"/>
    <w:p>
      <w:pPr>
        <w:spacing w:line="600" w:lineRule="exact"/>
        <w:rPr>
          <w:rFonts w:ascii="仿宋_GB2312" w:eastAsia="仿宋_GB2312"/>
          <w:sz w:val="32"/>
          <w:szCs w:val="32"/>
        </w:rPr>
      </w:pPr>
      <w:r>
        <w:rPr>
          <w:rFonts w:hint="eastAsia" w:ascii="仿宋_GB2312" w:hAnsi="仿宋_GB2312" w:eastAsia="仿宋_GB2312" w:cs="仿宋_GB2312"/>
          <w:sz w:val="32"/>
          <w:szCs w:val="32"/>
        </w:rPr>
        <w:drawing>
          <wp:anchor distT="0" distB="0" distL="114300" distR="114300" simplePos="0" relativeHeight="251661312" behindDoc="0" locked="0" layoutInCell="1" allowOverlap="1">
            <wp:simplePos x="0" y="0"/>
            <wp:positionH relativeFrom="column">
              <wp:posOffset>295275</wp:posOffset>
            </wp:positionH>
            <wp:positionV relativeFrom="paragraph">
              <wp:posOffset>111760</wp:posOffset>
            </wp:positionV>
            <wp:extent cx="4675505" cy="2578735"/>
            <wp:effectExtent l="4445" t="4445" r="6350" b="762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spacing w:line="600" w:lineRule="exact"/>
        <w:ind w:firstLine="640" w:firstLineChars="200"/>
        <w:outlineLvl w:val="1"/>
        <w:rPr>
          <w:rStyle w:val="36"/>
          <w:rFonts w:ascii="黑体" w:hAnsi="黑体" w:eastAsia="黑体"/>
          <w:b w:val="0"/>
        </w:rPr>
      </w:pPr>
      <w:bookmarkStart w:id="42" w:name="_Toc13351"/>
      <w:bookmarkStart w:id="43" w:name="_Toc15396606"/>
      <w:bookmarkStart w:id="44" w:name="_Toc15377208"/>
      <w:r>
        <w:rPr>
          <w:rFonts w:hint="eastAsia" w:ascii="黑体" w:hAnsi="黑体" w:eastAsia="黑体"/>
          <w:sz w:val="32"/>
          <w:szCs w:val="32"/>
        </w:rPr>
        <w:t>四、财</w:t>
      </w:r>
      <w:r>
        <w:rPr>
          <w:rStyle w:val="36"/>
          <w:rFonts w:hint="eastAsia" w:ascii="黑体" w:hAnsi="黑体" w:eastAsia="黑体"/>
          <w:b w:val="0"/>
        </w:rPr>
        <w:t>政拨款收入支出决算总体情况说明</w:t>
      </w:r>
      <w:bookmarkEnd w:id="42"/>
      <w:bookmarkEnd w:id="43"/>
      <w:bookmarkEnd w:id="44"/>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2025年度财政拨款收入、支出总计均为66522.31万元。与2024年度相比，财政拨款收入总计、支出总计各增加23461.91万元，增长54.5%。主要变动原因是项目支出增加。</w:t>
      </w:r>
    </w:p>
    <w:p>
      <w:pPr>
        <w:spacing w:line="600" w:lineRule="exact"/>
        <w:rPr>
          <w:rFonts w:ascii="仿宋_GB2312" w:hAnsi="仿宋_GB2312" w:eastAsia="仿宋_GB2312" w:cs="仿宋_GB2312"/>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671830</wp:posOffset>
            </wp:positionH>
            <wp:positionV relativeFrom="paragraph">
              <wp:posOffset>302260</wp:posOffset>
            </wp:positionV>
            <wp:extent cx="4820920" cy="3084195"/>
            <wp:effectExtent l="4445" t="5080" r="13335" b="1587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
        <w:outlineLvl w:val="1"/>
        <w:rPr>
          <w:rStyle w:val="36"/>
          <w:rFonts w:ascii="黑体" w:hAnsi="黑体" w:eastAsia="黑体"/>
          <w:b w:val="0"/>
        </w:rPr>
      </w:pPr>
      <w:bookmarkStart w:id="45" w:name="_Toc15377209"/>
      <w:bookmarkStart w:id="46" w:name="_Toc15396607"/>
      <w:bookmarkStart w:id="47" w:name="_Toc6453"/>
      <w:r>
        <w:rPr>
          <w:rFonts w:hint="eastAsia" w:ascii="黑体" w:hAnsi="黑体" w:eastAsia="黑体"/>
          <w:sz w:val="32"/>
          <w:szCs w:val="32"/>
        </w:rPr>
        <w:t>五、</w:t>
      </w:r>
      <w:r>
        <w:rPr>
          <w:rFonts w:hint="eastAsia" w:ascii="黑体" w:hAnsi="黑体" w:eastAsia="黑体"/>
          <w:b/>
          <w:sz w:val="32"/>
          <w:szCs w:val="32"/>
        </w:rPr>
        <w:t>一</w:t>
      </w:r>
      <w:r>
        <w:rPr>
          <w:rStyle w:val="36"/>
          <w:rFonts w:hint="eastAsia" w:ascii="黑体" w:hAnsi="黑体" w:eastAsia="黑体"/>
          <w:b w:val="0"/>
        </w:rPr>
        <w:t>般公共预算财政拨款支出决算情况说明</w:t>
      </w:r>
      <w:bookmarkEnd w:id="45"/>
      <w:bookmarkEnd w:id="46"/>
      <w:bookmarkEnd w:id="47"/>
    </w:p>
    <w:p>
      <w:pPr>
        <w:spacing w:line="600" w:lineRule="exact"/>
        <w:ind w:firstLine="642" w:firstLineChars="200"/>
        <w:outlineLvl w:val="2"/>
        <w:rPr>
          <w:rFonts w:ascii="仿宋" w:hAnsi="仿宋" w:eastAsia="仿宋"/>
          <w:b/>
          <w:sz w:val="32"/>
          <w:szCs w:val="32"/>
        </w:rPr>
      </w:pPr>
      <w:bookmarkStart w:id="48" w:name="_Toc15377210"/>
      <w:r>
        <w:rPr>
          <w:rFonts w:hint="eastAsia" w:ascii="仿宋" w:hAnsi="仿宋" w:eastAsia="仿宋"/>
          <w:b/>
          <w:sz w:val="32"/>
          <w:szCs w:val="32"/>
        </w:rPr>
        <w:t>（一）一般公共预算财政拨款支出决算总体情况</w:t>
      </w:r>
      <w:bookmarkEnd w:id="48"/>
    </w:p>
    <w:p>
      <w:pPr>
        <w:spacing w:line="600" w:lineRule="exact"/>
        <w:ind w:firstLine="640"/>
        <w:rPr>
          <w:rFonts w:ascii="仿宋" w:hAnsi="仿宋" w:eastAsia="仿宋"/>
          <w:sz w:val="32"/>
          <w:szCs w:val="32"/>
        </w:rPr>
      </w:pPr>
      <w:r>
        <w:rPr>
          <w:rFonts w:hint="eastAsia" w:ascii="仿宋_GB2312" w:hAnsi="仿宋_GB2312" w:eastAsia="仿宋_GB2312" w:cs="仿宋_GB2312"/>
          <w:sz w:val="32"/>
          <w:szCs w:val="32"/>
        </w:rPr>
        <w:t>2025年度一般公共预算财政拨款支出45305.17万元，占本年支出合计的68.1%。与2024年度相比，一般公共预算财政拨款支出增加19411.66万元，增长75%。主要变动原因是项目支出增加。</w:t>
      </w:r>
    </w:p>
    <w:p>
      <w:pPr>
        <w:pStyle w:val="9"/>
        <w:spacing w:before="93"/>
        <w:rPr>
          <w:rFonts w:ascii="仿宋" w:hAnsi="仿宋" w:eastAsia="仿宋"/>
          <w:sz w:val="32"/>
          <w:szCs w:val="32"/>
        </w:rPr>
      </w:pPr>
    </w:p>
    <w:p>
      <w:pPr>
        <w:pStyle w:val="9"/>
        <w:spacing w:before="93"/>
        <w:ind w:left="1277" w:leftChars="608" w:firstLine="6720" w:firstLineChars="2100"/>
      </w:pPr>
      <w:r>
        <w:rPr>
          <w:rFonts w:hint="eastAsia" w:hAnsi="仿宋_GB2312" w:cs="仿宋_GB2312"/>
          <w:sz w:val="32"/>
          <w:szCs w:val="32"/>
        </w:rPr>
        <w:drawing>
          <wp:anchor distT="0" distB="0" distL="114300" distR="114300" simplePos="0" relativeHeight="251663360" behindDoc="0" locked="0" layoutInCell="1" allowOverlap="1">
            <wp:simplePos x="0" y="0"/>
            <wp:positionH relativeFrom="column">
              <wp:posOffset>440690</wp:posOffset>
            </wp:positionH>
            <wp:positionV relativeFrom="paragraph">
              <wp:posOffset>175895</wp:posOffset>
            </wp:positionV>
            <wp:extent cx="4603750" cy="3376930"/>
            <wp:effectExtent l="5080" t="4445" r="20320" b="952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sz w:val="32"/>
          <w:szCs w:val="32"/>
        </w:rPr>
        <w:t xml:space="preserve"> </w:t>
      </w:r>
    </w:p>
    <w:p>
      <w:pPr>
        <w:spacing w:line="600" w:lineRule="exact"/>
        <w:ind w:firstLine="642" w:firstLineChars="200"/>
        <w:rPr>
          <w:rFonts w:ascii="仿宋" w:hAnsi="仿宋" w:eastAsia="仿宋"/>
          <w:b/>
          <w:sz w:val="32"/>
          <w:szCs w:val="32"/>
        </w:rPr>
      </w:pPr>
      <w:bookmarkStart w:id="49" w:name="_Toc15377211"/>
      <w:r>
        <w:rPr>
          <w:rFonts w:hint="eastAsia" w:ascii="仿宋" w:hAnsi="仿宋" w:eastAsia="仿宋"/>
          <w:b/>
          <w:sz w:val="32"/>
          <w:szCs w:val="32"/>
        </w:rPr>
        <w:t>（二）一般公共预算财政拨款支出决算结构情况</w:t>
      </w:r>
      <w:bookmarkEnd w:id="49"/>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2025年度一般公共预算财政拨款支出45305.17万元，主要用于以下方面:</w:t>
      </w:r>
      <w:r>
        <w:rPr>
          <w:rFonts w:hint="eastAsia" w:ascii="仿宋_GB2312" w:hAnsi="仿宋_GB2312" w:eastAsia="仿宋_GB2312" w:cs="仿宋_GB2312"/>
          <w:b/>
          <w:sz w:val="32"/>
          <w:szCs w:val="32"/>
        </w:rPr>
        <w:t>一般公共服务</w:t>
      </w:r>
      <w:r>
        <w:rPr>
          <w:rFonts w:hint="eastAsia" w:ascii="仿宋_GB2312" w:hAnsi="仿宋_GB2312" w:eastAsia="仿宋_GB2312" w:cs="仿宋_GB2312"/>
          <w:b/>
          <w:bCs/>
          <w:sz w:val="32"/>
          <w:szCs w:val="32"/>
        </w:rPr>
        <w:t>支出13.44</w:t>
      </w:r>
      <w:r>
        <w:rPr>
          <w:rFonts w:hint="eastAsia" w:ascii="仿宋_GB2312" w:hAnsi="仿宋_GB2312" w:eastAsia="仿宋_GB2312" w:cs="仿宋_GB2312"/>
          <w:sz w:val="32"/>
          <w:szCs w:val="32"/>
        </w:rPr>
        <w:t>万元，占0.03%；</w:t>
      </w:r>
      <w:r>
        <w:rPr>
          <w:rFonts w:hint="eastAsia" w:ascii="仿宋_GB2312" w:hAnsi="仿宋_GB2312" w:eastAsia="仿宋_GB2312" w:cs="仿宋_GB2312"/>
          <w:b/>
          <w:sz w:val="32"/>
          <w:szCs w:val="32"/>
        </w:rPr>
        <w:t>社会保障和就业</w:t>
      </w:r>
      <w:r>
        <w:rPr>
          <w:rFonts w:hint="eastAsia" w:ascii="仿宋_GB2312" w:hAnsi="仿宋_GB2312" w:eastAsia="仿宋_GB2312" w:cs="仿宋_GB2312"/>
          <w:b/>
          <w:bCs/>
          <w:sz w:val="32"/>
          <w:szCs w:val="32"/>
        </w:rPr>
        <w:t>支出5588.85</w:t>
      </w:r>
      <w:r>
        <w:rPr>
          <w:rFonts w:hint="eastAsia" w:ascii="仿宋_GB2312" w:hAnsi="仿宋_GB2312" w:eastAsia="仿宋_GB2312" w:cs="仿宋_GB2312"/>
          <w:sz w:val="32"/>
          <w:szCs w:val="32"/>
        </w:rPr>
        <w:t>万元，占12.3%；</w:t>
      </w:r>
      <w:r>
        <w:rPr>
          <w:rFonts w:hint="eastAsia" w:ascii="仿宋_GB2312" w:hAnsi="仿宋_GB2312" w:eastAsia="仿宋_GB2312" w:cs="仿宋_GB2312"/>
          <w:b/>
          <w:bCs/>
          <w:sz w:val="32"/>
          <w:szCs w:val="32"/>
        </w:rPr>
        <w:t>卫生健康支出734.58</w:t>
      </w:r>
      <w:r>
        <w:rPr>
          <w:rFonts w:hint="eastAsia" w:ascii="仿宋_GB2312" w:hAnsi="仿宋_GB2312" w:eastAsia="仿宋_GB2312" w:cs="仿宋_GB2312"/>
          <w:sz w:val="32"/>
          <w:szCs w:val="32"/>
        </w:rPr>
        <w:t>万元，占1.6%；</w:t>
      </w:r>
      <w:r>
        <w:rPr>
          <w:rFonts w:hint="eastAsia" w:ascii="仿宋_GB2312" w:hAnsi="仿宋_GB2312" w:eastAsia="仿宋_GB2312" w:cs="仿宋_GB2312"/>
          <w:b/>
          <w:bCs/>
          <w:sz w:val="32"/>
          <w:szCs w:val="32"/>
        </w:rPr>
        <w:t>农林水支出6100</w:t>
      </w:r>
      <w:r>
        <w:rPr>
          <w:rFonts w:hint="eastAsia" w:ascii="仿宋_GB2312" w:hAnsi="仿宋_GB2312" w:eastAsia="仿宋_GB2312" w:cs="仿宋_GB2312"/>
          <w:sz w:val="32"/>
          <w:szCs w:val="32"/>
        </w:rPr>
        <w:t>万元，占13.5%；</w:t>
      </w:r>
      <w:r>
        <w:rPr>
          <w:rFonts w:hint="eastAsia" w:ascii="仿宋_GB2312" w:hAnsi="仿宋_GB2312" w:eastAsia="仿宋_GB2312" w:cs="仿宋_GB2312"/>
          <w:b/>
          <w:bCs/>
          <w:sz w:val="32"/>
          <w:szCs w:val="32"/>
        </w:rPr>
        <w:t>交通运输支出31800.8</w:t>
      </w:r>
      <w:r>
        <w:rPr>
          <w:rFonts w:hint="eastAsia" w:ascii="仿宋_GB2312" w:hAnsi="仿宋_GB2312" w:eastAsia="仿宋_GB2312" w:cs="仿宋_GB2312"/>
          <w:sz w:val="32"/>
          <w:szCs w:val="32"/>
        </w:rPr>
        <w:t>万元，占70.2%；</w:t>
      </w:r>
      <w:r>
        <w:rPr>
          <w:rFonts w:hint="eastAsia" w:ascii="仿宋_GB2312" w:hAnsi="仿宋_GB2312" w:eastAsia="仿宋_GB2312" w:cs="仿宋_GB2312"/>
          <w:b/>
          <w:bCs/>
          <w:sz w:val="32"/>
          <w:szCs w:val="32"/>
        </w:rPr>
        <w:t>住房保障支出987.49</w:t>
      </w:r>
      <w:r>
        <w:rPr>
          <w:rFonts w:hint="eastAsia" w:ascii="仿宋_GB2312" w:hAnsi="仿宋_GB2312" w:eastAsia="仿宋_GB2312" w:cs="仿宋_GB2312"/>
          <w:sz w:val="32"/>
          <w:szCs w:val="32"/>
        </w:rPr>
        <w:t>万元，占2.2%；</w:t>
      </w:r>
      <w:r>
        <w:rPr>
          <w:rFonts w:hint="eastAsia" w:ascii="仿宋_GB2312" w:hAnsi="仿宋_GB2312" w:eastAsia="仿宋_GB2312" w:cs="仿宋_GB2312"/>
          <w:b/>
          <w:bCs/>
          <w:sz w:val="32"/>
          <w:szCs w:val="32"/>
        </w:rPr>
        <w:t>其他支出80</w:t>
      </w:r>
      <w:r>
        <w:rPr>
          <w:rFonts w:hint="eastAsia" w:ascii="仿宋_GB2312" w:hAnsi="仿宋_GB2312" w:eastAsia="仿宋_GB2312" w:cs="仿宋_GB2312"/>
          <w:sz w:val="32"/>
          <w:szCs w:val="32"/>
        </w:rPr>
        <w:t>万元，占0.17%。</w:t>
      </w:r>
    </w:p>
    <w:p>
      <w:pPr>
        <w:spacing w:line="600" w:lineRule="exact"/>
        <w:ind w:firstLine="640" w:firstLineChars="200"/>
        <w:rPr>
          <w:rFonts w:ascii="仿宋_GB2312" w:hAnsi="仿宋_GB2312" w:eastAsia="仿宋_GB2312" w:cs="仿宋_GB2312"/>
          <w:sz w:val="32"/>
          <w:szCs w:val="32"/>
        </w:rPr>
      </w:pPr>
    </w:p>
    <w:p>
      <w:pPr>
        <w:pStyle w:val="9"/>
        <w:spacing w:before="93"/>
        <w:rPr>
          <w:rFonts w:ascii="仿宋" w:hAnsi="仿宋" w:eastAsia="仿宋"/>
          <w:sz w:val="32"/>
          <w:szCs w:val="32"/>
        </w:rPr>
      </w:pPr>
    </w:p>
    <w:p>
      <w:pPr>
        <w:pStyle w:val="9"/>
        <w:spacing w:before="93"/>
        <w:rPr>
          <w:rFonts w:ascii="仿宋" w:hAnsi="仿宋" w:eastAsia="仿宋"/>
          <w:sz w:val="32"/>
          <w:szCs w:val="32"/>
        </w:rPr>
      </w:pPr>
    </w:p>
    <w:p>
      <w:pPr>
        <w:pStyle w:val="9"/>
        <w:spacing w:before="93"/>
        <w:rPr>
          <w:rFonts w:ascii="仿宋" w:hAnsi="仿宋" w:eastAsia="仿宋"/>
          <w:sz w:val="32"/>
          <w:szCs w:val="32"/>
        </w:rPr>
      </w:pPr>
      <w:r>
        <w:rPr>
          <w:rFonts w:hint="eastAsia" w:ascii="仿宋" w:hAnsi="仿宋" w:eastAsia="仿宋"/>
          <w:sz w:val="32"/>
          <w:szCs w:val="32"/>
        </w:rPr>
        <w:drawing>
          <wp:inline distT="0" distB="0" distL="114300" distR="114300">
            <wp:extent cx="5080000" cy="4901565"/>
            <wp:effectExtent l="0" t="0" r="6350" b="1333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rPr>
          <w:rFonts w:ascii="仿宋" w:hAnsi="仿宋" w:eastAsia="仿宋"/>
          <w:sz w:val="32"/>
          <w:szCs w:val="32"/>
        </w:rPr>
      </w:pPr>
    </w:p>
    <w:p>
      <w:pPr>
        <w:spacing w:line="600" w:lineRule="exact"/>
        <w:ind w:firstLine="642" w:firstLineChars="200"/>
        <w:outlineLvl w:val="2"/>
        <w:rPr>
          <w:rFonts w:ascii="仿宋" w:hAnsi="仿宋" w:eastAsia="仿宋"/>
          <w:b/>
          <w:sz w:val="32"/>
          <w:szCs w:val="32"/>
        </w:rPr>
      </w:pPr>
      <w:bookmarkStart w:id="50" w:name="_Toc15377212"/>
      <w:r>
        <w:rPr>
          <w:rFonts w:hint="eastAsia" w:ascii="仿宋" w:hAnsi="仿宋" w:eastAsia="仿宋"/>
          <w:b/>
          <w:sz w:val="32"/>
          <w:szCs w:val="32"/>
        </w:rPr>
        <w:t>（三）一般公共预算财政拨款支出决算具体情况</w:t>
      </w:r>
      <w:bookmarkEnd w:id="50"/>
    </w:p>
    <w:p>
      <w:pPr>
        <w:spacing w:line="600" w:lineRule="exact"/>
        <w:ind w:firstLine="640"/>
        <w:rPr>
          <w:rFonts w:ascii="仿宋_GB2312" w:hAnsi="仿宋_GB2312" w:eastAsia="仿宋_GB2312" w:cs="仿宋_GB2312"/>
          <w:sz w:val="32"/>
          <w:szCs w:val="32"/>
        </w:rPr>
      </w:pPr>
      <w:bookmarkStart w:id="51" w:name="_Toc15377444"/>
      <w:bookmarkStart w:id="52" w:name="_Toc15378460"/>
      <w:bookmarkStart w:id="53" w:name="_Toc15377213"/>
      <w:bookmarkStart w:id="54" w:name="_Toc15377214"/>
      <w:bookmarkStart w:id="55" w:name="_Toc15396608"/>
      <w:r>
        <w:rPr>
          <w:rFonts w:hint="eastAsia" w:ascii="仿宋_GB2312" w:hAnsi="仿宋_GB2312" w:eastAsia="仿宋_GB2312" w:cs="仿宋_GB2312"/>
          <w:sz w:val="32"/>
          <w:szCs w:val="32"/>
        </w:rPr>
        <w:t>2025年度一般公共预算财政拨款支出决算数为45305.17，完成预算100%。其中：</w:t>
      </w:r>
      <w:bookmarkEnd w:id="51"/>
      <w:bookmarkEnd w:id="52"/>
      <w:bookmarkEnd w:id="53"/>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1.一般公共服务支出（类）组织事务（款）其他组织事务支出（项）：支出决算为13.44万元，完成预算100%。</w:t>
      </w:r>
    </w:p>
    <w:p>
      <w:pPr>
        <w:pStyle w:val="9"/>
        <w:spacing w:before="93"/>
        <w:ind w:firstLine="640" w:firstLineChars="200"/>
        <w:rPr>
          <w:rFonts w:hAnsi="仿宋_GB2312" w:cs="仿宋_GB2312"/>
          <w:bCs/>
          <w:sz w:val="32"/>
          <w:szCs w:val="32"/>
        </w:rPr>
      </w:pPr>
      <w:r>
        <w:rPr>
          <w:rFonts w:hint="eastAsia" w:hAnsi="仿宋_GB2312" w:cs="仿宋_GB2312"/>
          <w:bCs/>
          <w:sz w:val="32"/>
          <w:szCs w:val="32"/>
        </w:rPr>
        <w:t>2.社会保障和就业支出（类）人力资源和社会保障管理事务（款）其他人力资源和社会保障管理事务支出（项）:支出决算为17.37万元，完成预算100%。</w:t>
      </w:r>
    </w:p>
    <w:p>
      <w:pPr>
        <w:pStyle w:val="9"/>
        <w:spacing w:before="93"/>
        <w:ind w:firstLine="640" w:firstLineChars="200"/>
        <w:rPr>
          <w:rFonts w:hAnsi="仿宋_GB2312" w:cs="仿宋_GB2312"/>
          <w:bCs/>
          <w:sz w:val="32"/>
          <w:szCs w:val="32"/>
        </w:rPr>
      </w:pPr>
      <w:r>
        <w:rPr>
          <w:rFonts w:hint="eastAsia" w:hAnsi="仿宋_GB2312" w:cs="仿宋_GB2312"/>
          <w:bCs/>
          <w:sz w:val="32"/>
          <w:szCs w:val="32"/>
        </w:rPr>
        <w:t>3.社会保障和就业支出（类）行政事业单位养老支出（款）行政单位离退休（项）:支出决算为424.99万元，完成预算100%。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4.社会保障和就业支出（类）行政事业单位养老支出（款）事业单位离退休（项）:支出决算为2971.03万元，完成预算100%。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5.社会保障和就业支出（类）行政事业单位养老支出（款）机关事业单位基本养老保险缴费支出（项）:支出决算为1302.14万元，完成预算100%。</w:t>
      </w:r>
    </w:p>
    <w:p>
      <w:pPr>
        <w:ind w:firstLine="640" w:firstLineChars="200"/>
        <w:rPr>
          <w:rFonts w:ascii="仿宋_GB2312" w:hAnsi="仿宋_GB2312" w:eastAsia="仿宋_GB2312" w:cs="仿宋_GB2312"/>
        </w:rPr>
      </w:pPr>
      <w:r>
        <w:rPr>
          <w:rFonts w:hint="eastAsia" w:ascii="仿宋_GB2312" w:hAnsi="仿宋_GB2312" w:eastAsia="仿宋_GB2312" w:cs="仿宋_GB2312"/>
          <w:bCs/>
          <w:sz w:val="32"/>
          <w:szCs w:val="32"/>
        </w:rPr>
        <w:t>6.社会保障和就业支出（类）行政事业单位养老支出（款）机关事业单位职业年金缴费支出（项）:支出决算为504.08万元，完成预算100%。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7.社会保障和就业支出（类）抚恤（款）死亡抚恤（项）:支出决算为368.63万元，完成预算100%。</w:t>
      </w:r>
    </w:p>
    <w:p>
      <w:pPr>
        <w:pStyle w:val="9"/>
        <w:spacing w:before="93"/>
        <w:rPr>
          <w:rFonts w:hAnsi="仿宋_GB2312" w:cs="仿宋_GB2312"/>
          <w:bCs/>
          <w:sz w:val="32"/>
          <w:szCs w:val="32"/>
        </w:rPr>
      </w:pPr>
      <w:r>
        <w:rPr>
          <w:rFonts w:hint="eastAsia" w:hAnsi="仿宋_GB2312" w:cs="仿宋_GB2312"/>
          <w:bCs/>
          <w:sz w:val="32"/>
          <w:szCs w:val="32"/>
        </w:rPr>
        <w:t xml:space="preserve">    8.社会保障和就业支出（类）社会福利（款）儿童福利（项）：支出决算为0.62万元，完成预算100%。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9.卫生健康支出（类）行政事业单位医疗（款）行政单位医疗（项）:支出决算为253.16万元，完成预算100%。</w:t>
      </w:r>
    </w:p>
    <w:p>
      <w:pPr>
        <w:ind w:firstLine="640" w:firstLineChars="200"/>
        <w:rPr>
          <w:rFonts w:ascii="仿宋_GB2312" w:hAnsi="仿宋_GB2312" w:eastAsia="仿宋_GB2312" w:cs="仿宋_GB2312"/>
        </w:rPr>
      </w:pPr>
      <w:r>
        <w:rPr>
          <w:rFonts w:hint="eastAsia" w:ascii="仿宋_GB2312" w:hAnsi="仿宋_GB2312" w:eastAsia="仿宋_GB2312" w:cs="仿宋_GB2312"/>
          <w:bCs/>
          <w:sz w:val="32"/>
          <w:szCs w:val="32"/>
        </w:rPr>
        <w:t>10.卫生健康支出（类）行政事业单位医疗（款）事业单位医疗（项）:支出决算为382.86万元，完成预算100%。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11.卫生健康支出（类）行政事业单位医疗（款）公务员医疗补助（项）:支出决算为78.79万元，完成预算100%。</w:t>
      </w:r>
    </w:p>
    <w:p>
      <w:pPr>
        <w:pStyle w:val="9"/>
        <w:spacing w:before="93"/>
        <w:ind w:firstLine="640"/>
        <w:rPr>
          <w:rFonts w:hAnsi="仿宋_GB2312" w:cs="仿宋_GB2312"/>
          <w:bCs/>
          <w:sz w:val="32"/>
          <w:szCs w:val="32"/>
        </w:rPr>
      </w:pPr>
      <w:r>
        <w:rPr>
          <w:rFonts w:hint="eastAsia" w:hAnsi="仿宋_GB2312" w:cs="仿宋_GB2312"/>
          <w:bCs/>
          <w:sz w:val="32"/>
          <w:szCs w:val="32"/>
        </w:rPr>
        <w:t>12.卫生健康支出（类）行政事业单位医疗（款）其他行政事业单位医疗支出（项）:支出决算为19.41万元，完成预算100%。</w:t>
      </w:r>
    </w:p>
    <w:p>
      <w:pPr>
        <w:pStyle w:val="9"/>
        <w:spacing w:before="93"/>
        <w:ind w:firstLine="640"/>
        <w:rPr>
          <w:rFonts w:hAnsi="仿宋_GB2312" w:cs="仿宋_GB2312"/>
          <w:bCs/>
          <w:sz w:val="32"/>
          <w:szCs w:val="32"/>
        </w:rPr>
      </w:pPr>
      <w:r>
        <w:rPr>
          <w:rFonts w:hint="eastAsia" w:hAnsi="仿宋_GB2312" w:cs="仿宋_GB2312"/>
          <w:bCs/>
          <w:sz w:val="32"/>
          <w:szCs w:val="32"/>
        </w:rPr>
        <w:t>13.卫生健康支出（类）其他卫生健康支出（款）其他卫生健康支出（项）:支出决算为0.36万元，完成预算100%。</w:t>
      </w:r>
    </w:p>
    <w:p>
      <w:pPr>
        <w:pStyle w:val="9"/>
        <w:spacing w:before="93"/>
        <w:ind w:firstLine="640"/>
        <w:rPr>
          <w:rFonts w:hAnsi="仿宋_GB2312" w:cs="仿宋_GB2312"/>
          <w:bCs/>
          <w:sz w:val="32"/>
          <w:szCs w:val="32"/>
        </w:rPr>
      </w:pPr>
      <w:r>
        <w:rPr>
          <w:rFonts w:hint="eastAsia" w:hAnsi="仿宋_GB2312" w:cs="仿宋_GB2312"/>
          <w:bCs/>
          <w:sz w:val="32"/>
          <w:szCs w:val="32"/>
        </w:rPr>
        <w:t>14.农林水支出（类）农业农村（款）农村社会事业（项）:支出决算为6100万元，完成预算100%。</w:t>
      </w:r>
    </w:p>
    <w:p>
      <w:pPr>
        <w:pStyle w:val="9"/>
        <w:spacing w:before="93"/>
        <w:ind w:firstLine="640"/>
        <w:rPr>
          <w:rFonts w:hAnsi="仿宋_GB2312" w:cs="仿宋_GB2312"/>
          <w:bCs/>
          <w:sz w:val="32"/>
          <w:szCs w:val="32"/>
        </w:rPr>
      </w:pPr>
      <w:r>
        <w:rPr>
          <w:rFonts w:hint="eastAsia" w:hAnsi="仿宋_GB2312" w:cs="仿宋_GB2312"/>
          <w:bCs/>
          <w:sz w:val="32"/>
          <w:szCs w:val="32"/>
        </w:rPr>
        <w:t>15.交通运输支出（类）公路水路运输（款）行政运行（项）:支出决算为4579.04万元，完成预算100%。</w:t>
      </w:r>
    </w:p>
    <w:p>
      <w:pPr>
        <w:pStyle w:val="9"/>
        <w:spacing w:before="93"/>
        <w:ind w:firstLine="640"/>
        <w:rPr>
          <w:rFonts w:hAnsi="仿宋_GB2312" w:cs="仿宋_GB2312"/>
          <w:bCs/>
          <w:sz w:val="32"/>
          <w:szCs w:val="32"/>
        </w:rPr>
      </w:pPr>
      <w:r>
        <w:rPr>
          <w:rFonts w:hint="eastAsia" w:hAnsi="仿宋_GB2312" w:cs="仿宋_GB2312"/>
          <w:bCs/>
          <w:sz w:val="32"/>
          <w:szCs w:val="32"/>
        </w:rPr>
        <w:t>16.交通运输支出（类）公路水路运输（款）一般行政管理事务（项）:支出决算为42.64万元，完成预算100%。</w:t>
      </w:r>
    </w:p>
    <w:p>
      <w:pPr>
        <w:pStyle w:val="9"/>
        <w:spacing w:before="93"/>
        <w:ind w:firstLine="640"/>
        <w:rPr>
          <w:rFonts w:hAnsi="仿宋_GB2312" w:cs="仿宋_GB2312"/>
          <w:bCs/>
          <w:sz w:val="32"/>
          <w:szCs w:val="32"/>
        </w:rPr>
      </w:pPr>
      <w:r>
        <w:rPr>
          <w:rFonts w:hint="eastAsia" w:hAnsi="仿宋_GB2312" w:cs="仿宋_GB2312"/>
          <w:bCs/>
          <w:sz w:val="32"/>
          <w:szCs w:val="32"/>
        </w:rPr>
        <w:t>17.交通运输支出（类）公路水路运输（款）机关服务（项）:支出决算为5532.12万元，完成预算100%。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18.交通运输支出（类）公路水路运输（款）公路养护（项）:支出决算为266.47万元，完成预算100%。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19.交通运输支出（类）公路水路运输（款）交通运输信息化建设（项）:支出决算为40万元，完成预算100%。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20.交通运输支出（类）公路水路运输（款）公路和运输安全（项）:支出决算为8万元，完成预算100%。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21.交通运输支出（类）公路水路运输（款）公路运输管理（项）:支出决算为276.65万元，完成预算100%。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22.交通运输支出（类）公路水路运输（款）海事管理（项）:支出决算为2万元，完成预算100%。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23.交通运输支出（类）公路水路运输（款）其他公路水路运输支出（项）:支出决算为14385.51万元，完成预算100%。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24.交通运输支出（类）民用航空运输（款）其他民用航空运输支出（项）:支出决算为6209.37万元，完成预算100%。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25.交通运输支出（类）其他交通运输支出（款）其他交通运输支出（项）:支出决算为459万元，完成预算100%。</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26.住房保障支出（类）住房改革支出（款）住房公积金（项）:支出决算为987.49万元，完成预算100%。</w:t>
      </w:r>
    </w:p>
    <w:p>
      <w:pPr>
        <w:pStyle w:val="9"/>
        <w:spacing w:before="93"/>
        <w:rPr>
          <w:rFonts w:hAnsi="仿宋_GB2312" w:cs="仿宋_GB2312"/>
          <w:bCs/>
          <w:sz w:val="32"/>
          <w:szCs w:val="32"/>
        </w:rPr>
      </w:pPr>
      <w:r>
        <w:rPr>
          <w:rFonts w:hint="eastAsia" w:hAnsi="仿宋_GB2312" w:cs="仿宋_GB2312"/>
          <w:bCs/>
          <w:sz w:val="32"/>
          <w:szCs w:val="32"/>
        </w:rPr>
        <w:t xml:space="preserve">    27.其他支出（类）其他支出（款）其他支出（项）：支出决算80万元，完成预算100%。</w:t>
      </w:r>
    </w:p>
    <w:p>
      <w:pPr>
        <w:tabs>
          <w:tab w:val="right" w:pos="8306"/>
        </w:tabs>
        <w:spacing w:line="600" w:lineRule="exact"/>
        <w:ind w:firstLine="640"/>
        <w:outlineLvl w:val="1"/>
        <w:rPr>
          <w:rStyle w:val="36"/>
        </w:rPr>
      </w:pPr>
      <w:bookmarkStart w:id="56" w:name="_Toc6989"/>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6"/>
          <w:rFonts w:hint="eastAsia" w:ascii="黑体" w:hAnsi="黑体" w:eastAsia="黑体"/>
          <w:b w:val="0"/>
        </w:rPr>
        <w:t>般公共预算财政拨款基本支出决算情况说明</w:t>
      </w:r>
      <w:bookmarkEnd w:id="54"/>
      <w:bookmarkEnd w:id="55"/>
      <w:bookmarkEnd w:id="56"/>
      <w:r>
        <w:rPr>
          <w:rStyle w:val="36"/>
          <w:rFonts w:ascii="黑体" w:hAnsi="黑体" w:eastAsia="黑体"/>
          <w:b w:val="0"/>
        </w:rPr>
        <w:tab/>
      </w:r>
    </w:p>
    <w:p>
      <w:pPr>
        <w:spacing w:line="600" w:lineRule="exact"/>
        <w:ind w:firstLine="640"/>
        <w:rPr>
          <w:rFonts w:ascii="仿宋_GB2312" w:hAnsi="仿宋_GB2312" w:eastAsia="仿宋_GB2312" w:cs="仿宋_GB2312"/>
          <w:sz w:val="32"/>
          <w:szCs w:val="32"/>
        </w:rPr>
      </w:pPr>
      <w:bookmarkStart w:id="57" w:name="_Toc15396609"/>
      <w:bookmarkStart w:id="58" w:name="_Toc15377215"/>
      <w:r>
        <w:rPr>
          <w:rFonts w:hint="eastAsia" w:ascii="仿宋_GB2312" w:hAnsi="仿宋_GB2312" w:eastAsia="仿宋_GB2312" w:cs="仿宋_GB2312"/>
          <w:sz w:val="32"/>
          <w:szCs w:val="32"/>
        </w:rPr>
        <w:t>2025年度一般公共预算财政拨款基本支出17435.53万元，其中：</w:t>
      </w:r>
    </w:p>
    <w:p>
      <w:pPr>
        <w:spacing w:line="600" w:lineRule="exact"/>
        <w:ind w:firstLine="645"/>
        <w:rPr>
          <w:rFonts w:ascii="仿宋_GB2312" w:hAnsi="仿宋_GB2312"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16845.86万</w:t>
      </w:r>
      <w:r>
        <w:rPr>
          <w:rFonts w:hint="eastAsia" w:eastAsia="仿宋_GB2312" w:cs="仿宋_GB2312"/>
          <w:sz w:val="32"/>
          <w:szCs w:val="32"/>
        </w:rPr>
        <w:t>元，</w:t>
      </w:r>
      <w:r>
        <w:rPr>
          <w:rFonts w:hint="eastAsia" w:ascii="仿宋_GB2312" w:hAnsi="仿宋_GB2312" w:eastAsia="仿宋_GB2312" w:cs="仿宋_GB2312"/>
          <w:sz w:val="32"/>
          <w:szCs w:val="32"/>
        </w:rPr>
        <w:t>主要包括：基本工资、津贴补贴、奖金、绩效工资、机关事业单位基本养老保险缴费、职业年金缴费、其他社会保障缴费、其他工资福利支出、离休费、抚恤金、生活补助、医疗费补助、奖励金、住房公积金、其他对个人和家庭的补助支出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公用经费589.67万元，主要包括：办公费、水费、电费、邮电费、差旅费、公务接待费、劳务费、委托业务费、工会经费、福利费、公务用车运行维护费、其他交通费、其他商品和服务支出等。</w:t>
      </w:r>
    </w:p>
    <w:p>
      <w:pPr>
        <w:spacing w:line="600" w:lineRule="exact"/>
        <w:ind w:firstLine="640"/>
        <w:outlineLvl w:val="1"/>
        <w:rPr>
          <w:rStyle w:val="36"/>
          <w:rFonts w:ascii="黑体" w:hAnsi="黑体" w:eastAsia="黑体"/>
          <w:b w:val="0"/>
        </w:rPr>
      </w:pPr>
      <w:bookmarkStart w:id="59" w:name="_Toc18413"/>
      <w:r>
        <w:rPr>
          <w:rFonts w:hint="eastAsia" w:ascii="黑体" w:eastAsia="黑体"/>
          <w:sz w:val="32"/>
          <w:szCs w:val="32"/>
        </w:rPr>
        <w:t>七、</w:t>
      </w:r>
      <w:r>
        <w:rPr>
          <w:rStyle w:val="36"/>
          <w:rFonts w:hint="eastAsia" w:ascii="黑体" w:hAnsi="黑体" w:eastAsia="黑体"/>
          <w:b w:val="0"/>
        </w:rPr>
        <w:t>财政拨款</w:t>
      </w:r>
      <w:r>
        <w:rPr>
          <w:rStyle w:val="36"/>
          <w:rFonts w:hint="eastAsia" w:ascii="黑体" w:hAnsi="黑体" w:eastAsia="黑体"/>
        </w:rPr>
        <w:t>“</w:t>
      </w:r>
      <w:r>
        <w:rPr>
          <w:rStyle w:val="36"/>
          <w:rFonts w:hint="eastAsia" w:ascii="黑体" w:hAnsi="黑体" w:eastAsia="黑体"/>
          <w:b w:val="0"/>
        </w:rPr>
        <w:t>三公”经费支出决算情况说明</w:t>
      </w:r>
      <w:bookmarkEnd w:id="57"/>
      <w:bookmarkEnd w:id="58"/>
      <w:bookmarkEnd w:id="59"/>
    </w:p>
    <w:p>
      <w:pPr>
        <w:spacing w:line="600" w:lineRule="exact"/>
        <w:ind w:firstLine="640"/>
        <w:outlineLvl w:val="2"/>
        <w:rPr>
          <w:rFonts w:ascii="仿宋" w:hAnsi="仿宋" w:eastAsia="仿宋"/>
          <w:b/>
          <w:sz w:val="32"/>
          <w:szCs w:val="32"/>
        </w:rPr>
      </w:pPr>
      <w:bookmarkStart w:id="60" w:name="_Toc15377216"/>
      <w:r>
        <w:rPr>
          <w:rFonts w:hint="eastAsia" w:ascii="仿宋" w:hAnsi="仿宋" w:eastAsia="仿宋"/>
          <w:b/>
          <w:sz w:val="32"/>
          <w:szCs w:val="32"/>
        </w:rPr>
        <w:t>（一）“三公”经费财政拨款支出决算总体情况说明</w:t>
      </w:r>
      <w:bookmarkEnd w:id="60"/>
    </w:p>
    <w:p>
      <w:pPr>
        <w:spacing w:line="600" w:lineRule="exact"/>
        <w:ind w:firstLine="640"/>
        <w:rPr>
          <w:rFonts w:ascii="仿宋_GB2312" w:hAnsi="仿宋_GB2312" w:eastAsia="仿宋_GB2312" w:cs="仿宋_GB2312"/>
          <w:sz w:val="32"/>
          <w:szCs w:val="32"/>
        </w:rPr>
      </w:pPr>
      <w:bookmarkStart w:id="61" w:name="_Toc15377217"/>
      <w:r>
        <w:rPr>
          <w:rFonts w:hint="eastAsia" w:ascii="仿宋_GB2312" w:hAnsi="仿宋_GB2312" w:eastAsia="仿宋_GB2312" w:cs="仿宋_GB2312"/>
          <w:sz w:val="32"/>
          <w:szCs w:val="32"/>
        </w:rPr>
        <w:t>2025年度“三公”经费财政拨款支出决算为21.04万元，完成预算100%，较上年度减少2.13万元，下降9.2%。决算数与预算数持平。</w:t>
      </w:r>
    </w:p>
    <w:p>
      <w:pPr>
        <w:spacing w:line="600" w:lineRule="exact"/>
        <w:ind w:firstLine="640"/>
        <w:outlineLvl w:val="2"/>
        <w:rPr>
          <w:rFonts w:ascii="仿宋" w:hAnsi="仿宋" w:eastAsia="仿宋"/>
          <w:b/>
          <w:sz w:val="32"/>
          <w:szCs w:val="32"/>
        </w:rPr>
      </w:pPr>
      <w:r>
        <w:rPr>
          <w:rFonts w:hint="eastAsia" w:ascii="仿宋" w:hAnsi="仿宋" w:eastAsia="仿宋"/>
          <w:b/>
          <w:sz w:val="32"/>
          <w:szCs w:val="32"/>
        </w:rPr>
        <w:t>（二）“三公”经费财政拨款支出决算具体情况说明</w:t>
      </w:r>
      <w:bookmarkEnd w:id="61"/>
    </w:p>
    <w:p>
      <w:pPr>
        <w:spacing w:line="600" w:lineRule="exact"/>
        <w:ind w:firstLine="640"/>
        <w:rPr>
          <w:rFonts w:ascii="仿宋" w:hAnsi="仿宋" w:eastAsia="仿宋"/>
          <w:sz w:val="32"/>
          <w:szCs w:val="32"/>
        </w:rPr>
      </w:pPr>
      <w:r>
        <w:rPr>
          <w:rFonts w:hint="eastAsia" w:ascii="仿宋_GB2312" w:hAnsi="仿宋_GB2312" w:eastAsia="仿宋_GB2312" w:cs="仿宋_GB2312"/>
          <w:sz w:val="32"/>
          <w:szCs w:val="32"/>
        </w:rPr>
        <w:t>2025年度“三公”经费财政拨款支出决算中，因公出国（境）费支出决算0万元，占0%；公务用车购置及运行维护费支出决算19.73万元，占93.8%；公务接待费支出决算1.31万元，占6.2%。具体情况如下：</w:t>
      </w:r>
    </w:p>
    <w:p>
      <w:pPr>
        <w:spacing w:line="600" w:lineRule="exact"/>
        <w:ind w:firstLine="640"/>
        <w:rPr>
          <w:rFonts w:ascii="仿宋" w:hAnsi="仿宋" w:eastAsia="仿宋"/>
          <w:sz w:val="32"/>
          <w:szCs w:val="32"/>
        </w:rPr>
      </w:pPr>
    </w:p>
    <w:p>
      <w:pPr>
        <w:pStyle w:val="9"/>
        <w:spacing w:before="93"/>
        <w:rPr>
          <w:rFonts w:hAnsi="仿宋_GB2312" w:cs="仿宋_GB2312"/>
          <w:sz w:val="32"/>
          <w:szCs w:val="32"/>
        </w:rPr>
      </w:pPr>
      <w:r>
        <w:rPr>
          <w:rFonts w:hint="eastAsia" w:hAnsi="仿宋_GB2312" w:cs="仿宋_GB2312"/>
          <w:sz w:val="32"/>
          <w:szCs w:val="32"/>
        </w:rPr>
        <w:drawing>
          <wp:inline distT="0" distB="0" distL="114300" distR="114300">
            <wp:extent cx="5030470" cy="2851150"/>
            <wp:effectExtent l="4445" t="4445" r="13335" b="2095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b/>
          <w:sz w:val="32"/>
          <w:szCs w:val="32"/>
        </w:rPr>
        <w:t>1.因公出国（境）经费支出</w:t>
      </w:r>
      <w:r>
        <w:rPr>
          <w:rFonts w:hint="eastAsia" w:ascii="仿宋_GB2312" w:hAnsi="仿宋_GB2312" w:eastAsia="仿宋_GB2312" w:cs="仿宋_GB2312"/>
          <w:sz w:val="32"/>
          <w:szCs w:val="32"/>
        </w:rPr>
        <w:t>0万元，全年安排因公出国（境）团组0次，出国（境）0人。因公出国（境）支出决算与2023年相同无变化。</w:t>
      </w:r>
    </w:p>
    <w:p>
      <w:pPr>
        <w:spacing w:line="600" w:lineRule="exact"/>
        <w:ind w:firstLine="640"/>
        <w:rPr>
          <w:rFonts w:ascii="仿宋_GB2312" w:hAnsi="仿宋_GB2312" w:eastAsia="仿宋_GB2312" w:cs="仿宋_GB2312"/>
          <w:b/>
          <w:color w:val="FF0000"/>
          <w:sz w:val="32"/>
          <w:szCs w:val="32"/>
        </w:rPr>
      </w:pPr>
      <w:r>
        <w:rPr>
          <w:rFonts w:hint="eastAsia" w:ascii="仿宋_GB2312" w:hAnsi="仿宋_GB2312" w:eastAsia="仿宋_GB2312" w:cs="仿宋_GB2312"/>
          <w:b/>
          <w:sz w:val="32"/>
          <w:szCs w:val="32"/>
        </w:rPr>
        <w:t>2.公务用车购置及运行维护费支出</w:t>
      </w:r>
      <w:r>
        <w:rPr>
          <w:rFonts w:hint="eastAsia" w:ascii="仿宋_GB2312" w:hAnsi="仿宋_GB2312" w:eastAsia="仿宋_GB2312" w:cs="仿宋_GB2312"/>
          <w:sz w:val="32"/>
          <w:szCs w:val="32"/>
        </w:rPr>
        <w:t>19.73万元,</w:t>
      </w:r>
      <w:r>
        <w:rPr>
          <w:rStyle w:val="22"/>
          <w:rFonts w:hint="eastAsia" w:ascii="仿宋_GB2312" w:hAnsi="仿宋_GB2312" w:eastAsia="仿宋_GB2312" w:cs="仿宋_GB2312"/>
          <w:b w:val="0"/>
          <w:bCs/>
          <w:sz w:val="32"/>
          <w:szCs w:val="32"/>
        </w:rPr>
        <w:t>完成预算100%。</w:t>
      </w:r>
      <w:r>
        <w:rPr>
          <w:rFonts w:hint="eastAsia" w:ascii="仿宋_GB2312" w:hAnsi="仿宋_GB2312" w:eastAsia="仿宋_GB2312" w:cs="仿宋_GB2312"/>
          <w:sz w:val="32"/>
          <w:szCs w:val="32"/>
        </w:rPr>
        <w:t>公务用车购置及运行维护费支出决算比2024年减少0.82万元，降低4%。主要原因是压缩开支。</w:t>
      </w:r>
    </w:p>
    <w:p>
      <w:pPr>
        <w:spacing w:line="600" w:lineRule="exact"/>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其中：</w:t>
      </w:r>
      <w:r>
        <w:rPr>
          <w:rFonts w:hint="eastAsia" w:ascii="仿宋_GB2312" w:hAnsi="仿宋_GB2312" w:eastAsia="仿宋_GB2312" w:cs="仿宋_GB2312"/>
          <w:b/>
          <w:sz w:val="32"/>
          <w:szCs w:val="32"/>
        </w:rPr>
        <w:t>公务用车购置支出</w:t>
      </w:r>
      <w:r>
        <w:rPr>
          <w:rFonts w:hint="eastAsia" w:ascii="仿宋_GB2312" w:hAnsi="仿宋_GB2312" w:eastAsia="仿宋_GB2312" w:cs="仿宋_GB2312"/>
          <w:sz w:val="32"/>
          <w:szCs w:val="32"/>
        </w:rPr>
        <w:t>0万元。全年未购置新车。截至2025年12月底，单位共有公务用车97辆，其中：轿车0辆、特种车72辆、执法车0辆，其他车25辆。</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公务用车运行维护费支出</w:t>
      </w:r>
      <w:r>
        <w:rPr>
          <w:rFonts w:hint="eastAsia" w:ascii="仿宋_GB2312" w:hAnsi="仿宋_GB2312" w:eastAsia="仿宋_GB2312" w:cs="仿宋_GB2312"/>
          <w:sz w:val="32"/>
          <w:szCs w:val="32"/>
        </w:rPr>
        <w:t>19.73万元。主要用于交通运输综合执法、公路建设及养护检查、道路水路运输服务等所需的公务用车燃料费、维修费、过路过桥费、保险费等支出。</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b/>
          <w:sz w:val="32"/>
          <w:szCs w:val="32"/>
        </w:rPr>
        <w:t>3.公务接待费支出1.31</w:t>
      </w:r>
      <w:r>
        <w:rPr>
          <w:rFonts w:hint="eastAsia" w:ascii="仿宋_GB2312" w:hAnsi="仿宋_GB2312" w:eastAsia="仿宋_GB2312" w:cs="仿宋_GB2312"/>
          <w:sz w:val="32"/>
          <w:szCs w:val="32"/>
        </w:rPr>
        <w:t>万元，</w:t>
      </w:r>
      <w:r>
        <w:rPr>
          <w:rStyle w:val="22"/>
          <w:rFonts w:hint="eastAsia" w:ascii="仿宋_GB2312" w:hAnsi="仿宋_GB2312" w:eastAsia="仿宋_GB2312" w:cs="仿宋_GB2312"/>
          <w:b w:val="0"/>
          <w:bCs/>
          <w:sz w:val="32"/>
          <w:szCs w:val="32"/>
        </w:rPr>
        <w:t>完成预算</w:t>
      </w:r>
      <w:r>
        <w:rPr>
          <w:rFonts w:hint="eastAsia" w:ascii="仿宋_GB2312" w:hAnsi="仿宋_GB2312" w:eastAsia="仿宋_GB2312" w:cs="仿宋_GB2312"/>
          <w:sz w:val="32"/>
          <w:szCs w:val="32"/>
        </w:rPr>
        <w:t>100%</w:t>
      </w:r>
      <w:r>
        <w:rPr>
          <w:rStyle w:val="22"/>
          <w:rFonts w:hint="eastAsia" w:ascii="仿宋_GB2312" w:hAnsi="仿宋_GB2312" w:eastAsia="仿宋_GB2312" w:cs="仿宋_GB2312"/>
          <w:b w:val="0"/>
          <w:bCs/>
          <w:sz w:val="32"/>
          <w:szCs w:val="32"/>
        </w:rPr>
        <w:t>。</w:t>
      </w:r>
      <w:r>
        <w:rPr>
          <w:rFonts w:hint="eastAsia" w:ascii="仿宋_GB2312" w:hAnsi="仿宋_GB2312" w:eastAsia="仿宋_GB2312" w:cs="仿宋_GB2312"/>
          <w:sz w:val="32"/>
          <w:szCs w:val="32"/>
        </w:rPr>
        <w:t>公务接待费支出决算比2024年度减少1.31万元，降低50%。主要原因是压缩开支，其中：</w:t>
      </w:r>
    </w:p>
    <w:p>
      <w:pPr>
        <w:spacing w:line="600" w:lineRule="exact"/>
        <w:ind w:firstLine="640"/>
        <w:rPr>
          <w:rFonts w:ascii="仿宋_GB2312" w:eastAsia="仿宋_GB2312"/>
          <w:color w:val="FF0000"/>
          <w:sz w:val="32"/>
          <w:szCs w:val="32"/>
        </w:rPr>
      </w:pPr>
      <w:r>
        <w:rPr>
          <w:rFonts w:hint="eastAsia" w:ascii="仿宋_GB2312" w:hAnsi="仿宋_GB2312" w:eastAsia="仿宋_GB2312" w:cs="仿宋_GB2312"/>
          <w:b/>
          <w:sz w:val="32"/>
          <w:szCs w:val="32"/>
        </w:rPr>
        <w:t>国内公务接待支出</w:t>
      </w:r>
      <w:r>
        <w:rPr>
          <w:rFonts w:hint="eastAsia" w:ascii="仿宋_GB2312" w:hAnsi="仿宋_GB2312" w:eastAsia="仿宋_GB2312" w:cs="仿宋_GB2312"/>
          <w:sz w:val="32"/>
          <w:szCs w:val="32"/>
        </w:rPr>
        <w:t>1.31万元，主要用于上级部门来攀检查接待、规划评审、民航对接、铁路部门对接等业务活动开支的用餐费等。国内公务接待13批次，93人次（不包括陪同人员），共计支出1.31万元，具体内容包括：</w:t>
      </w:r>
      <w:r>
        <w:rPr>
          <w:rFonts w:hint="eastAsia" w:ascii="仿宋_GB2312" w:hAnsi="仿宋_GB2312" w:eastAsia="仿宋_GB2312" w:cs="仿宋_GB2312"/>
          <w:bCs/>
          <w:sz w:val="32"/>
          <w:szCs w:val="32"/>
        </w:rPr>
        <w:t>接待省厅安委会督察组0.12万元，接待省厅森林防灭火督导组0.14万元，接待省厅安委会督导组0.12万元，接待省厅挂职干部到局0.12万元，接待省厅安全生产督导0.13万元，接待省厅包保督导组0.11万元，接待交通部科研院专家组来攀调研0.13万元，</w:t>
      </w:r>
      <w:r>
        <w:rPr>
          <w:rFonts w:hint="eastAsia" w:ascii="仿宋_GB2312" w:eastAsia="仿宋_GB2312"/>
          <w:color w:val="000000" w:themeColor="text1"/>
          <w:sz w:val="32"/>
          <w:szCs w:val="32"/>
          <w14:textFill>
            <w14:solidFill>
              <w14:schemeClr w14:val="tx1"/>
            </w14:solidFill>
          </w14:textFill>
        </w:rPr>
        <w:t>省交通运输综合行政执法总队来支队开展数字监督工作专项调研0.05万元，省航务海事管理事务中心到攀调研二滩库区拟建渡船船型事宜接待费0.07万元，省海事中心来攀采编宣传素材接待费0.05万元，楚雄海事局来攀考察学习接待费0.1万元，省交通厅来攀帮扶指导水路客运安全管理工作接待费0.07万元，</w:t>
      </w:r>
      <w:r>
        <w:rPr>
          <w:rFonts w:hint="eastAsia" w:eastAsia="仿宋_GB2312" w:cs="仿宋_GB2312"/>
          <w:sz w:val="32"/>
          <w:szCs w:val="32"/>
        </w:rPr>
        <w:t>接待四川省公交运输运行调度中心来攀开展交通运输运行调度工作调研0.1万元</w:t>
      </w:r>
      <w:r>
        <w:rPr>
          <w:rFonts w:hint="eastAsia" w:ascii="仿宋_GB2312" w:hAnsi="仿宋_GB2312" w:eastAsia="仿宋_GB2312" w:cs="仿宋_GB2312"/>
          <w:bCs/>
          <w:sz w:val="32"/>
          <w:szCs w:val="32"/>
        </w:rPr>
        <w:t>。</w:t>
      </w:r>
    </w:p>
    <w:p>
      <w:pPr>
        <w:spacing w:line="60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外事接待支出</w:t>
      </w:r>
      <w:r>
        <w:rPr>
          <w:rFonts w:hint="eastAsia" w:ascii="仿宋_GB2312" w:hAnsi="仿宋_GB2312" w:eastAsia="仿宋_GB2312" w:cs="仿宋_GB2312"/>
          <w:sz w:val="32"/>
          <w:szCs w:val="32"/>
        </w:rPr>
        <w:t>0万元。</w:t>
      </w:r>
      <w:bookmarkStart w:id="62" w:name="_Toc15377218"/>
      <w:bookmarkStart w:id="63" w:name="_Toc15396610"/>
    </w:p>
    <w:p>
      <w:pPr>
        <w:spacing w:line="600" w:lineRule="exact"/>
        <w:ind w:firstLine="640"/>
        <w:outlineLvl w:val="1"/>
        <w:rPr>
          <w:rStyle w:val="36"/>
          <w:rFonts w:ascii="黑体" w:hAnsi="黑体" w:eastAsia="黑体"/>
        </w:rPr>
      </w:pPr>
      <w:bookmarkStart w:id="64" w:name="_Toc5439"/>
      <w:r>
        <w:rPr>
          <w:rFonts w:hint="eastAsia" w:ascii="黑体" w:eastAsia="黑体"/>
          <w:sz w:val="32"/>
          <w:szCs w:val="32"/>
        </w:rPr>
        <w:t>八、</w:t>
      </w:r>
      <w:r>
        <w:rPr>
          <w:rStyle w:val="36"/>
          <w:rFonts w:hint="eastAsia" w:ascii="黑体" w:hAnsi="黑体" w:eastAsia="黑体"/>
          <w:b w:val="0"/>
        </w:rPr>
        <w:t>政府性基金预算支出决算情况说明</w:t>
      </w:r>
      <w:bookmarkEnd w:id="62"/>
      <w:bookmarkEnd w:id="63"/>
      <w:bookmarkEnd w:id="64"/>
    </w:p>
    <w:p>
      <w:pPr>
        <w:spacing w:line="600" w:lineRule="exact"/>
        <w:ind w:firstLine="640"/>
        <w:rPr>
          <w:rFonts w:ascii="仿宋_GB2312" w:hAnsi="仿宋_GB2312" w:eastAsia="仿宋_GB2312" w:cs="仿宋_GB2312"/>
          <w:sz w:val="32"/>
          <w:szCs w:val="32"/>
        </w:rPr>
      </w:pPr>
      <w:bookmarkStart w:id="65" w:name="_Toc15396611"/>
      <w:bookmarkStart w:id="66" w:name="_Toc15377219"/>
      <w:r>
        <w:rPr>
          <w:rFonts w:hint="eastAsia" w:ascii="仿宋_GB2312" w:hAnsi="仿宋_GB2312" w:eastAsia="仿宋_GB2312" w:cs="仿宋_GB2312"/>
          <w:sz w:val="32"/>
          <w:szCs w:val="32"/>
        </w:rPr>
        <w:t>2025年度政府性基金预算财政拨款支出21217.14万元，占本年支出合计的31.9%。与2024年度相比，政府性基金预算财政拨款支出增加4050.25万元，增长23.6%。主要变动原因是项目支出增加。</w:t>
      </w:r>
    </w:p>
    <w:p>
      <w:pPr>
        <w:numPr>
          <w:ilvl w:val="0"/>
          <w:numId w:val="3"/>
        </w:numPr>
        <w:spacing w:line="600" w:lineRule="exact"/>
        <w:ind w:firstLine="640"/>
        <w:outlineLvl w:val="1"/>
        <w:rPr>
          <w:rStyle w:val="36"/>
          <w:rFonts w:ascii="黑体" w:hAnsi="黑体" w:eastAsia="黑体"/>
          <w:b w:val="0"/>
        </w:rPr>
      </w:pPr>
      <w:bookmarkStart w:id="67" w:name="_Toc12260"/>
      <w:r>
        <w:rPr>
          <w:rStyle w:val="36"/>
          <w:rFonts w:hint="eastAsia" w:ascii="黑体" w:hAnsi="黑体" w:eastAsia="黑体"/>
          <w:b w:val="0"/>
        </w:rPr>
        <w:t>国有资本经营预算支出决算情况说明</w:t>
      </w:r>
      <w:bookmarkEnd w:id="65"/>
      <w:bookmarkEnd w:id="66"/>
      <w:bookmarkEnd w:id="67"/>
    </w:p>
    <w:p>
      <w:pPr>
        <w:spacing w:line="600" w:lineRule="exact"/>
        <w:ind w:firstLine="640"/>
        <w:rPr>
          <w:rFonts w:ascii="仿宋_GB2312" w:hAnsi="仿宋_GB2312" w:eastAsia="仿宋_GB2312" w:cs="仿宋_GB2312"/>
          <w:sz w:val="32"/>
          <w:szCs w:val="32"/>
        </w:rPr>
      </w:pPr>
      <w:bookmarkStart w:id="68" w:name="_Toc15396612"/>
      <w:bookmarkStart w:id="69" w:name="_Toc15377221"/>
      <w:r>
        <w:rPr>
          <w:rFonts w:hint="eastAsia" w:ascii="仿宋_GB2312" w:hAnsi="仿宋_GB2312" w:eastAsia="仿宋_GB2312" w:cs="仿宋_GB2312"/>
          <w:sz w:val="32"/>
          <w:szCs w:val="32"/>
        </w:rPr>
        <w:t>2025年度国有资本经营预算财政拨款支出0万元。</w:t>
      </w:r>
    </w:p>
    <w:p>
      <w:pPr>
        <w:numPr>
          <w:ilvl w:val="0"/>
          <w:numId w:val="3"/>
        </w:numPr>
        <w:spacing w:line="600" w:lineRule="exact"/>
        <w:ind w:firstLine="640"/>
        <w:outlineLvl w:val="1"/>
        <w:rPr>
          <w:rStyle w:val="36"/>
          <w:rFonts w:ascii="黑体" w:hAnsi="黑体" w:eastAsia="黑体"/>
          <w:b w:val="0"/>
        </w:rPr>
      </w:pPr>
      <w:bookmarkStart w:id="70" w:name="_Toc9105"/>
      <w:r>
        <w:rPr>
          <w:rStyle w:val="36"/>
          <w:rFonts w:hint="eastAsia" w:ascii="黑体" w:hAnsi="黑体" w:eastAsia="黑体"/>
          <w:b w:val="0"/>
        </w:rPr>
        <w:t>其他重要事项的情况说明</w:t>
      </w:r>
      <w:bookmarkEnd w:id="68"/>
      <w:bookmarkEnd w:id="69"/>
      <w:bookmarkEnd w:id="70"/>
    </w:p>
    <w:p>
      <w:pPr>
        <w:spacing w:line="600" w:lineRule="exact"/>
        <w:ind w:firstLine="642" w:firstLineChars="200"/>
        <w:outlineLvl w:val="2"/>
        <w:rPr>
          <w:rFonts w:ascii="仿宋" w:hAnsi="仿宋" w:eastAsia="仿宋"/>
          <w:sz w:val="32"/>
          <w:szCs w:val="32"/>
        </w:rPr>
      </w:pPr>
      <w:bookmarkStart w:id="71" w:name="_Toc15377222"/>
      <w:r>
        <w:rPr>
          <w:rFonts w:hint="eastAsia" w:ascii="仿宋" w:hAnsi="仿宋" w:eastAsia="仿宋"/>
          <w:b/>
          <w:sz w:val="32"/>
          <w:szCs w:val="32"/>
        </w:rPr>
        <w:t>（一）机关运行经费支出情况</w:t>
      </w:r>
      <w:bookmarkEnd w:id="71"/>
    </w:p>
    <w:p>
      <w:pPr>
        <w:spacing w:line="600" w:lineRule="exact"/>
        <w:ind w:firstLine="640"/>
        <w:rPr>
          <w:rFonts w:ascii="仿宋_GB2312" w:hAnsi="仿宋_GB2312" w:eastAsia="仿宋_GB2312" w:cs="仿宋_GB2312"/>
          <w:sz w:val="32"/>
          <w:szCs w:val="32"/>
        </w:rPr>
      </w:pPr>
      <w:bookmarkStart w:id="72" w:name="_Toc15377223"/>
      <w:r>
        <w:rPr>
          <w:rFonts w:hint="eastAsia" w:ascii="仿宋_GB2312" w:hAnsi="仿宋_GB2312" w:eastAsia="仿宋_GB2312" w:cs="仿宋_GB2312"/>
          <w:sz w:val="32"/>
          <w:szCs w:val="32"/>
        </w:rPr>
        <w:t>2025年度，攀枝花市交通运输局部门运行经费支出589.67万元，比2024年度减少54.83万元，降低8.5%。主要原因是压缩经费。</w:t>
      </w:r>
    </w:p>
    <w:p>
      <w:pPr>
        <w:autoSpaceDE w:val="0"/>
        <w:autoSpaceDN w:val="0"/>
        <w:adjustRightInd w:val="0"/>
        <w:spacing w:line="600" w:lineRule="exact"/>
        <w:ind w:firstLine="642" w:firstLineChars="200"/>
        <w:jc w:val="left"/>
        <w:outlineLvl w:val="2"/>
        <w:rPr>
          <w:rFonts w:ascii="仿宋" w:hAnsi="仿宋" w:eastAsia="仿宋"/>
          <w:b/>
          <w:sz w:val="32"/>
          <w:szCs w:val="32"/>
        </w:rPr>
      </w:pPr>
      <w:r>
        <w:rPr>
          <w:rFonts w:hint="eastAsia" w:ascii="仿宋" w:hAnsi="仿宋" w:eastAsia="仿宋"/>
          <w:b/>
          <w:sz w:val="32"/>
          <w:szCs w:val="32"/>
        </w:rPr>
        <w:t>（二）政府采购支出情况</w:t>
      </w:r>
      <w:bookmarkEnd w:id="72"/>
    </w:p>
    <w:p>
      <w:pPr>
        <w:spacing w:line="600" w:lineRule="exact"/>
        <w:ind w:firstLine="640" w:firstLineChars="200"/>
        <w:rPr>
          <w:rFonts w:ascii="仿宋_GB2312" w:eastAsia="仿宋_GB2312"/>
          <w:sz w:val="32"/>
          <w:szCs w:val="32"/>
        </w:rPr>
      </w:pPr>
      <w:bookmarkStart w:id="73" w:name="_Toc15377224"/>
      <w:r>
        <w:rPr>
          <w:rFonts w:hint="eastAsia" w:ascii="仿宋_GB2312" w:hAnsi="仿宋_GB2312" w:eastAsia="仿宋_GB2312" w:cs="仿宋_GB2312"/>
          <w:sz w:val="32"/>
          <w:szCs w:val="32"/>
        </w:rPr>
        <w:t>2025年度，攀枝花市交通运输局部门政府采购支出总额13024.81万元，其中：政府采购货物支出659.44万元、政府采购工程支出11209.13万元、政府采购服务支出1156.23万元。主要用于火车南站长途客运站和公交换乘枢纽站后续工程项目、局机关通信网络租用服务、政府机关第十一食堂劳务采购、米易垭口固定超限检测站升级改造、城市客运规划编制等。授予中小企业合同金额8231.14万元，占政府采购支出总额的63.2%，其中：授予小微企业合同金额992.62万元，占政府采购支出总额的7.6%。</w:t>
      </w:r>
    </w:p>
    <w:p>
      <w:pPr>
        <w:autoSpaceDE w:val="0"/>
        <w:autoSpaceDN w:val="0"/>
        <w:adjustRightInd w:val="0"/>
        <w:spacing w:line="600" w:lineRule="exact"/>
        <w:ind w:firstLine="642" w:firstLineChars="200"/>
        <w:jc w:val="left"/>
        <w:outlineLvl w:val="2"/>
      </w:pPr>
      <w:r>
        <w:rPr>
          <w:rFonts w:hint="eastAsia" w:ascii="仿宋" w:hAnsi="仿宋" w:eastAsia="仿宋"/>
          <w:b/>
          <w:sz w:val="32"/>
          <w:szCs w:val="32"/>
        </w:rPr>
        <w:t>（三）国有资产占有使用情况</w:t>
      </w:r>
      <w:bookmarkEnd w:id="73"/>
    </w:p>
    <w:p>
      <w:pPr>
        <w:spacing w:line="600" w:lineRule="exact"/>
        <w:ind w:firstLine="640"/>
        <w:rPr>
          <w:rFonts w:ascii="仿宋_GB2312" w:eastAsia="仿宋_GB2312"/>
          <w:sz w:val="32"/>
          <w:szCs w:val="32"/>
        </w:rPr>
      </w:pPr>
      <w:r>
        <w:rPr>
          <w:rFonts w:hint="eastAsia" w:ascii="仿宋_GB2312" w:hAnsi="仿宋_GB2312" w:eastAsia="仿宋_GB2312" w:cs="仿宋_GB2312"/>
          <w:sz w:val="32"/>
          <w:szCs w:val="32"/>
        </w:rPr>
        <w:t>截至2025年12月31日，攀枝花市交通运输局部门共有车辆97辆，其中：主要负责人用车0辆、机要通信用车0辆、应急保障用车0辆、特种专业用车72辆，其他用车25辆，其他用车主要是用于交通公路建设及养护检查、道路水路运输安全巡查、交通执法检查等。单价100万元（含）以上设备（不含车辆）0台（套）</w:t>
      </w:r>
      <w:r>
        <w:rPr>
          <w:rFonts w:hint="eastAsia" w:eastAsia="仿宋_GB2312" w:cs="仿宋_GB2312"/>
          <w:sz w:val="32"/>
          <w:szCs w:val="32"/>
        </w:rPr>
        <w:t>。</w:t>
      </w:r>
    </w:p>
    <w:p>
      <w:pPr>
        <w:autoSpaceDE w:val="0"/>
        <w:autoSpaceDN w:val="0"/>
        <w:adjustRightInd w:val="0"/>
        <w:spacing w:line="600" w:lineRule="exact"/>
        <w:ind w:firstLine="642"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widowControl/>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根据预算绩效管理要求，本部门在2025年度预算编制阶段，组织对</w:t>
      </w:r>
      <w:r>
        <w:rPr>
          <w:rFonts w:hint="eastAsia" w:ascii="仿宋" w:hAnsi="仿宋" w:eastAsia="仿宋" w:cs="仿宋"/>
          <w:sz w:val="32"/>
          <w:szCs w:val="32"/>
        </w:rPr>
        <w:t>动车开行补贴</w:t>
      </w:r>
      <w:r>
        <w:rPr>
          <w:rFonts w:hint="eastAsia" w:ascii="仿宋_GB2312" w:hAnsi="仿宋_GB2312" w:eastAsia="仿宋_GB2312" w:cs="仿宋_GB2312"/>
          <w:sz w:val="32"/>
          <w:szCs w:val="32"/>
        </w:rPr>
        <w:t>等33个项目开展了预算事前绩效评估，对33个项目编制了绩效目标，预算执行过程中，选取16个项目开展绩效监控。</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组织对2025年度一般公共预算、政府性基金预算全面开展绩效自评，形成攀枝花市交通运输局部门整体（含部门预算项目）绩效自评报告、</w:t>
      </w:r>
      <w:r>
        <w:rPr>
          <w:rFonts w:hint="eastAsia" w:ascii="仿宋" w:hAnsi="仿宋" w:eastAsia="仿宋" w:cs="仿宋"/>
          <w:sz w:val="32"/>
          <w:szCs w:val="32"/>
        </w:rPr>
        <w:t>动车开行补贴</w:t>
      </w:r>
      <w:r>
        <w:rPr>
          <w:rFonts w:hint="eastAsia" w:ascii="仿宋_GB2312" w:hAnsi="仿宋_GB2312" w:eastAsia="仿宋_GB2312" w:cs="仿宋_GB2312"/>
          <w:sz w:val="32"/>
          <w:szCs w:val="32"/>
        </w:rPr>
        <w:t>等专项预算项目绩效自评报告，其中，攀枝花市交通运输局部门整体（含部门预算项目）绩效自评得分为85分，绩效自评综述：通过绩效评价，部门年初制定目标基本实现，重点评价数量和质量基本达到预期，资金管理到位、组织和制度保障体系比较健全。绩效自评报告详见附件。</w:t>
      </w: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Pr>
        <w:pStyle w:val="9"/>
        <w:spacing w:before="93"/>
        <w:rPr>
          <w:rFonts w:hAnsi="仿宋_GB2312" w:cs="仿宋_GB2312"/>
          <w:sz w:val="32"/>
          <w:szCs w:val="32"/>
        </w:rPr>
      </w:pPr>
    </w:p>
    <w:p/>
    <w:p>
      <w:pPr>
        <w:numPr>
          <w:ilvl w:val="0"/>
          <w:numId w:val="4"/>
        </w:numPr>
        <w:spacing w:line="600" w:lineRule="exact"/>
        <w:ind w:firstLine="660" w:firstLineChars="150"/>
        <w:jc w:val="center"/>
        <w:outlineLvl w:val="0"/>
        <w:rPr>
          <w:rStyle w:val="35"/>
          <w:rFonts w:ascii="黑体" w:hAnsi="黑体" w:eastAsia="黑体"/>
          <w:b w:val="0"/>
        </w:rPr>
      </w:pPr>
      <w:bookmarkStart w:id="74" w:name="_Toc15396613"/>
      <w:bookmarkStart w:id="75" w:name="_Toc15377225"/>
      <w:bookmarkStart w:id="76" w:name="_Toc23400"/>
      <w:r>
        <w:rPr>
          <w:rFonts w:hint="eastAsia" w:ascii="黑体" w:hAnsi="黑体" w:eastAsia="黑体"/>
          <w:sz w:val="44"/>
          <w:szCs w:val="44"/>
        </w:rPr>
        <w:t>名</w:t>
      </w:r>
      <w:r>
        <w:rPr>
          <w:rStyle w:val="35"/>
          <w:rFonts w:hint="eastAsia" w:ascii="黑体" w:hAnsi="黑体" w:eastAsia="黑体"/>
          <w:b w:val="0"/>
        </w:rPr>
        <w:t>词解释</w:t>
      </w:r>
      <w:bookmarkEnd w:id="74"/>
      <w:bookmarkEnd w:id="75"/>
      <w:bookmarkEnd w:id="76"/>
    </w:p>
    <w:p>
      <w:pPr>
        <w:spacing w:line="600" w:lineRule="exact"/>
        <w:jc w:val="left"/>
        <w:rPr>
          <w:rFonts w:ascii="宋体"/>
          <w:b/>
          <w:sz w:val="44"/>
          <w:szCs w:val="44"/>
        </w:rPr>
      </w:pPr>
    </w:p>
    <w:p>
      <w:pPr>
        <w:pStyle w:val="33"/>
        <w:spacing w:line="560" w:lineRule="exact"/>
        <w:ind w:firstLine="640" w:firstLineChars="200"/>
        <w:rPr>
          <w:rFonts w:ascii="仿宋_GB2312" w:hAnsi="仿宋_GB2312" w:eastAsia="仿宋_GB2312" w:cs="仿宋_GB2312"/>
          <w:sz w:val="32"/>
          <w:szCs w:val="32"/>
        </w:rPr>
      </w:pPr>
      <w:bookmarkStart w:id="77" w:name="_Toc15396618"/>
      <w:bookmarkStart w:id="78" w:name="_Toc15377226"/>
      <w:r>
        <w:rPr>
          <w:rFonts w:hint="eastAsia" w:ascii="仿宋_GB2312" w:hAnsi="仿宋_GB2312" w:eastAsia="仿宋_GB2312" w:cs="仿宋_GB2312"/>
          <w:sz w:val="32"/>
          <w:szCs w:val="32"/>
        </w:rPr>
        <w:t>1.财政拨款收入：指单位从同级财政部门取得的财政预算资金。</w:t>
      </w:r>
    </w:p>
    <w:p>
      <w:pPr>
        <w:pStyle w:val="33"/>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2.其他收入：指单位取得的除上述收入以外的各项收入。主要是非同级财政拨款收入等。</w:t>
      </w:r>
    </w:p>
    <w:p>
      <w:pPr>
        <w:pStyle w:val="33"/>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3.使用非财政拨款结余：指事业单位使用以前年度积累的非财政拨款结余弥补当年收支差额的金额。 </w:t>
      </w:r>
    </w:p>
    <w:p>
      <w:pPr>
        <w:pStyle w:val="33"/>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4.年初结转和结余：指以前年度尚未完成、结转到本年按有关规定继续使用的资金。 </w:t>
      </w:r>
    </w:p>
    <w:p>
      <w:pPr>
        <w:pStyle w:val="33"/>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5.年末结转和结余：指单位按有关规定结转到下年或以后年度继续使用的资金。</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6.一般公共服务支出（类）组织事务（款）其他组织事务支出（项）：指其他用于中国共产党组织部门的事务支出。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7.社会保障和就业支出（类）人力资源和社会保障管理事务（款）其他人力资源和社会保障管理事务支出（项）:其他用于人力资源和社会保障事务方面的支出。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8.社会保障和就业支出（类）行政事业单位养老支出（款）行政单位离退休（项）:</w:t>
      </w:r>
      <w:r>
        <w:rPr>
          <w:rFonts w:hint="eastAsia" w:ascii="仿宋_GB2312" w:hAnsi="仿宋_GB2312" w:eastAsia="仿宋_GB2312" w:cs="仿宋_GB2312"/>
          <w:color w:val="000000"/>
          <w:sz w:val="32"/>
          <w:szCs w:val="32"/>
        </w:rPr>
        <w:t>指行政单位（包括实行公务员法管理的事业单位）开支的离退休经费。</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9.社会保障和就业支出（类）行政事业单位养老支出（款）事业单位离退休（项）:</w:t>
      </w:r>
      <w:r>
        <w:rPr>
          <w:rFonts w:hint="eastAsia" w:ascii="仿宋_GB2312" w:hAnsi="仿宋_GB2312" w:eastAsia="仿宋_GB2312" w:cs="仿宋_GB2312"/>
          <w:color w:val="000000"/>
          <w:sz w:val="32"/>
          <w:szCs w:val="32"/>
        </w:rPr>
        <w:t>指事业单位开支的离退休经费。</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sz w:val="32"/>
          <w:szCs w:val="32"/>
        </w:rPr>
        <w:t>10.社会保障和就业支出（类）行政事业单位养老支出（款）机关事业单位基本养老保险缴费支出（项）:</w:t>
      </w:r>
      <w:r>
        <w:rPr>
          <w:rFonts w:hint="eastAsia" w:ascii="仿宋_GB2312" w:hAnsi="仿宋_GB2312" w:eastAsia="仿宋_GB2312" w:cs="仿宋_GB2312"/>
          <w:color w:val="000000"/>
          <w:sz w:val="32"/>
          <w:szCs w:val="32"/>
        </w:rPr>
        <w:t>指机关事业单位实施养老保险制度由单位缴纳的基本养老保险费支出。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11.社会保障和就业支出（类）行政事业单位养老支出（款）机关事业单位职业年金缴费支出（项）:指机关事业单位实施养老保险制度由单位实际缴纳的职业年金支出（含职业年金补记支出）。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12.社会保障和就业支出（类）抚恤（款）死亡抚恤（项）:指按规定用于烈士和牺牲、病故人员家属的一次性和定期抚恤金、丧葬补助费以及烈士褒扬金。</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13.社会保障和就业支出（类）社会福利（款）儿童福利（项）：</w:t>
      </w:r>
      <w:r>
        <w:rPr>
          <w:rFonts w:hint="eastAsia" w:ascii="仿宋_GB2312" w:hAnsi="仿宋_GB2312" w:eastAsia="仿宋_GB2312" w:cs="仿宋_GB2312"/>
          <w:color w:val="000000"/>
          <w:sz w:val="32"/>
          <w:szCs w:val="32"/>
        </w:rPr>
        <w:t>指对儿童提供福利服务方面的支出。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14.卫生健康支出（类）行政事业单位医疗（款）行政单位医疗（项）:指财政部门安排的行政单位（包括实行公务员管理的事业单位）基本医疗保险缴费经费、为参加医疗保险的行政单位的公费医疗经费，按国家规定享受离休人员、红军老战士待遇人员的医疗经费。</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15.卫生健康支出（类）行政事业单位医疗（款）事业单位医疗（项）:指财政部门安排的事业单位基本医疗保险缴费经费、为参加医疗保险的行政单位的公费医疗经费，按国家规定享受离休人员待遇人员的医疗经费。</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16.卫生健康支出（类）行政事业单位医疗（款）公务员医疗补助（项）:指财政部门安排的公务员医疗补助经费。</w:t>
      </w:r>
    </w:p>
    <w:p>
      <w:pPr>
        <w:pStyle w:val="9"/>
        <w:spacing w:before="93"/>
        <w:ind w:firstLine="640"/>
        <w:rPr>
          <w:rFonts w:hAnsi="仿宋_GB2312" w:cs="仿宋_GB2312"/>
          <w:bCs/>
          <w:sz w:val="32"/>
          <w:szCs w:val="32"/>
        </w:rPr>
      </w:pPr>
      <w:r>
        <w:rPr>
          <w:rFonts w:hint="eastAsia" w:hAnsi="仿宋_GB2312" w:cs="仿宋_GB2312"/>
          <w:bCs/>
          <w:sz w:val="32"/>
          <w:szCs w:val="32"/>
        </w:rPr>
        <w:t>17.卫生健康支出（类）行政事业单位医疗（款）其他行政事业单位医疗支出（项）:指其他用于行政事业单位医疗方面的支出。</w:t>
      </w:r>
    </w:p>
    <w:p>
      <w:pPr>
        <w:pStyle w:val="9"/>
        <w:spacing w:before="93"/>
        <w:ind w:firstLine="640"/>
        <w:rPr>
          <w:rFonts w:hAnsi="仿宋_GB2312" w:cs="仿宋_GB2312"/>
          <w:bCs/>
          <w:sz w:val="32"/>
          <w:szCs w:val="32"/>
        </w:rPr>
      </w:pPr>
      <w:r>
        <w:rPr>
          <w:rFonts w:hint="eastAsia" w:hAnsi="仿宋_GB2312" w:cs="仿宋_GB2312"/>
          <w:bCs/>
          <w:sz w:val="32"/>
          <w:szCs w:val="32"/>
        </w:rPr>
        <w:t>18.卫生健康支出（类）其他卫生健康支出（款）其他卫生健康支出（项）:指其他用于卫生健康方面的支出。</w:t>
      </w:r>
    </w:p>
    <w:p>
      <w:pPr>
        <w:pStyle w:val="9"/>
        <w:spacing w:before="93"/>
        <w:ind w:firstLine="640"/>
        <w:rPr>
          <w:rFonts w:hAnsi="仿宋_GB2312" w:cs="仿宋_GB2312"/>
          <w:bCs/>
          <w:sz w:val="32"/>
          <w:szCs w:val="32"/>
        </w:rPr>
      </w:pPr>
      <w:r>
        <w:rPr>
          <w:rFonts w:hint="eastAsia" w:hAnsi="仿宋_GB2312" w:cs="仿宋_GB2312"/>
          <w:bCs/>
          <w:sz w:val="32"/>
          <w:szCs w:val="32"/>
        </w:rPr>
        <w:t>19.城乡社区支出（类）国有土地使用权出让收入安排的支出（款）农村社会事业支出（项）:反映土地出让收入用于农村教育、农村文化和精神文明建设等方面的支出。</w:t>
      </w:r>
    </w:p>
    <w:p>
      <w:pPr>
        <w:pStyle w:val="9"/>
        <w:spacing w:before="93"/>
        <w:ind w:firstLine="640"/>
        <w:rPr>
          <w:rFonts w:hAnsi="仿宋_GB2312" w:cs="仿宋_GB2312"/>
          <w:bCs/>
          <w:sz w:val="32"/>
          <w:szCs w:val="32"/>
        </w:rPr>
      </w:pPr>
      <w:r>
        <w:rPr>
          <w:rFonts w:hint="eastAsia" w:hAnsi="仿宋_GB2312" w:cs="仿宋_GB2312"/>
          <w:bCs/>
          <w:sz w:val="32"/>
          <w:szCs w:val="32"/>
        </w:rPr>
        <w:t>20.城乡社区支出（类）城市基础设施配套费安排的支出（款）城市公共设施（项）:反映城市基础设施配套费安排用于城市道路、桥涵、公共交通、道路照明、供排水、燃气、供热等公共设施维护、建设和管理方面的支出。</w:t>
      </w:r>
    </w:p>
    <w:p>
      <w:pPr>
        <w:pStyle w:val="9"/>
        <w:spacing w:before="93"/>
        <w:ind w:firstLine="640"/>
        <w:rPr>
          <w:rFonts w:hAnsi="仿宋_GB2312" w:cs="仿宋_GB2312"/>
          <w:bCs/>
          <w:sz w:val="32"/>
          <w:szCs w:val="32"/>
        </w:rPr>
      </w:pPr>
      <w:r>
        <w:rPr>
          <w:rFonts w:hint="eastAsia" w:hAnsi="仿宋_GB2312" w:cs="仿宋_GB2312"/>
          <w:bCs/>
          <w:sz w:val="32"/>
          <w:szCs w:val="32"/>
        </w:rPr>
        <w:t>21.农林水支出（类）农业农村（款）农村社会事业（项）:指用于农村社会事业发展的支出。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22.交通运输支出（类）公路水路运输（款）行政运行（项）:</w:t>
      </w:r>
      <w:r>
        <w:rPr>
          <w:rFonts w:hint="eastAsia" w:ascii="仿宋_GB2312" w:hAnsi="仿宋_GB2312" w:eastAsia="仿宋_GB2312" w:cs="仿宋_GB2312"/>
          <w:color w:val="000000"/>
          <w:sz w:val="32"/>
          <w:szCs w:val="32"/>
        </w:rPr>
        <w:t>指交通运输方面的行政单位（包括实行公务员法管理的事业单位）的基本支出。</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sz w:val="32"/>
          <w:szCs w:val="32"/>
        </w:rPr>
        <w:t>23.交通运输支出（类）公路水路运输（款）一般行政管理事务（项）:</w:t>
      </w:r>
      <w:r>
        <w:rPr>
          <w:rFonts w:hint="eastAsia" w:ascii="仿宋_GB2312" w:hAnsi="仿宋_GB2312" w:eastAsia="仿宋_GB2312" w:cs="仿宋_GB2312"/>
          <w:color w:val="000000"/>
          <w:sz w:val="32"/>
          <w:szCs w:val="32"/>
        </w:rPr>
        <w:t>反映行政单位（包括实行公务员管理的事业单位）未单独设置项级科目的其他项目支出。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24.交通运输支出（类）公路水路运输（款）机关服务（项）：反映为行政单位（包括实行公务员管理的事业单位）提供后勤服务的各类后勤服务中心等附属事业单位的支出。</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sz w:val="32"/>
          <w:szCs w:val="32"/>
        </w:rPr>
        <w:t>25.交通运输支出（类）公路水路运输（款）公路养护（项）:</w:t>
      </w:r>
      <w:r>
        <w:rPr>
          <w:rFonts w:hint="eastAsia" w:ascii="仿宋_GB2312" w:hAnsi="仿宋_GB2312" w:eastAsia="仿宋_GB2312" w:cs="仿宋_GB2312"/>
          <w:color w:val="000000"/>
          <w:sz w:val="32"/>
          <w:szCs w:val="32"/>
        </w:rPr>
        <w:t>指公路养护支出。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26.交通运输支出（类）公路水路运输（款）交通运输信息化建设（项）:反映交通运输信息化建设支出</w:t>
      </w:r>
      <w:r>
        <w:rPr>
          <w:rFonts w:hint="eastAsia" w:ascii="仿宋_GB2312" w:hAnsi="仿宋_GB2312" w:eastAsia="仿宋_GB2312" w:cs="仿宋_GB2312"/>
          <w:color w:val="000000"/>
          <w:sz w:val="32"/>
          <w:szCs w:val="32"/>
        </w:rPr>
        <w:t>。</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27.交通运输支出（类）公路水路运输（款）公路和运输安全（项）:反映公路和运输安全支出。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28.交通运输支出（类）公路水路运输（款）公路运输管理（项）:指公路运输管理支出和公路路政管理支出。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29.交通运输支出（类）公路水路运输（款）海事管理（项）:反映海事管理方面的支出。</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sz w:val="32"/>
          <w:szCs w:val="32"/>
        </w:rPr>
        <w:t>30.交通运输支出（类）公路水路运输（款）其他公路水路运输支出（项）:</w:t>
      </w:r>
      <w:r>
        <w:rPr>
          <w:rFonts w:hint="eastAsia" w:ascii="仿宋_GB2312" w:hAnsi="仿宋_GB2312" w:eastAsia="仿宋_GB2312" w:cs="仿宋_GB2312"/>
          <w:color w:val="000000"/>
          <w:sz w:val="32"/>
          <w:szCs w:val="32"/>
        </w:rPr>
        <w:t>指其他用于公路水路运输方面的支出。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31.交通运输支出（类）民用航空运输（款）其他民用航空运输支出（项）:指其他用于民用航空方面的支出。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32.交通运输支出（类）其他交通运输支出（款）其他交通运输支出（项）:指其他交通运输支出中除对公共交通运营补助以外的其他支出。</w:t>
      </w:r>
    </w:p>
    <w:p>
      <w:pPr>
        <w:ind w:firstLine="640" w:firstLineChars="200"/>
        <w:rPr>
          <w:rFonts w:hAnsi="仿宋_GB2312" w:cs="仿宋_GB2312"/>
          <w:bCs/>
          <w:sz w:val="32"/>
          <w:szCs w:val="32"/>
        </w:rPr>
      </w:pPr>
      <w:r>
        <w:rPr>
          <w:rFonts w:hint="eastAsia" w:ascii="仿宋_GB2312" w:hAnsi="仿宋_GB2312" w:eastAsia="仿宋_GB2312" w:cs="仿宋_GB2312"/>
          <w:bCs/>
          <w:sz w:val="32"/>
          <w:szCs w:val="32"/>
        </w:rPr>
        <w:t>33.资源勘探工业信息等支出（类）超长期特别国债安排的支出（款）制造业（项）：反映使用超长期特别国债收入安排的交通运输设备等制造业支出。</w:t>
      </w:r>
    </w:p>
    <w:p>
      <w:pPr>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34.住房保障支出（类）住房改革支出（款）住房公积金（项）:</w:t>
      </w:r>
      <w:r>
        <w:rPr>
          <w:rFonts w:hint="eastAsia" w:ascii="仿宋_GB2312" w:hAnsi="仿宋_GB2312" w:eastAsia="仿宋_GB2312" w:cs="仿宋_GB2312"/>
          <w:color w:val="000000"/>
          <w:sz w:val="32"/>
          <w:szCs w:val="32"/>
        </w:rPr>
        <w:t>指行政事业单位按人力资源和社会保障部、财政部规定的基本工资和津贴补贴以及规定比例为职工缴纳的住房公积金。</w:t>
      </w:r>
    </w:p>
    <w:p>
      <w:pPr>
        <w:pStyle w:val="9"/>
        <w:spacing w:before="93"/>
        <w:ind w:firstLine="640"/>
        <w:rPr>
          <w:rFonts w:hAnsi="仿宋_GB2312" w:cs="仿宋_GB2312"/>
          <w:bCs/>
          <w:sz w:val="32"/>
          <w:szCs w:val="32"/>
        </w:rPr>
      </w:pPr>
      <w:r>
        <w:rPr>
          <w:rFonts w:hint="eastAsia" w:hAnsi="仿宋_GB2312" w:cs="仿宋_GB2312"/>
          <w:bCs/>
          <w:sz w:val="32"/>
          <w:szCs w:val="32"/>
        </w:rPr>
        <w:t>35.其他支出（类）其他政府性基金及对应专项债务收入安排的支出（款）其他地方自行试点项目收益专项债券收入安排的支出（项）：反映其他地方自行试点项目收益专项债券收入安排的支出。</w:t>
      </w:r>
    </w:p>
    <w:p>
      <w:pPr>
        <w:pStyle w:val="9"/>
        <w:spacing w:before="93"/>
        <w:ind w:firstLine="640"/>
        <w:rPr>
          <w:rFonts w:hAnsi="仿宋_GB2312" w:cs="仿宋_GB2312"/>
          <w:bCs/>
          <w:sz w:val="32"/>
          <w:szCs w:val="32"/>
        </w:rPr>
      </w:pPr>
      <w:r>
        <w:rPr>
          <w:rFonts w:hint="eastAsia" w:hAnsi="仿宋_GB2312" w:cs="仿宋_GB2312"/>
          <w:bCs/>
          <w:sz w:val="32"/>
          <w:szCs w:val="32"/>
        </w:rPr>
        <w:t>36.其他支出（类）其他政府性基金及对应专项债务收入安排的支出（款）其他政府性基金债务收入安排的支出（项）：反映其他政府性基金债务收入安排的支出。</w:t>
      </w:r>
    </w:p>
    <w:p>
      <w:pPr>
        <w:pStyle w:val="9"/>
        <w:spacing w:before="93"/>
        <w:ind w:firstLine="640"/>
        <w:rPr>
          <w:rFonts w:hAnsi="仿宋_GB2312" w:cs="仿宋_GB2312"/>
          <w:bCs/>
          <w:sz w:val="32"/>
          <w:szCs w:val="32"/>
        </w:rPr>
      </w:pPr>
      <w:r>
        <w:rPr>
          <w:rFonts w:hint="eastAsia" w:hAnsi="仿宋_GB2312" w:cs="仿宋_GB2312"/>
          <w:bCs/>
          <w:sz w:val="32"/>
          <w:szCs w:val="32"/>
        </w:rPr>
        <w:t>37.其他支出（类）其他支出（款）其他支出（项）：指其他不能划分到具体功能科目中的支出项目。</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38.项目支出：指在基本支出之外为完成特定行政任务和事业发展目标所发生的支出。</w:t>
      </w:r>
    </w:p>
    <w:p>
      <w:pPr>
        <w:pStyle w:val="33"/>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3"/>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33"/>
        <w:spacing w:line="560" w:lineRule="exact"/>
        <w:ind w:firstLine="640" w:firstLineChars="200"/>
        <w:rPr>
          <w:rFonts w:ascii="仿宋_GB2312" w:hAnsi="仿宋_GB2312" w:eastAsia="仿宋_GB2312" w:cs="仿宋_GB2312"/>
          <w:sz w:val="32"/>
          <w:szCs w:val="32"/>
        </w:rPr>
      </w:pPr>
    </w:p>
    <w:p>
      <w:pPr>
        <w:pStyle w:val="5"/>
        <w:jc w:val="center"/>
      </w:pPr>
      <w:bookmarkStart w:id="79" w:name="_Toc8765"/>
      <w:r>
        <w:rPr>
          <w:rFonts w:hint="eastAsia" w:ascii="黑体" w:hAnsi="黑体" w:eastAsia="黑体"/>
          <w:b w:val="0"/>
        </w:rPr>
        <w:t>第四部分 附件</w:t>
      </w:r>
      <w:bookmarkEnd w:id="79"/>
    </w:p>
    <w:p>
      <w:pPr>
        <w:rPr>
          <w:rFonts w:ascii="黑体" w:hAnsi="黑体" w:eastAsia="黑体"/>
          <w:sz w:val="32"/>
          <w:szCs w:val="32"/>
        </w:rPr>
      </w:pPr>
      <w:r>
        <w:rPr>
          <w:rFonts w:hint="eastAsia" w:ascii="黑体" w:hAnsi="黑体" w:eastAsia="黑体"/>
          <w:sz w:val="32"/>
          <w:szCs w:val="32"/>
        </w:rPr>
        <w:t>附件1</w:t>
      </w:r>
    </w:p>
    <w:p>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部门预算绩效评价报告</w:t>
      </w:r>
    </w:p>
    <w:p>
      <w:pPr>
        <w:jc w:val="center"/>
        <w:rPr>
          <w:rFonts w:ascii="仿宋_GB2312" w:eastAsia="仿宋_GB2312"/>
          <w:sz w:val="32"/>
          <w:szCs w:val="32"/>
        </w:rPr>
      </w:pPr>
      <w:r>
        <w:rPr>
          <w:rFonts w:hint="eastAsia" w:ascii="仿宋_GB2312" w:eastAsia="仿宋_GB2312"/>
          <w:sz w:val="32"/>
          <w:szCs w:val="32"/>
        </w:rPr>
        <w:t>（报告范围包括机关和下属单位）</w:t>
      </w:r>
    </w:p>
    <w:p/>
    <w:p>
      <w:pPr>
        <w:rPr>
          <w:rFonts w:ascii="黑体" w:hAnsi="黑体" w:eastAsia="黑体"/>
          <w:sz w:val="32"/>
          <w:szCs w:val="32"/>
        </w:rPr>
      </w:pPr>
      <w:r>
        <w:rPr>
          <w:rFonts w:hint="eastAsia" w:ascii="黑体" w:hAnsi="黑体" w:eastAsia="黑体"/>
          <w:sz w:val="32"/>
          <w:szCs w:val="32"/>
        </w:rPr>
        <w:t>一、部门（单位）基本情况</w:t>
      </w:r>
    </w:p>
    <w:p>
      <w:pPr>
        <w:spacing w:line="572" w:lineRule="exact"/>
        <w:ind w:firstLine="632"/>
        <w:rPr>
          <w:rFonts w:ascii="楷体_GB2312" w:eastAsia="楷体_GB2312"/>
          <w:b/>
          <w:sz w:val="32"/>
          <w:szCs w:val="32"/>
        </w:rPr>
      </w:pPr>
      <w:r>
        <w:rPr>
          <w:rFonts w:hint="eastAsia" w:ascii="楷体_GB2312" w:eastAsia="楷体_GB2312"/>
          <w:b/>
          <w:sz w:val="32"/>
          <w:szCs w:val="32"/>
        </w:rPr>
        <w:t>（一）机构组成。</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局（部门）共有7家预算单位，分别为市交通运输局机关、市交通建设工程服务中心、市交通运输服务中心、市交通运输综合行政执法支队、市航务海事中心、市公路事业发展中心（含造价站）、市公路养护总段。局机关共16个内设科室（办公室、政策研究室、综合规划科、发展促进科、建设管理科、公路管理科、农村公路建设指导科、道路运输管理科、水运管理科、安全与环保监督科、科技和信息化科、法规科、行政审批科、财务审计科、干部人事科、组织宣传科）。</w:t>
      </w:r>
    </w:p>
    <w:p>
      <w:pPr>
        <w:numPr>
          <w:ilvl w:val="0"/>
          <w:numId w:val="5"/>
        </w:numPr>
        <w:spacing w:line="572" w:lineRule="exact"/>
        <w:ind w:firstLine="632"/>
        <w:rPr>
          <w:rFonts w:ascii="楷体" w:hAnsi="楷体" w:eastAsia="楷体" w:cs="楷体"/>
          <w:b/>
          <w:sz w:val="32"/>
          <w:szCs w:val="32"/>
        </w:rPr>
      </w:pPr>
      <w:r>
        <w:rPr>
          <w:rFonts w:hint="eastAsia" w:ascii="楷体" w:hAnsi="楷体" w:eastAsia="楷体" w:cs="楷体"/>
          <w:b/>
          <w:sz w:val="32"/>
          <w:szCs w:val="32"/>
          <w:lang w:bidi="ar"/>
        </w:rPr>
        <w:t>机构职能。</w:t>
      </w:r>
    </w:p>
    <w:p>
      <w:pPr>
        <w:spacing w:line="572"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bidi="ar"/>
        </w:rPr>
        <w:t>市交通运输局负责制订并实施全市公路、水路交通基础设施发展规划；负责指导全市公路管理和养护；负责全市交通建设市场和工程质量监管；负责全市公路、水路客货运输行业管理；负责全市水上交通安全监督和公路运输源头安全监管。2017年3月市政府常务会决定将保安营机场工作临时交由我局负责联系。</w:t>
      </w:r>
    </w:p>
    <w:p>
      <w:pPr>
        <w:spacing w:line="572" w:lineRule="exact"/>
        <w:ind w:firstLine="632"/>
        <w:rPr>
          <w:rFonts w:ascii="仿宋_GB2312" w:hAnsi="仿宋_GB2312" w:eastAsia="仿宋_GB2312" w:cs="仿宋_GB2312"/>
          <w:sz w:val="32"/>
          <w:szCs w:val="32"/>
        </w:rPr>
      </w:pPr>
      <w:r>
        <w:rPr>
          <w:rFonts w:hint="eastAsia" w:ascii="仿宋_GB2312" w:hAnsi="仿宋_GB2312" w:eastAsia="仿宋_GB2312" w:cs="仿宋_GB2312"/>
          <w:sz w:val="32"/>
          <w:szCs w:val="32"/>
          <w:lang w:bidi="ar"/>
        </w:rPr>
        <w:t>市交通建设工程服务中心贯彻执行国家和上级交通主管部门颁发的交通建设工程监理、试验检测方针、政策、法律、法规、技术标准和规范，负责全市交通监理单位、检测机构资质管理，依法依规规范管理全市交通建设工程质量和施工安全生产监督工作，负责全市交通建设工程（农村公路除外）质量安全监督。</w:t>
      </w:r>
    </w:p>
    <w:p>
      <w:pPr>
        <w:spacing w:line="572" w:lineRule="exact"/>
        <w:ind w:firstLine="632"/>
        <w:rPr>
          <w:rFonts w:ascii="仿宋_GB2312" w:hAnsi="仿宋_GB2312" w:eastAsia="仿宋_GB2312" w:cs="仿宋_GB2312"/>
          <w:sz w:val="32"/>
          <w:szCs w:val="32"/>
        </w:rPr>
      </w:pPr>
      <w:r>
        <w:rPr>
          <w:rFonts w:hint="eastAsia" w:ascii="仿宋_GB2312" w:hAnsi="仿宋_GB2312" w:eastAsia="仿宋_GB2312" w:cs="仿宋_GB2312"/>
          <w:sz w:val="32"/>
          <w:szCs w:val="32"/>
          <w:lang w:bidi="ar"/>
        </w:rPr>
        <w:t>市交通运输服务中心贯彻执行国家、省、市和上级交通运输主管部门有关道路运输方面的方针、政策、法规，具体负责道路运输市场监测、统计分析、政策研究、科学技术应用、车辆道路运输证和道路运输从业人员从业资格证办理等道路运输的公共服务、行政辅助工作。</w:t>
      </w:r>
    </w:p>
    <w:p>
      <w:pPr>
        <w:spacing w:line="572" w:lineRule="exact"/>
        <w:ind w:firstLine="632"/>
        <w:rPr>
          <w:rFonts w:ascii="仿宋_GB2312" w:hAnsi="仿宋_GB2312" w:eastAsia="仿宋_GB2312" w:cs="仿宋_GB2312"/>
          <w:sz w:val="32"/>
          <w:szCs w:val="32"/>
        </w:rPr>
      </w:pPr>
      <w:r>
        <w:rPr>
          <w:rFonts w:hint="eastAsia" w:ascii="仿宋_GB2312" w:hAnsi="仿宋_GB2312" w:eastAsia="仿宋_GB2312" w:cs="仿宋_GB2312"/>
          <w:sz w:val="32"/>
          <w:szCs w:val="32"/>
          <w:lang w:bidi="ar"/>
        </w:rPr>
        <w:t>市交通运输综合行政执法支队负责全市交通运输综合行政执法监督指导、重大案件查处和跨区域执法和组织协调工作；承担依法取得的市本级、东西区公路路政、道路运政、水路运政、航道行政、港口行政、地方海事行政、工程质量监督管理等执法职责和仁和区、米易县、盐边县境内现国省道路的路政执法职责。</w:t>
      </w:r>
    </w:p>
    <w:p>
      <w:pPr>
        <w:spacing w:line="572" w:lineRule="exact"/>
        <w:ind w:firstLine="632"/>
        <w:rPr>
          <w:rFonts w:ascii="仿宋_GB2312" w:hAnsi="仿宋_GB2312" w:eastAsia="仿宋_GB2312" w:cs="仿宋_GB2312"/>
          <w:sz w:val="32"/>
          <w:szCs w:val="32"/>
        </w:rPr>
      </w:pPr>
      <w:r>
        <w:rPr>
          <w:rFonts w:hint="eastAsia" w:ascii="仿宋_GB2312" w:hAnsi="仿宋_GB2312" w:eastAsia="仿宋_GB2312" w:cs="仿宋_GB2312"/>
          <w:sz w:val="32"/>
          <w:szCs w:val="32"/>
          <w:lang w:bidi="ar"/>
        </w:rPr>
        <w:t>市航务海事中心主要对辖区内通航水域开展巡航巡查，对通航秩序进行维护；负责办理和监督、检查辖区船舶登记、船舶进出港签证等监督管理业务工作。负责辖区水域内航道的维护，港口、码头的管理，以及我市水运发展规划编制和实施等工作；负责辖区内船舶的法定检验及证书的签发工作。</w:t>
      </w:r>
    </w:p>
    <w:p>
      <w:pPr>
        <w:spacing w:line="572" w:lineRule="exact"/>
        <w:ind w:firstLine="632"/>
        <w:rPr>
          <w:rFonts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市公路事业发展中心贯彻执行国家有关信息化建设、公路发展的法律、法规、规章和方针政策；负责全市国、省干线和重要农村公路行业管理、公路发展、超限运输、涉路施工许可等行政辅助工作；负责交通公路、水路、运输运行信息化监测系统的建设、维护、管理和大数据分析；负责交通运输服务监督热线12328的管理、分办和回访；负责交通出行信息的收集、分析和发布；承担交通应急通信保障与调度指挥。 </w:t>
      </w:r>
    </w:p>
    <w:p>
      <w:pPr>
        <w:adjustRightInd w:val="0"/>
        <w:snapToGrid w:val="0"/>
        <w:spacing w:line="600" w:lineRule="exact"/>
        <w:ind w:firstLine="632"/>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市交通建设工程造价站组织实施和监督检查其执行情况；配合厅造价站对交通建设工程劳动定额的测定和施工定额、养护定额的编制与修订；负责我市职责范围内的交通建设项目的投资估算、概算、预算、招标最高限价及项目设计变更的造价审核工作；参与管理我市职责范围内的交通建设项目造价执行情况与工程决算情况的检查及项目的交竣工验收工作；负责收集、整理我市建筑材料价格信息和已完交通建设工程的造价资料；上报我市交通建设工程造价信息；调解和仲裁我市交通建设工程造价经济纠纷。</w:t>
      </w:r>
    </w:p>
    <w:p>
      <w:pPr>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市公路养护总段目前属于待改革事业单位，随着经济社会发展带来的变化和行业发展的需要，总段履行的职责随之发生变化，目前实际承担职能职责为：公路（含桥梁与隧道）日常养护、养护工程管理、公路灾害抢修与应急抢险保通、灾后恢复工程建设、公路养护质量监督检查与路况评定、公路绿化、公路行业统计、公路行业普查、公路数据库建设与维护、公路交通量调查、四新技术运用、公路信息化建设、公路养护节能减排及环保工作监督指导、国省干线战备保障、国省干线公路迎接上级政府目标绩效考核工作和上级临时安排的任务。</w:t>
      </w:r>
      <w:r>
        <w:rPr>
          <w:rFonts w:hint="eastAsia" w:ascii="仿宋_GB2312" w:hAnsi="仿宋_GB2312" w:eastAsia="仿宋_GB2312" w:cs="仿宋_GB2312"/>
          <w:kern w:val="0"/>
          <w:sz w:val="32"/>
          <w:szCs w:val="32"/>
        </w:rPr>
        <w:t>总段管养公路10条，其中国道3条、省道4条、县乡道3条，总里程428.927公里；养护桥梁117座，其中特大桥6座，大桥24座；隧道3座。</w:t>
      </w:r>
    </w:p>
    <w:p>
      <w:pPr>
        <w:numPr>
          <w:ilvl w:val="0"/>
          <w:numId w:val="5"/>
        </w:numPr>
        <w:spacing w:line="572" w:lineRule="exact"/>
        <w:ind w:firstLine="632"/>
        <w:rPr>
          <w:rFonts w:ascii="楷体" w:hAnsi="楷体" w:eastAsia="楷体" w:cs="楷体"/>
          <w:b/>
          <w:sz w:val="32"/>
          <w:szCs w:val="32"/>
        </w:rPr>
      </w:pPr>
      <w:r>
        <w:rPr>
          <w:rFonts w:hint="eastAsia" w:ascii="楷体" w:hAnsi="楷体" w:eastAsia="楷体" w:cs="楷体"/>
          <w:b/>
          <w:sz w:val="32"/>
          <w:szCs w:val="32"/>
          <w:lang w:bidi="ar"/>
        </w:rPr>
        <w:t>人员概况。</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截至2025年末，市交通运输局核定人员编制数53人，其中：行政编制46名，机关后勤事业编制7人。2025年底实有人员47人，其中：行政管理类公务员42人，工勤人员4名，86号文编内聘用人员1名。</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市交通建设工程服务中心核定编制数8人。2025年末公共预算财政拨款开支人数7人（其中参公7人）。</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市交通运输服务中心核定编制数30人。2025年末公共预算财政拨款开支人数25人（其中参公人员23人、工勤人员2人）。</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市交通运输综合行政执法支队2025年年末正式职工为133名（核定行政编制161名），退休人员26名，2016年8月开始退休人员的工资由社保负担，财政负担交通运输综合行政执法管理项目聘用人员67人。</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市航务海事中心机构编制12名，内设三科一室：航务科、海事科、科教信息科、综合办公室。截</w:t>
      </w:r>
      <w:r>
        <w:rPr>
          <w:rFonts w:hint="eastAsia" w:ascii="仿宋_GB2312" w:hAnsi="仿宋_GB2312" w:eastAsia="仿宋_GB2312" w:cs="仿宋_GB2312"/>
          <w:kern w:val="0"/>
          <w:sz w:val="32"/>
          <w:szCs w:val="32"/>
          <w:lang w:eastAsia="zh-CN"/>
        </w:rPr>
        <w:t>至</w:t>
      </w:r>
      <w:r>
        <w:rPr>
          <w:rFonts w:hint="eastAsia" w:ascii="仿宋_GB2312" w:hAnsi="仿宋_GB2312" w:eastAsia="仿宋_GB2312" w:cs="仿宋_GB2312"/>
          <w:kern w:val="0"/>
          <w:sz w:val="32"/>
          <w:szCs w:val="32"/>
        </w:rPr>
        <w:t>2025年年底实有在职人员10名（参公人员10人、工勤人员1人）,退休人员６名。</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市公路事业发展中心（含市交通建设工程造价站），人员编制34人（其中：公路事业发展中心27人，造价站7人），实有正式职工人30人（公路事业发展中心23人，造价站7人）。</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市公路养护总段核定人员编制数633人(纪委监委</w:t>
      </w:r>
      <w:bookmarkStart w:id="111" w:name="_GoBack"/>
      <w:bookmarkEnd w:id="111"/>
      <w:r>
        <w:rPr>
          <w:rFonts w:hint="eastAsia" w:ascii="仿宋_GB2312" w:hAnsi="仿宋_GB2312" w:eastAsia="仿宋_GB2312" w:cs="仿宋_GB2312"/>
          <w:kern w:val="0"/>
          <w:sz w:val="32"/>
          <w:szCs w:val="32"/>
        </w:rPr>
        <w:t>5人)，总段2025年末实有人员402人，其中事业管理人员和专业技术人员155人，机关和事业工人245人，其他人员（86号文件管理的聘用人员）2人，2025年退休14人，开除1人，调出1人，公招新进5人；2025年末离退休人员1032人，其中离休人员1人。</w:t>
      </w:r>
    </w:p>
    <w:p>
      <w:pPr>
        <w:rPr>
          <w:rFonts w:ascii="黑体" w:hAnsi="宋体" w:eastAsia="黑体"/>
          <w:sz w:val="32"/>
          <w:szCs w:val="32"/>
        </w:rPr>
      </w:pPr>
      <w:r>
        <w:rPr>
          <w:rFonts w:hint="eastAsia" w:ascii="黑体" w:hAnsi="宋体" w:eastAsia="黑体" w:cs="黑体"/>
          <w:sz w:val="32"/>
          <w:szCs w:val="32"/>
          <w:lang w:bidi="ar"/>
        </w:rPr>
        <w:t>二、部门资金收支情况</w:t>
      </w:r>
    </w:p>
    <w:p>
      <w:pPr>
        <w:spacing w:line="572" w:lineRule="exact"/>
        <w:ind w:firstLine="634"/>
        <w:rPr>
          <w:rFonts w:ascii="楷体" w:hAnsi="楷体" w:eastAsia="楷体" w:cs="楷体"/>
          <w:b/>
          <w:sz w:val="32"/>
          <w:szCs w:val="32"/>
        </w:rPr>
      </w:pPr>
      <w:r>
        <w:rPr>
          <w:rFonts w:hint="eastAsia" w:ascii="楷体" w:hAnsi="楷体" w:eastAsia="楷体" w:cs="楷体"/>
          <w:b/>
          <w:sz w:val="32"/>
          <w:szCs w:val="32"/>
        </w:rPr>
        <w:t>（一）收入情况。</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2025年交通系统预算收入66522.31万元,其中：</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市交通运输局机关：2025年本年财政拨款收入37372.01万元，其中：一般公共预算财政拨款16882.59万元；政府性基金预算20489.43万元。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市交通建设工程服务中心：2025年本年财政拨款收127.63万元，其中：一般公共预算财政拨款127.63万元。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市交通运输服务中心：2025年本年财政拨款收入2008.17万元，其中：一般公共预算财政拨款2008.17万元。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市交通运输综合行政执法支队：2025年本年财政拨款收入3468.88万元，其中：一般公共预算财政拨款3468.88万元。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市航务海事中心：2025年本年财政拨款收入270.62万元，其中：一般公共预算财政拨款270.62万元。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市公路事业发展中心：2025年本年财政拨款收入3043.2万元，其中：一般公共预算财政拨款2975.75万元；政府性基金预算67.45万元。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市公路养护总段：2025年本年财政拨款收入20,231.82万元，其中：一般公共预算财政拨款19,571.55万元；政府性基金预算660.27万元。</w:t>
      </w:r>
    </w:p>
    <w:p>
      <w:pPr>
        <w:widowControl/>
        <w:numPr>
          <w:ilvl w:val="0"/>
          <w:numId w:val="6"/>
        </w:numPr>
        <w:adjustRightInd w:val="0"/>
        <w:snapToGrid w:val="0"/>
        <w:spacing w:line="580" w:lineRule="exact"/>
        <w:ind w:firstLine="634"/>
        <w:contextualSpacing/>
        <w:rPr>
          <w:rFonts w:ascii="楷体" w:hAnsi="楷体" w:eastAsia="楷体" w:cs="楷体"/>
          <w:b/>
          <w:bCs/>
          <w:color w:val="000000"/>
          <w:sz w:val="32"/>
          <w:szCs w:val="32"/>
          <w:shd w:val="clear" w:color="auto" w:fill="FFFFFF"/>
          <w:lang w:val="zh-CN"/>
        </w:rPr>
      </w:pPr>
      <w:r>
        <w:rPr>
          <w:rFonts w:hint="eastAsia" w:ascii="楷体" w:hAnsi="楷体" w:eastAsia="楷体" w:cs="楷体"/>
          <w:b/>
          <w:bCs/>
          <w:color w:val="000000"/>
          <w:sz w:val="32"/>
          <w:szCs w:val="32"/>
          <w:shd w:val="clear" w:color="auto" w:fill="FFFFFF"/>
          <w:lang w:val="zh-CN"/>
        </w:rPr>
        <w:t>支出情况。</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color w:val="000000"/>
          <w:sz w:val="32"/>
          <w:szCs w:val="32"/>
          <w:shd w:val="clear" w:color="auto" w:fill="FFFFFF"/>
        </w:rPr>
        <w:t xml:space="preserve"> </w:t>
      </w:r>
      <w:r>
        <w:rPr>
          <w:rFonts w:hint="eastAsia" w:ascii="仿宋_GB2312" w:hAnsi="仿宋_GB2312" w:eastAsia="仿宋_GB2312" w:cs="仿宋_GB2312"/>
          <w:kern w:val="0"/>
          <w:sz w:val="32"/>
          <w:szCs w:val="32"/>
        </w:rPr>
        <w:t>2025年交通系统全年支出合计为66522.31万元，其中：</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市交通运输局机关：2025年财政资金预算支出37372.01万元，其中：基本支出1482.72万元（人员经费1316.86万元、公用经费165.87万元）；项目支出3588.93万元。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市交通建设工程服务中心：2025年财政资金预算支出127.63万元，其中：基本支出125.7</w:t>
      </w:r>
      <w:r>
        <w:rPr>
          <w:rFonts w:ascii="仿宋_GB2312" w:hAnsi="仿宋_GB2312" w:eastAsia="仿宋_GB2312" w:cs="仿宋_GB2312"/>
          <w:kern w:val="0"/>
          <w:sz w:val="32"/>
          <w:szCs w:val="32"/>
        </w:rPr>
        <w:t>2</w:t>
      </w:r>
      <w:r>
        <w:rPr>
          <w:rFonts w:hint="eastAsia" w:ascii="仿宋_GB2312" w:hAnsi="仿宋_GB2312" w:eastAsia="仿宋_GB2312" w:cs="仿宋_GB2312"/>
          <w:kern w:val="0"/>
          <w:sz w:val="32"/>
          <w:szCs w:val="32"/>
        </w:rPr>
        <w:t>万元（人员经费112.24万元、公用经费13.48万元）；项目支出1.91万元。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市交通运输服务中心：2025年财政资金预算支出2008.17万元，其中：基本支出654.25万元（人员经费592.65万元、公用经费61.59万元）；项目支出1353.92万元。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市交通运输综合行政执法支队：2025年度财政资金预算支出3468.88万元，其中：基本支出3263.43万元（人员经费3019.39万元、公用经费244.04万元）；项目支出205.45万元。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市航务海事中心：2025年度年财政资金预算支出270.62万元，其中：基本支出268.62万元（人员经费238.52万元、公用经费30.1万元）；项目支出2.00万元。</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市公路事业发展中心：2025年财政资金预算支出3043.2万元，其中：基本支出779.25万元（人员经费704.64万元、公用经费74.6万元）；项目支出2263.95万元。</w:t>
      </w:r>
    </w:p>
    <w:p>
      <w:pPr>
        <w:ind w:firstLine="640" w:firstLineChars="200"/>
        <w:rPr>
          <w:rFonts w:ascii="仿宋" w:hAnsi="仿宋" w:eastAsia="仿宋" w:cs="仿宋"/>
          <w:b/>
          <w:bCs/>
          <w:sz w:val="32"/>
          <w:szCs w:val="32"/>
        </w:rPr>
      </w:pPr>
      <w:r>
        <w:rPr>
          <w:rFonts w:hint="eastAsia" w:ascii="仿宋_GB2312" w:hAnsi="仿宋_GB2312" w:eastAsia="仿宋_GB2312" w:cs="仿宋_GB2312"/>
          <w:kern w:val="0"/>
          <w:sz w:val="32"/>
          <w:szCs w:val="32"/>
        </w:rPr>
        <w:t>市公路养护总段：2025年财政资金预算支出20,231.82万元，其中：基本支出10,861.55万元(人员经费）；项目支出9370.27万元。</w:t>
      </w:r>
    </w:p>
    <w:p>
      <w:pPr>
        <w:numPr>
          <w:ilvl w:val="0"/>
          <w:numId w:val="6"/>
        </w:numPr>
        <w:spacing w:line="572" w:lineRule="exact"/>
        <w:ind w:firstLine="632"/>
        <w:rPr>
          <w:rFonts w:ascii="楷体" w:hAnsi="楷体" w:eastAsia="楷体" w:cs="楷体"/>
          <w:b/>
          <w:bCs/>
          <w:color w:val="000000"/>
          <w:sz w:val="32"/>
          <w:szCs w:val="32"/>
          <w:shd w:val="clear" w:color="auto" w:fill="FFFFFF"/>
        </w:rPr>
      </w:pPr>
      <w:r>
        <w:rPr>
          <w:rFonts w:hint="eastAsia" w:ascii="楷体" w:hAnsi="楷体" w:eastAsia="楷体" w:cs="楷体"/>
          <w:b/>
          <w:bCs/>
          <w:color w:val="000000"/>
          <w:sz w:val="32"/>
          <w:szCs w:val="32"/>
          <w:shd w:val="clear" w:color="auto" w:fill="FFFFFF"/>
        </w:rPr>
        <w:t>结余分配和结转结余情况。</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color w:val="000000"/>
          <w:sz w:val="32"/>
          <w:szCs w:val="32"/>
          <w:shd w:val="clear" w:color="auto" w:fill="FFFFFF"/>
        </w:rPr>
        <w:t xml:space="preserve"> </w:t>
      </w:r>
      <w:r>
        <w:rPr>
          <w:rFonts w:hint="eastAsia" w:ascii="仿宋_GB2312" w:hAnsi="仿宋_GB2312" w:eastAsia="仿宋_GB2312" w:cs="仿宋_GB2312"/>
          <w:kern w:val="0"/>
          <w:sz w:val="32"/>
          <w:szCs w:val="32"/>
        </w:rPr>
        <w:t>2025年结余结转11个项目，分别是：</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市交通运输局：交通规划编制40万；农村公路管护1.55万元；普通国省道日常养护资金2.38万元；省级交通专项资金6</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9.41万元；交通数字化资金89.3万元；道路运输领域设备更新213.28万元；攀枝花市普通干线公路智能运行网高位视频检测25.5万元。</w:t>
      </w:r>
    </w:p>
    <w:p>
      <w:pPr>
        <w:ind w:firstLine="640" w:firstLineChars="200"/>
        <w:rPr>
          <w:rFonts w:ascii="仿宋" w:hAnsi="仿宋" w:eastAsia="仿宋" w:cs="仿宋"/>
          <w:color w:val="000000"/>
          <w:sz w:val="32"/>
          <w:szCs w:val="32"/>
          <w:shd w:val="clear" w:color="auto" w:fill="FFFFFF"/>
        </w:rPr>
      </w:pPr>
      <w:r>
        <w:rPr>
          <w:rFonts w:hint="eastAsia" w:ascii="仿宋_GB2312" w:hAnsi="仿宋_GB2312" w:eastAsia="仿宋_GB2312" w:cs="仿宋_GB2312"/>
          <w:kern w:val="0"/>
          <w:sz w:val="32"/>
          <w:szCs w:val="32"/>
        </w:rPr>
        <w:t>公路养护总段：公路长大桥梁结构监测系统375.82万元；普通国省道日常养护资金23.1万元；普通公路及其附属设施养护维修701.79万元；公路灾害防治工程975.18万元。</w:t>
      </w:r>
    </w:p>
    <w:p>
      <w:pPr>
        <w:rPr>
          <w:rFonts w:ascii="黑体" w:hAnsi="宋体" w:eastAsia="黑体"/>
          <w:sz w:val="32"/>
          <w:szCs w:val="32"/>
        </w:rPr>
      </w:pPr>
      <w:r>
        <w:rPr>
          <w:rFonts w:hint="eastAsia" w:ascii="黑体" w:hAnsi="宋体" w:eastAsia="黑体" w:cs="黑体"/>
          <w:sz w:val="32"/>
          <w:szCs w:val="32"/>
          <w:lang w:bidi="ar"/>
        </w:rPr>
        <w:t>三、部门预算绩效分析</w:t>
      </w:r>
    </w:p>
    <w:p>
      <w:pPr>
        <w:ind w:firstLine="642" w:firstLineChars="200"/>
        <w:rPr>
          <w:rFonts w:ascii="仿宋_GB2312" w:eastAsia="仿宋_GB2312"/>
          <w:sz w:val="32"/>
          <w:szCs w:val="32"/>
        </w:rPr>
      </w:pPr>
      <w:r>
        <w:rPr>
          <w:rFonts w:ascii="楷体_GB2312" w:eastAsia="楷体_GB2312" w:cs="楷体_GB2312"/>
          <w:b/>
          <w:sz w:val="32"/>
          <w:szCs w:val="32"/>
          <w:lang w:bidi="ar"/>
        </w:rPr>
        <w:t>（一）部门预算总体绩效分析。</w:t>
      </w:r>
    </w:p>
    <w:p>
      <w:pPr>
        <w:spacing w:line="576" w:lineRule="exact"/>
        <w:ind w:firstLine="800" w:firstLineChars="250"/>
        <w:rPr>
          <w:rFonts w:ascii="仿宋_GB2312" w:hAnsi="仿宋_GB2312" w:eastAsia="仿宋_GB2312" w:cs="仿宋_GB2312"/>
          <w:color w:val="000000"/>
          <w:spacing w:val="-6"/>
          <w:sz w:val="32"/>
          <w:szCs w:val="32"/>
        </w:rPr>
      </w:pPr>
      <w:r>
        <w:rPr>
          <w:rFonts w:hint="eastAsia" w:ascii="仿宋_GB2312" w:hAnsi="仿宋_GB2312" w:eastAsia="仿宋_GB2312" w:cs="仿宋_GB2312"/>
          <w:color w:val="000000"/>
          <w:kern w:val="0"/>
          <w:sz w:val="32"/>
          <w:szCs w:val="32"/>
          <w:shd w:val="clear" w:color="auto" w:fill="FFFFFF"/>
          <w:lang w:bidi="ar"/>
        </w:rPr>
        <w:t>1.履职效能。</w:t>
      </w:r>
      <w:r>
        <w:rPr>
          <w:rFonts w:hint="eastAsia" w:ascii="仿宋_GB2312" w:hAnsi="仿宋_GB2312" w:eastAsia="仿宋_GB2312" w:cs="仿宋_GB2312"/>
          <w:kern w:val="0"/>
          <w:sz w:val="32"/>
          <w:szCs w:val="32"/>
        </w:rPr>
        <w:t>攀宁高速全线建成通车。攀盐高速完成投资11.6亿元。开通北京、上海航线，加密西安航班。乌东德库区库尾航道整治工程纳入交通运输部公路水运三年滚动项目库，并取得全部前置要件。新增国省干线一级公路17公里。S218盐边新县城至安宁工业园区新建工程主线及连接线建成通车，S471仁和区务本乡至东区双龙滩段开工建设，G227米易县白坡彝族乡至攀莲镇段改建工程等4个项目前期工作稳步推进。新改建农村公路304公里，实施安防工程112公里。农村公路优良率从2024年的91%提升至94.29%，位居全省前列</w:t>
      </w:r>
      <w:r>
        <w:rPr>
          <w:rFonts w:hint="eastAsia" w:ascii="仿宋_GB2312" w:hAnsi="仿宋_GB2312" w:eastAsia="仿宋_GB2312" w:cs="仿宋_GB2312"/>
          <w:color w:val="000000"/>
          <w:spacing w:val="-6"/>
          <w:sz w:val="32"/>
          <w:szCs w:val="32"/>
        </w:rPr>
        <w:t>。</w:t>
      </w:r>
      <w:r>
        <w:rPr>
          <w:rFonts w:hint="eastAsia" w:ascii="仿宋_GB2312" w:hAnsi="仿宋_GB2312" w:eastAsia="仿宋_GB2312" w:cs="仿宋_GB2312"/>
          <w:kern w:val="0"/>
          <w:sz w:val="32"/>
          <w:szCs w:val="32"/>
        </w:rPr>
        <w:t>成功申报省级物流枢纽承载城市。申报的国家物流枢纽公共服务园等9个专项债项目成功发债5000万元。磷酸、黄磷公铁联运专线等2条线路入选第一批省级多式联运精品线路名单。攀枝花保税物流中心（B型）等9个物流项目建成投用，完成投资90.72亿元。</w:t>
      </w:r>
    </w:p>
    <w:p>
      <w:pPr>
        <w:ind w:firstLine="640" w:firstLineChars="20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bidi="ar"/>
        </w:rPr>
        <w:t>2.预算管理。</w:t>
      </w:r>
      <w:r>
        <w:rPr>
          <w:rFonts w:hint="eastAsia" w:ascii="仿宋_GB2312" w:hAnsi="仿宋_GB2312" w:eastAsia="仿宋_GB2312" w:cs="仿宋_GB2312"/>
          <w:kern w:val="0"/>
          <w:sz w:val="32"/>
          <w:szCs w:val="32"/>
        </w:rPr>
        <w:t>预算编制方面，我局严格遵循市本级2025年部门预算编审要求，围绕本局职能职责，结合中长期规划与年度工作计划，科学确定了年度核心工作任务及整体履职产出成效；支出执行进度方良好，各项支出严格按照计划统筹推进，执行进度均符合财政部门时序要求；严格按照规定开展就诶与借助按工作；严控一般性支出方面，我局严格按照相关规定，严控“三公”经费、会议培训、差旅出行、办公设备购置及信息网络更新，采取有效措施压减非必要开支。确保单位正常运转和重点项目推进。</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shd w:val="clear" w:color="auto" w:fill="FFFFFF"/>
          <w:lang w:bidi="ar"/>
        </w:rPr>
        <w:t>3.财务管理。</w:t>
      </w:r>
      <w:r>
        <w:rPr>
          <w:rFonts w:hint="eastAsia" w:ascii="仿宋_GB2312" w:hAnsi="仿宋_GB2312" w:eastAsia="仿宋_GB2312" w:cs="仿宋_GB2312"/>
          <w:kern w:val="0"/>
          <w:sz w:val="32"/>
          <w:szCs w:val="32"/>
        </w:rPr>
        <w:t>财务管理制度方面，我局修订完善了内部管理制度，围绕预算管理、收支业务、建设项目、资产运营、合同执行、政府采购等核心管控环节，构建起覆盖全业务流程的内控管理制度体系，有效堵塞管理漏洞、规范权力运行，切实保障了财政资金的安全规范与高效使用；财务岗位设置方面，基于财务管理实际需求，科学设置财务岗位，清晰界定各岗位权责边界，构建起分工明确、相互制衡的财务管理工作机制；资金使用规范方面，我局严格执行财务管理制度，严格依照预算额度、开支范围和标准办理支出业务，同时确保账务处理准确规范，会计凭证要素齐全、财务报告真实完整，以严谨的会计核算体系保障资金使用的合规性与可追溯性。</w:t>
      </w:r>
    </w:p>
    <w:p>
      <w:pPr>
        <w:ind w:firstLine="640" w:firstLineChars="200"/>
        <w:rPr>
          <w:rFonts w:ascii="仿宋_GB2312" w:hAnsi="仿宋_GB2312" w:eastAsia="仿宋_GB2312" w:cs="仿宋_GB2312"/>
          <w:color w:val="000000"/>
          <w:spacing w:val="-6"/>
          <w:sz w:val="32"/>
          <w:szCs w:val="32"/>
        </w:rPr>
      </w:pPr>
      <w:r>
        <w:rPr>
          <w:rFonts w:hint="eastAsia" w:ascii="仿宋_GB2312" w:hAnsi="仿宋_GB2312" w:eastAsia="仿宋_GB2312" w:cs="仿宋_GB2312"/>
          <w:color w:val="000000"/>
          <w:kern w:val="0"/>
          <w:sz w:val="32"/>
          <w:szCs w:val="32"/>
          <w:shd w:val="clear" w:color="auto" w:fill="FFFFFF"/>
          <w:lang w:bidi="ar"/>
        </w:rPr>
        <w:t>4.资产管理。</w:t>
      </w:r>
      <w:r>
        <w:rPr>
          <w:rFonts w:hint="eastAsia" w:ascii="仿宋_GB2312" w:hAnsi="仿宋_GB2312" w:eastAsia="仿宋_GB2312" w:cs="仿宋_GB2312"/>
          <w:kern w:val="0"/>
          <w:sz w:val="32"/>
          <w:szCs w:val="32"/>
        </w:rPr>
        <w:t>人均资产变化率方面，我局合理配置资产，人均资产变化率保持合理水平；资产利用率方面，我局资产均处于有效使用状态，不存在资产闲置浪费情况，资产利用率达到100%；资产盘活率方面，我局无闲置一年以上的资产。</w:t>
      </w:r>
    </w:p>
    <w:p>
      <w:pPr>
        <w:ind w:firstLine="640" w:firstLineChars="20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bidi="ar"/>
        </w:rPr>
        <w:t>5.采购管理。</w:t>
      </w:r>
      <w:r>
        <w:rPr>
          <w:rFonts w:hint="eastAsia" w:ascii="仿宋_GB2312" w:hAnsi="仿宋_GB2312" w:eastAsia="仿宋_GB2312" w:cs="仿宋_GB2312"/>
          <w:kern w:val="0"/>
          <w:sz w:val="32"/>
          <w:szCs w:val="32"/>
        </w:rPr>
        <w:t>严格执行财政政府采购管理要求和流程，采购管理规范有效。支持中小企业发展方面，在政府采购活动中，我局严格贯彻落实政府采购促进中小企业发展相关办法，在同等采购条件下优先确定中小企业为供应商，切实发挥政府采购对中小企业发展的支持作用；采购执行率方面，政府采购项目资金支付及时，采购执行率达到了100%；扶贫采购方面，我局严格按照上级和财政工作安排，按食堂食材采购总额的10%保质保量完成采购。</w:t>
      </w:r>
    </w:p>
    <w:p>
      <w:pPr>
        <w:ind w:firstLine="642" w:firstLineChars="200"/>
        <w:rPr>
          <w:rFonts w:eastAsia="仿宋_GB2312"/>
          <w:sz w:val="32"/>
          <w:szCs w:val="32"/>
        </w:rPr>
      </w:pPr>
      <w:r>
        <w:rPr>
          <w:rFonts w:ascii="楷体_GB2312" w:eastAsia="楷体_GB2312" w:cs="楷体_GB2312"/>
          <w:b/>
          <w:sz w:val="32"/>
          <w:szCs w:val="32"/>
          <w:lang w:bidi="ar"/>
        </w:rPr>
        <w:t>（二）部门预算项目绩效分析。</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zh-CN"/>
        </w:rPr>
        <w:t>常年项目绩效分析。</w:t>
      </w:r>
      <w:r>
        <w:rPr>
          <w:rFonts w:hint="eastAsia" w:ascii="仿宋_GB2312" w:hAnsi="仿宋_GB2312" w:eastAsia="仿宋_GB2312" w:cs="仿宋_GB2312"/>
          <w:kern w:val="0"/>
          <w:sz w:val="32"/>
          <w:szCs w:val="32"/>
        </w:rPr>
        <w:t>常年项目绩效分析。该类项目总数12个，涉及预算总金额42.96万元，1—12月预算执行总体进度为100%，其中：预算结余率大于10%的项目共计0个。</w:t>
      </w:r>
    </w:p>
    <w:p>
      <w:pPr>
        <w:ind w:firstLine="640" w:firstLineChars="200"/>
        <w:rPr>
          <w:rFonts w:ascii="仿宋" w:hAnsi="仿宋" w:eastAsia="仿宋" w:cs="仿宋"/>
          <w:color w:val="000000"/>
          <w:sz w:val="32"/>
          <w:szCs w:val="32"/>
          <w:shd w:val="clear" w:color="auto" w:fill="FFFFFF"/>
        </w:rPr>
      </w:pPr>
      <w:r>
        <w:rPr>
          <w:rFonts w:hint="eastAsia" w:ascii="仿宋_GB2312" w:hAnsi="仿宋_GB2312" w:eastAsia="仿宋_GB2312" w:cs="仿宋_GB2312"/>
          <w:kern w:val="0"/>
          <w:sz w:val="32"/>
          <w:szCs w:val="32"/>
        </w:rPr>
        <w:t>阶段（含一次性）项目绩效分析。该类项目总数33个，涉及预算总金额39254.4万元，1—12月预算执行总体进度为100%，其中：预算结余率大于10%的项目共计0个。</w:t>
      </w:r>
    </w:p>
    <w:p>
      <w:pPr>
        <w:ind w:firstLine="640" w:firstLineChars="200"/>
        <w:rPr>
          <w:rFonts w:ascii="仿宋_GB2312" w:hAnsi="仿宋_GB2312" w:eastAsia="仿宋_GB2312" w:cs="仿宋_GB2312"/>
          <w:kern w:val="0"/>
          <w:sz w:val="32"/>
          <w:szCs w:val="32"/>
        </w:rPr>
      </w:pPr>
      <w:r>
        <w:rPr>
          <w:rFonts w:ascii="楷体_GB2312" w:eastAsia="楷体_GB2312" w:cs="楷体_GB2312"/>
          <w:color w:val="000000"/>
          <w:kern w:val="0"/>
          <w:sz w:val="32"/>
          <w:szCs w:val="32"/>
          <w:shd w:val="clear" w:color="auto" w:fill="FFFFFF"/>
          <w:lang w:bidi="ar"/>
        </w:rPr>
        <w:t>1.</w:t>
      </w:r>
      <w:r>
        <w:rPr>
          <w:rFonts w:hint="eastAsia" w:ascii="仿宋_GB2312" w:hAnsi="仿宋_GB2312" w:eastAsia="仿宋_GB2312" w:cs="仿宋_GB2312"/>
          <w:kern w:val="0"/>
          <w:sz w:val="32"/>
          <w:szCs w:val="32"/>
        </w:rPr>
        <w:t>项目决策。项目设立按固定履行评估论证、申报程序。绩效目标设置于计划期内的任务量、预算安排的资金量基本匹配，绩效目标设置基本科学合理、规范完成。预算项目在规定时间内完成项目入库。</w:t>
      </w:r>
    </w:p>
    <w:p>
      <w:pPr>
        <w:ind w:firstLine="640" w:firstLineChars="200"/>
        <w:rPr>
          <w:rFonts w:eastAsia="仿宋_GB2312"/>
          <w:sz w:val="32"/>
          <w:szCs w:val="32"/>
        </w:rPr>
      </w:pPr>
      <w:r>
        <w:rPr>
          <w:rFonts w:ascii="楷体_GB2312" w:eastAsia="楷体_GB2312" w:cs="楷体_GB2312"/>
          <w:color w:val="000000"/>
          <w:kern w:val="0"/>
          <w:sz w:val="32"/>
          <w:szCs w:val="32"/>
          <w:shd w:val="clear" w:color="auto" w:fill="FFFFFF"/>
          <w:lang w:bidi="ar"/>
        </w:rPr>
        <w:t>2.</w:t>
      </w:r>
      <w:r>
        <w:rPr>
          <w:rFonts w:hint="eastAsia" w:ascii="仿宋_GB2312" w:hAnsi="仿宋_GB2312" w:eastAsia="仿宋_GB2312" w:cs="仿宋_GB2312"/>
          <w:kern w:val="0"/>
          <w:sz w:val="32"/>
          <w:szCs w:val="32"/>
        </w:rPr>
        <w:t>项目执行。项目支出内容严格遵循绩效目标导向，实现预算执行与目标设定的精准契合，在实施过程中，基于绩效监控结果构建动态调整机制，对执行偏差进行合规有序调整，确保预算执行进度与绩效目标达成度保持同步。</w:t>
      </w:r>
    </w:p>
    <w:p>
      <w:pPr>
        <w:ind w:firstLine="640" w:firstLineChars="200"/>
        <w:rPr>
          <w:rFonts w:eastAsia="仿宋_GB2312"/>
          <w:sz w:val="32"/>
          <w:szCs w:val="32"/>
        </w:rPr>
      </w:pPr>
      <w:r>
        <w:rPr>
          <w:rFonts w:ascii="楷体_GB2312" w:eastAsia="楷体_GB2312" w:cs="楷体_GB2312"/>
          <w:color w:val="000000"/>
          <w:kern w:val="0"/>
          <w:sz w:val="32"/>
          <w:szCs w:val="32"/>
          <w:shd w:val="clear" w:color="auto" w:fill="FFFFFF"/>
          <w:lang w:bidi="ar"/>
        </w:rPr>
        <w:t>3.</w:t>
      </w:r>
      <w:r>
        <w:rPr>
          <w:rFonts w:hint="eastAsia" w:ascii="仿宋_GB2312" w:hAnsi="仿宋_GB2312" w:eastAsia="仿宋_GB2312" w:cs="仿宋_GB2312"/>
          <w:kern w:val="0"/>
          <w:sz w:val="32"/>
          <w:szCs w:val="32"/>
        </w:rPr>
        <w:t>目标实现。部门预算项目绩效目标数量指标完成，目标达成度与预期基本契合，部门预算项目绩效目标效益指标呈现显著正向成效。</w:t>
      </w:r>
    </w:p>
    <w:p>
      <w:pPr>
        <w:ind w:firstLine="642" w:firstLineChars="200"/>
        <w:rPr>
          <w:rFonts w:ascii="仿宋" w:hAnsi="仿宋" w:eastAsia="仿宋" w:cs="仿宋"/>
          <w:sz w:val="32"/>
          <w:szCs w:val="32"/>
        </w:rPr>
      </w:pPr>
      <w:r>
        <w:rPr>
          <w:rFonts w:ascii="楷体_GB2312" w:eastAsia="楷体_GB2312" w:cs="楷体_GB2312"/>
          <w:b/>
          <w:sz w:val="32"/>
          <w:szCs w:val="32"/>
          <w:lang w:bidi="ar"/>
        </w:rPr>
        <w:t>（</w:t>
      </w:r>
      <w:r>
        <w:rPr>
          <w:rFonts w:hint="eastAsia" w:ascii="楷体_GB2312" w:eastAsia="楷体_GB2312" w:cs="楷体_GB2312"/>
          <w:b/>
          <w:sz w:val="32"/>
          <w:szCs w:val="32"/>
          <w:lang w:bidi="ar"/>
        </w:rPr>
        <w:t>三</w:t>
      </w:r>
      <w:r>
        <w:rPr>
          <w:rFonts w:ascii="楷体_GB2312" w:eastAsia="楷体_GB2312" w:cs="楷体_GB2312"/>
          <w:b/>
          <w:sz w:val="32"/>
          <w:szCs w:val="32"/>
          <w:lang w:bidi="ar"/>
        </w:rPr>
        <w:t>）绩效结果应用情况。</w:t>
      </w:r>
      <w:r>
        <w:rPr>
          <w:rFonts w:hint="eastAsia" w:ascii="仿宋_GB2312" w:hAnsi="仿宋_GB2312" w:eastAsia="仿宋_GB2312" w:cs="仿宋_GB2312"/>
          <w:kern w:val="0"/>
          <w:sz w:val="32"/>
          <w:szCs w:val="32"/>
        </w:rPr>
        <w:t>以绩效评价结果为导向，查找实际工作中存在的问题和薄弱环节，不断改进工作，全力推动交通攻坚、改善地区综合交通状况和提升我市交通运输管理服务水平，提高企业和群众的满意度。通过企业和群众满意标准的实施，评价交通运输部门各项服务与企业和群众满意度之间的差距，并通过资金使用效率的优化，降低行政成本，真正建立起服务型和效能型机关。</w:t>
      </w:r>
    </w:p>
    <w:p>
      <w:pPr>
        <w:ind w:firstLine="640" w:firstLineChars="200"/>
        <w:rPr>
          <w:rFonts w:ascii="黑体" w:hAnsi="宋体" w:eastAsia="黑体"/>
          <w:sz w:val="32"/>
          <w:szCs w:val="32"/>
        </w:rPr>
      </w:pPr>
      <w:r>
        <w:rPr>
          <w:rFonts w:hint="eastAsia" w:ascii="黑体" w:hAnsi="宋体" w:eastAsia="黑体" w:cs="黑体"/>
          <w:sz w:val="32"/>
          <w:szCs w:val="32"/>
          <w:lang w:bidi="ar"/>
        </w:rPr>
        <w:t>四、评价结论及建议</w:t>
      </w:r>
    </w:p>
    <w:p>
      <w:pPr>
        <w:ind w:firstLine="642" w:firstLineChars="200"/>
        <w:rPr>
          <w:rFonts w:ascii="仿宋" w:hAnsi="仿宋" w:eastAsia="仿宋" w:cs="仿宋"/>
          <w:color w:val="000000"/>
          <w:sz w:val="32"/>
          <w:szCs w:val="32"/>
          <w:shd w:val="clear" w:color="auto" w:fill="FFFFFF"/>
          <w:lang w:val="zh-CN"/>
        </w:rPr>
      </w:pPr>
      <w:r>
        <w:rPr>
          <w:rFonts w:ascii="楷体_GB2312" w:eastAsia="楷体_GB2312" w:cs="楷体_GB2312"/>
          <w:b/>
          <w:sz w:val="32"/>
          <w:szCs w:val="32"/>
          <w:lang w:bidi="ar"/>
        </w:rPr>
        <w:t>（一）评价结论。</w:t>
      </w:r>
      <w:r>
        <w:rPr>
          <w:rFonts w:hint="eastAsia" w:ascii="仿宋_GB2312" w:hAnsi="仿宋_GB2312" w:eastAsia="仿宋_GB2312" w:cs="仿宋_GB2312"/>
          <w:kern w:val="0"/>
          <w:sz w:val="32"/>
          <w:szCs w:val="32"/>
        </w:rPr>
        <w:t>通过此次绩效评价，部门年初制定目标基本实现，重点评价数量和质量基本达到预期，资金管理到位、组织和制度保障体系比较健全。经过对本单位2025年整体支出进行逐项对照自评，自评得分为85分，自评结果为良好。</w:t>
      </w:r>
    </w:p>
    <w:p>
      <w:pPr>
        <w:widowControl/>
        <w:adjustRightInd w:val="0"/>
        <w:snapToGrid w:val="0"/>
        <w:spacing w:line="580" w:lineRule="exact"/>
        <w:ind w:firstLine="632"/>
        <w:contextualSpacing/>
        <w:rPr>
          <w:rFonts w:ascii="楷体_GB2312" w:eastAsia="楷体_GB2312"/>
          <w:b/>
          <w:sz w:val="32"/>
          <w:szCs w:val="32"/>
        </w:rPr>
      </w:pPr>
      <w:r>
        <w:rPr>
          <w:rFonts w:ascii="楷体_GB2312" w:eastAsia="楷体_GB2312" w:cs="楷体_GB2312"/>
          <w:b/>
          <w:sz w:val="32"/>
          <w:szCs w:val="32"/>
          <w:lang w:bidi="ar"/>
        </w:rPr>
        <w:t>（二）存在问题。</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1.部分项目绩效目标编制不够全面、科学，编制依据不充分，导致部分调整预算的情况发生。</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2.项目实际执行进度偏低。实际执行中存在部分项目未按期开工、完工等原因被结转到下年度支付的指标，影响了工程进度。</w:t>
      </w:r>
    </w:p>
    <w:p>
      <w:pPr>
        <w:spacing w:line="572" w:lineRule="exact"/>
        <w:ind w:firstLine="632"/>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3.交通建设资金缺口严重。</w:t>
      </w:r>
    </w:p>
    <w:p>
      <w:pPr>
        <w:spacing w:line="572" w:lineRule="exact"/>
        <w:ind w:firstLine="632"/>
        <w:rPr>
          <w:rFonts w:ascii="楷体_GB2312" w:eastAsia="楷体_GB2312"/>
          <w:b/>
          <w:sz w:val="32"/>
          <w:szCs w:val="32"/>
        </w:rPr>
      </w:pPr>
      <w:r>
        <w:rPr>
          <w:rFonts w:ascii="楷体_GB2312" w:eastAsia="楷体_GB2312" w:cs="楷体_GB2312"/>
          <w:b/>
          <w:sz w:val="32"/>
          <w:szCs w:val="32"/>
          <w:lang w:bidi="ar"/>
        </w:rPr>
        <w:t>（三）改进建议。</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升预算编制质量，围绕绩效目标优化收支预算编制，动态管理项目库，将绩效指标融入编制各环节，从源头提高预算科学性和精准度。今后的工作中将进一步强化绩效目标的管理，设置总体绩效目标时，根据部门工作计划，结合项目具体内容分项设置产出质量指标、产出成本指标、产出进度指标，结合部门职责设置社会效益指标，提高绩效目标的准确性和科学性。</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强化项目实施前期论证工作，提高预算编制的准确性。加强对项目实施可行性的论证，加强对政策文件的了解，提高项目实施的可行性，明确项目预算测算标准、基数及依据测算过程，细化预算编制，提高预算编制的精准性与前瞻性，提高实际支出与预算的匹配度。</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加强全过程资金管控，事前审核项目必要性，事中动态监控资金使用，事后开展绩效评价并与预算安排挂钩，确保资金效益最大化。严格预算监督管理，健全内外协同监督体系，强化对预算编制合规性、资金使用规范性的监督。</w:t>
      </w:r>
    </w:p>
    <w:p>
      <w:pPr>
        <w:pStyle w:val="3"/>
        <w:spacing w:line="560" w:lineRule="exact"/>
        <w:ind w:left="0" w:leftChars="0" w:firstLine="640"/>
        <w:rPr>
          <w:rFonts w:hAnsi="仿宋_GB2312" w:eastAsia="仿宋_GB2312" w:cs="仿宋_GB2312"/>
          <w:sz w:val="32"/>
          <w:lang w:bidi="ar"/>
        </w:rPr>
      </w:pPr>
      <w:r>
        <w:rPr>
          <w:rFonts w:hint="eastAsia" w:hAnsi="仿宋_GB2312" w:eastAsia="仿宋_GB2312" w:cs="仿宋_GB2312"/>
          <w:sz w:val="32"/>
          <w:lang w:val="zh-CN" w:bidi="ar"/>
        </w:rPr>
        <w:t>附表：</w:t>
      </w:r>
      <w:r>
        <w:rPr>
          <w:rFonts w:hint="eastAsia" w:hAnsi="仿宋_GB2312" w:eastAsia="仿宋_GB2312" w:cs="仿宋_GB2312"/>
          <w:sz w:val="32"/>
          <w:lang w:bidi="ar"/>
        </w:rPr>
        <w:t>部门预算项目支出绩效自评表（2025年度）见附表2</w:t>
      </w:r>
    </w:p>
    <w:p>
      <w:pPr>
        <w:pStyle w:val="2"/>
      </w:pPr>
    </w:p>
    <w:p>
      <w:pPr>
        <w:ind w:firstLine="640" w:firstLineChars="200"/>
        <w:rPr>
          <w:rFonts w:ascii="宋体" w:hAnsi="宋体" w:cs="宋体"/>
          <w:sz w:val="32"/>
          <w:szCs w:val="32"/>
          <w:lang w:bidi="ar"/>
        </w:rPr>
      </w:pPr>
    </w:p>
    <w:p>
      <w:pPr>
        <w:ind w:firstLine="640" w:firstLineChars="200"/>
        <w:rPr>
          <w:rFonts w:ascii="宋体" w:hAnsi="宋体" w:cs="宋体"/>
          <w:sz w:val="32"/>
          <w:szCs w:val="32"/>
          <w:lang w:bidi="ar"/>
        </w:rPr>
      </w:pPr>
    </w:p>
    <w:p>
      <w:pPr>
        <w:ind w:firstLine="640" w:firstLineChars="200"/>
        <w:rPr>
          <w:rFonts w:ascii="宋体" w:hAnsi="宋体" w:cs="宋体"/>
          <w:sz w:val="32"/>
          <w:szCs w:val="32"/>
          <w:lang w:bidi="ar"/>
        </w:rPr>
      </w:pPr>
    </w:p>
    <w:p>
      <w:pPr>
        <w:ind w:firstLine="640" w:firstLineChars="200"/>
        <w:rPr>
          <w:rFonts w:ascii="宋体" w:hAnsi="宋体" w:cs="宋体"/>
          <w:sz w:val="32"/>
          <w:szCs w:val="32"/>
          <w:lang w:bidi="ar"/>
        </w:rPr>
      </w:pPr>
    </w:p>
    <w:p>
      <w:pPr>
        <w:ind w:firstLine="640" w:firstLineChars="200"/>
        <w:rPr>
          <w:rFonts w:ascii="宋体" w:hAnsi="宋体" w:cs="宋体"/>
          <w:sz w:val="32"/>
          <w:szCs w:val="32"/>
          <w:lang w:bidi="ar"/>
        </w:rPr>
      </w:pPr>
    </w:p>
    <w:p>
      <w:pPr>
        <w:rPr>
          <w:rFonts w:ascii="黑体" w:hAnsi="宋体" w:eastAsia="黑体"/>
          <w:sz w:val="32"/>
          <w:szCs w:val="32"/>
        </w:rPr>
      </w:pPr>
      <w:r>
        <w:rPr>
          <w:rFonts w:hint="eastAsia" w:ascii="黑体" w:hAnsi="宋体" w:eastAsia="黑体" w:cs="黑体"/>
          <w:sz w:val="32"/>
          <w:szCs w:val="32"/>
          <w:lang w:bidi="ar"/>
        </w:rPr>
        <w:t>附件2</w:t>
      </w:r>
      <w:r>
        <w:rPr>
          <w:rFonts w:hint="eastAsia" w:ascii="黑体" w:hAnsi="宋体" w:eastAsia="黑体"/>
          <w:sz w:val="32"/>
          <w:szCs w:val="32"/>
          <w:lang w:bidi="ar"/>
        </w:rPr>
        <w:t xml:space="preserve"> </w:t>
      </w:r>
    </w:p>
    <w:p>
      <w:pPr>
        <w:pStyle w:val="41"/>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w:t>
      </w:r>
      <w:r>
        <w:rPr>
          <w:rFonts w:hint="eastAsia" w:ascii="Times New Roman" w:hAnsi="Times New Roman" w:eastAsia="方正小标宋简体"/>
          <w:color w:val="auto"/>
          <w:kern w:val="2"/>
          <w:sz w:val="40"/>
          <w:szCs w:val="40"/>
        </w:rPr>
        <w:t>报告</w:t>
      </w:r>
    </w:p>
    <w:p>
      <w:pPr>
        <w:pStyle w:val="41"/>
        <w:spacing w:line="600" w:lineRule="exact"/>
        <w:ind w:firstLine="883"/>
        <w:jc w:val="center"/>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olor w:val="auto"/>
          <w:kern w:val="2"/>
          <w:sz w:val="32"/>
          <w:szCs w:val="32"/>
        </w:rPr>
        <w:t>动车开行补贴</w:t>
      </w:r>
      <w:r>
        <w:rPr>
          <w:rFonts w:ascii="Times New Roman" w:hAnsi="Times New Roman" w:eastAsia="仿宋_GB2312"/>
          <w:color w:val="auto"/>
          <w:kern w:val="2"/>
          <w:sz w:val="32"/>
          <w:szCs w:val="32"/>
        </w:rPr>
        <w:t>）</w:t>
      </w:r>
    </w:p>
    <w:p>
      <w:pPr>
        <w:pStyle w:val="41"/>
        <w:spacing w:line="600" w:lineRule="exact"/>
        <w:ind w:firstLine="640"/>
        <w:jc w:val="center"/>
        <w:rPr>
          <w:rFonts w:ascii="Times New Roman" w:hAnsi="Times New Roman"/>
          <w:color w:val="auto"/>
          <w:kern w:val="2"/>
          <w:sz w:val="32"/>
          <w:szCs w:val="32"/>
        </w:rPr>
      </w:pP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ascii="仿宋" w:hAnsi="仿宋" w:eastAsia="仿宋" w:cs="仿宋"/>
          <w:sz w:val="32"/>
          <w:szCs w:val="32"/>
        </w:rPr>
      </w:pPr>
      <w:r>
        <w:rPr>
          <w:rFonts w:hint="eastAsia" w:ascii="仿宋" w:hAnsi="仿宋" w:eastAsia="仿宋" w:cs="仿宋"/>
          <w:sz w:val="32"/>
          <w:szCs w:val="32"/>
        </w:rPr>
        <w:t>补贴开行攀枝花至成都动车，满足群众高质量出行服务。</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sz w:val="32"/>
          <w:szCs w:val="32"/>
          <w:lang w:val="zh-CN"/>
        </w:rPr>
      </w:pPr>
      <w:r>
        <w:rPr>
          <w:sz w:val="32"/>
          <w:szCs w:val="32"/>
          <w:lang w:val="zh-CN"/>
        </w:rPr>
        <w:t>1. 项目主要内容。</w:t>
      </w:r>
    </w:p>
    <w:p>
      <w:pPr>
        <w:adjustRightInd w:val="0"/>
        <w:snapToGrid w:val="0"/>
        <w:spacing w:line="600" w:lineRule="exact"/>
        <w:ind w:firstLine="720"/>
        <w:rPr>
          <w:sz w:val="32"/>
          <w:szCs w:val="32"/>
          <w:lang w:val="zh-CN"/>
        </w:rPr>
      </w:pPr>
      <w:r>
        <w:rPr>
          <w:rFonts w:hint="eastAsia" w:ascii="仿宋" w:hAnsi="仿宋" w:eastAsia="仿宋" w:cs="仿宋"/>
          <w:sz w:val="32"/>
          <w:szCs w:val="32"/>
        </w:rPr>
        <w:t>补贴开行攀枝花至成都动车。</w:t>
      </w:r>
    </w:p>
    <w:p>
      <w:pPr>
        <w:numPr>
          <w:ilvl w:val="0"/>
          <w:numId w:val="7"/>
        </w:numPr>
        <w:adjustRightInd w:val="0"/>
        <w:snapToGrid w:val="0"/>
        <w:spacing w:line="600" w:lineRule="exact"/>
        <w:ind w:firstLine="720"/>
        <w:rPr>
          <w:sz w:val="32"/>
          <w:szCs w:val="32"/>
          <w:lang w:val="zh-CN"/>
        </w:rPr>
      </w:pPr>
      <w:r>
        <w:rPr>
          <w:sz w:val="32"/>
          <w:szCs w:val="32"/>
          <w:lang w:val="zh-CN"/>
        </w:rPr>
        <w:t>项目应实现的具体绩效目标</w:t>
      </w:r>
      <w:r>
        <w:rPr>
          <w:rFonts w:hint="eastAsia"/>
          <w:sz w:val="32"/>
          <w:szCs w:val="32"/>
          <w:lang w:val="zh-CN"/>
        </w:rPr>
        <w:t>。</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数量指标：</w:t>
      </w:r>
      <w:r>
        <w:rPr>
          <w:rFonts w:hint="eastAsia" w:ascii="仿宋_GB2312" w:hAnsi="仿宋_GB2312" w:eastAsia="仿宋_GB2312" w:cs="仿宋_GB2312"/>
          <w:sz w:val="32"/>
          <w:szCs w:val="32"/>
          <w:lang w:val="zh-CN"/>
        </w:rPr>
        <w:t>开行两对攀枝花至成都直达动车</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质量指标：动车开行安全有序</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时效指标：2025年内完成。</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经济成本指标：财政补助成本500万元。</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 申报内容是与实际相符，申报目标合理可行。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项目绩效自评采用自评方式，对照年初绩效申报目标进行评价。</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项目资金申报、批复及预算调整等均严格按照财政相关要求和规定。</w:t>
      </w:r>
    </w:p>
    <w:p>
      <w:pPr>
        <w:adjustRightInd w:val="0"/>
        <w:snapToGrid w:val="0"/>
        <w:spacing w:line="600" w:lineRule="exact"/>
        <w:ind w:firstLine="720"/>
        <w:rPr>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eastAsia="楷体_GB2312"/>
          <w:sz w:val="32"/>
          <w:szCs w:val="32"/>
          <w:lang w:val="zh-CN"/>
        </w:rPr>
      </w:pPr>
      <w:r>
        <w:rPr>
          <w:rFonts w:eastAsia="楷体_GB2312"/>
          <w:sz w:val="32"/>
          <w:szCs w:val="32"/>
          <w:lang w:val="zh-CN"/>
        </w:rPr>
        <w:t>1</w:t>
      </w:r>
      <w:r>
        <w:rPr>
          <w:rFonts w:hint="eastAsia" w:eastAsia="楷体_GB2312"/>
          <w:sz w:val="32"/>
          <w:szCs w:val="32"/>
        </w:rPr>
        <w:t>.</w:t>
      </w:r>
      <w:r>
        <w:rPr>
          <w:rFonts w:eastAsia="楷体_GB2312"/>
          <w:sz w:val="32"/>
          <w:szCs w:val="32"/>
          <w:lang w:val="zh-CN"/>
        </w:rPr>
        <w:t>资金计划。</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项目计划财政补助资金</w:t>
      </w:r>
      <w:r>
        <w:rPr>
          <w:rFonts w:hint="eastAsia" w:ascii="仿宋_GB2312" w:hAnsi="仿宋_GB2312" w:eastAsia="仿宋_GB2312" w:cs="仿宋_GB2312"/>
          <w:sz w:val="32"/>
          <w:szCs w:val="32"/>
        </w:rPr>
        <w:t>500万元。</w:t>
      </w:r>
    </w:p>
    <w:p>
      <w:pPr>
        <w:adjustRightInd w:val="0"/>
        <w:snapToGrid w:val="0"/>
        <w:spacing w:line="600" w:lineRule="exact"/>
        <w:ind w:left="720"/>
        <w:rPr>
          <w:rFonts w:eastAsia="楷体_GB2312"/>
          <w:sz w:val="32"/>
          <w:szCs w:val="32"/>
          <w:lang w:val="zh-CN"/>
        </w:rPr>
      </w:pPr>
      <w:r>
        <w:rPr>
          <w:rFonts w:hint="eastAsia" w:eastAsia="楷体_GB2312"/>
          <w:sz w:val="32"/>
          <w:szCs w:val="32"/>
        </w:rPr>
        <w:t>2.</w:t>
      </w:r>
      <w:r>
        <w:rPr>
          <w:rFonts w:eastAsia="楷体_GB2312"/>
          <w:sz w:val="32"/>
          <w:szCs w:val="32"/>
          <w:lang w:val="zh-CN"/>
        </w:rPr>
        <w:t>资金到位。</w:t>
      </w:r>
    </w:p>
    <w:p>
      <w:pPr>
        <w:adjustRightInd w:val="0"/>
        <w:snapToGrid w:val="0"/>
        <w:spacing w:line="600" w:lineRule="exact"/>
        <w:ind w:left="720"/>
        <w:rPr>
          <w:rFonts w:ascii="仿宋" w:hAnsi="仿宋" w:eastAsia="仿宋" w:cs="仿宋"/>
          <w:sz w:val="32"/>
          <w:szCs w:val="32"/>
          <w:lang w:val="zh-CN"/>
        </w:rPr>
      </w:pPr>
      <w:r>
        <w:rPr>
          <w:rFonts w:hint="eastAsia" w:ascii="仿宋" w:hAnsi="仿宋" w:eastAsia="仿宋" w:cs="仿宋"/>
          <w:sz w:val="32"/>
          <w:szCs w:val="32"/>
          <w:lang w:val="zh-CN"/>
        </w:rPr>
        <w:t>资金到位及时。</w:t>
      </w:r>
    </w:p>
    <w:p>
      <w:pPr>
        <w:numPr>
          <w:ilvl w:val="0"/>
          <w:numId w:val="7"/>
        </w:numPr>
        <w:adjustRightInd w:val="0"/>
        <w:snapToGrid w:val="0"/>
        <w:spacing w:line="600" w:lineRule="exact"/>
        <w:ind w:firstLine="720"/>
        <w:rPr>
          <w:rFonts w:eastAsia="楷体_GB2312"/>
          <w:sz w:val="32"/>
          <w:szCs w:val="32"/>
          <w:lang w:val="zh-CN"/>
        </w:rPr>
      </w:pPr>
      <w:r>
        <w:rPr>
          <w:rFonts w:eastAsia="楷体_GB2312"/>
          <w:sz w:val="32"/>
          <w:szCs w:val="32"/>
          <w:lang w:val="zh-CN"/>
        </w:rPr>
        <w:t>资金使用。</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项目资金按照财政相关规定和流程使用，资金使用安全、规范、有效。资金支付范围、支付标准、支付进度、支付依据合规合法、与预算相符。</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pPr>
        <w:adjustRightInd w:val="0"/>
        <w:snapToGrid w:val="0"/>
        <w:spacing w:line="56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项目按单位内控相关管理要求和流程进行管理，并组织实施。</w:t>
      </w:r>
    </w:p>
    <w:p>
      <w:pPr>
        <w:adjustRightInd w:val="0"/>
        <w:snapToGrid w:val="0"/>
        <w:spacing w:line="600" w:lineRule="exact"/>
        <w:ind w:firstLine="720"/>
        <w:rPr>
          <w:rFonts w:ascii="仿宋_GB2312" w:hAnsi="仿宋_GB2312" w:eastAsia="仿宋_GB2312" w:cs="仿宋_GB2312"/>
          <w:sz w:val="32"/>
          <w:szCs w:val="32"/>
          <w:lang w:val="zh-CN"/>
        </w:rPr>
      </w:pPr>
      <w:r>
        <w:rPr>
          <w:rFonts w:eastAsia="楷体_GB2312"/>
          <w:b/>
          <w:sz w:val="32"/>
          <w:szCs w:val="32"/>
          <w:lang w:val="zh-CN"/>
        </w:rPr>
        <w:t>（二）项目管理情况。</w:t>
      </w:r>
      <w:r>
        <w:rPr>
          <w:rFonts w:hint="eastAsia" w:ascii="仿宋_GB2312" w:hAnsi="仿宋_GB2312" w:eastAsia="仿宋_GB2312" w:cs="仿宋_GB2312"/>
          <w:sz w:val="32"/>
          <w:szCs w:val="32"/>
          <w:lang w:val="zh-CN"/>
        </w:rPr>
        <w:t>项目实施单位严格执行相关法律法规及项目管理制度，如招投标、政府采购、项目公示制等。</w:t>
      </w:r>
    </w:p>
    <w:p>
      <w:pPr>
        <w:adjustRightInd w:val="0"/>
        <w:snapToGrid w:val="0"/>
        <w:spacing w:line="600" w:lineRule="exact"/>
        <w:ind w:firstLine="720"/>
        <w:rPr>
          <w:rFonts w:ascii="仿宋_GB2312" w:hAnsi="仿宋_GB2312" w:eastAsia="仿宋_GB2312" w:cs="仿宋_GB2312"/>
          <w:sz w:val="32"/>
          <w:szCs w:val="32"/>
          <w:lang w:val="zh-CN"/>
        </w:rPr>
      </w:pPr>
      <w:r>
        <w:rPr>
          <w:rFonts w:eastAsia="楷体_GB2312"/>
          <w:b/>
          <w:sz w:val="32"/>
          <w:szCs w:val="32"/>
          <w:lang w:val="zh-CN"/>
        </w:rPr>
        <w:t>（三）项目监管情况。</w:t>
      </w:r>
      <w:r>
        <w:rPr>
          <w:rFonts w:hint="eastAsia" w:ascii="仿宋_GB2312" w:hAnsi="仿宋_GB2312" w:eastAsia="仿宋_GB2312" w:cs="仿宋_GB2312"/>
          <w:sz w:val="32"/>
          <w:szCs w:val="32"/>
          <w:lang w:val="zh-CN"/>
        </w:rPr>
        <w:t>项目主管部门加强对项目实施的监管，保证项目顺利实施。</w:t>
      </w:r>
    </w:p>
    <w:p>
      <w:pPr>
        <w:adjustRightInd w:val="0"/>
        <w:snapToGrid w:val="0"/>
        <w:spacing w:line="600" w:lineRule="exact"/>
        <w:ind w:firstLine="720"/>
        <w:rPr>
          <w:sz w:val="32"/>
          <w:szCs w:val="32"/>
          <w:lang w:val="zh-CN"/>
        </w:rPr>
      </w:pPr>
      <w:r>
        <w:rPr>
          <w:rFonts w:eastAsia="黑体"/>
          <w:sz w:val="32"/>
          <w:szCs w:val="32"/>
        </w:rPr>
        <w:t>四、项目绩效情况</w:t>
      </w:r>
      <w:r>
        <w:rPr>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56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rPr>
        <w:t>补贴开行攀枝花至成都动车</w:t>
      </w:r>
      <w:r>
        <w:rPr>
          <w:rFonts w:hint="eastAsia" w:ascii="仿宋_GB2312" w:hAnsi="仿宋_GB2312" w:eastAsia="仿宋_GB2312" w:cs="仿宋_GB2312"/>
          <w:sz w:val="32"/>
          <w:szCs w:val="32"/>
          <w:lang w:val="zh-CN"/>
        </w:rPr>
        <w:t>，保证</w:t>
      </w:r>
      <w:r>
        <w:rPr>
          <w:rFonts w:hint="eastAsia" w:ascii="仿宋_GB2312" w:hAnsi="仿宋_GB2312" w:eastAsia="仿宋_GB2312" w:cs="仿宋_GB2312"/>
          <w:sz w:val="32"/>
          <w:szCs w:val="32"/>
        </w:rPr>
        <w:t>动车运行安全有序，财政补助成本500万元及时到位</w:t>
      </w:r>
      <w:r>
        <w:rPr>
          <w:rFonts w:hint="eastAsia" w:ascii="仿宋_GB2312" w:hAnsi="仿宋_GB2312" w:eastAsia="仿宋_GB2312" w:cs="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带动我市经济社会发展，方便市民群众出行，服务对象满意度≥</w:t>
      </w:r>
      <w:r>
        <w:rPr>
          <w:rFonts w:hint="eastAsia" w:ascii="仿宋_GB2312" w:hAnsi="仿宋_GB2312" w:eastAsia="仿宋_GB2312" w:cs="仿宋_GB2312"/>
          <w:sz w:val="32"/>
          <w:szCs w:val="32"/>
        </w:rPr>
        <w:t>90%，达到绩效目标。</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项目基本完成既定绩效目标。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无。</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无。</w:t>
      </w:r>
    </w:p>
    <w:p>
      <w:pPr>
        <w:pStyle w:val="2"/>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w:t>
      </w:r>
      <w:r>
        <w:rPr>
          <w:rFonts w:hint="eastAsia" w:ascii="Times New Roman" w:hAnsi="Times New Roman" w:eastAsia="方正小标宋简体"/>
          <w:color w:val="auto"/>
          <w:kern w:val="2"/>
          <w:sz w:val="40"/>
          <w:szCs w:val="40"/>
        </w:rPr>
        <w:t>报告</w:t>
      </w:r>
    </w:p>
    <w:p>
      <w:pPr>
        <w:spacing w:line="600" w:lineRule="exact"/>
        <w:ind w:firstLine="883"/>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航线补贴</w:t>
      </w:r>
      <w:r>
        <w:rPr>
          <w:rFonts w:eastAsia="仿宋_GB2312"/>
          <w:sz w:val="32"/>
          <w:szCs w:val="32"/>
          <w:lang w:val="zh-CN"/>
        </w:rPr>
        <w:t>）</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56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因机场航线开通后需渡过一段时期的培育期，并且结合客流量小，航班上座率低等原因，新航线开通初期需要政府给予政策、资金支持、引导。目前我市对攀枝花—西安、攀枝花—南京、桂林—攀枝花—重庆、上海浦东—武汉—攀枝花、攀枝花—广州、攀枝花—北京</w:t>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zh-CN"/>
        </w:rPr>
        <w:t>条航线进行补贴。</w:t>
      </w:r>
      <w:r>
        <w:rPr>
          <w:rFonts w:hint="eastAsia" w:ascii="仿宋_GB2312" w:hAnsi="仿宋_GB2312" w:eastAsia="仿宋_GB2312" w:cs="仿宋_GB2312"/>
          <w:bCs/>
          <w:sz w:val="32"/>
          <w:szCs w:val="32"/>
          <w:lang w:val="zh-CN"/>
        </w:rPr>
        <w:t>项目</w:t>
      </w:r>
      <w:r>
        <w:rPr>
          <w:rFonts w:hint="eastAsia" w:ascii="仿宋_GB2312" w:hAnsi="仿宋_GB2312" w:eastAsia="仿宋_GB2312" w:cs="仿宋_GB2312"/>
          <w:sz w:val="32"/>
          <w:szCs w:val="32"/>
          <w:lang w:val="zh-CN"/>
        </w:rPr>
        <w:t>申报内容与具体实施内容相符、申报目标合理可行。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 项目主要内容。</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补贴航线不多于</w:t>
      </w:r>
      <w:r>
        <w:rPr>
          <w:rFonts w:hint="eastAsia" w:ascii="仿宋_GB2312" w:hAnsi="仿宋_GB2312" w:eastAsia="仿宋_GB2312" w:cs="仿宋_GB2312"/>
          <w:sz w:val="32"/>
          <w:szCs w:val="32"/>
        </w:rPr>
        <w:t>6条。</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rPr>
        <w:t>2.</w:t>
      </w:r>
      <w:r>
        <w:rPr>
          <w:rFonts w:eastAsia="仿宋_GB2312"/>
          <w:sz w:val="32"/>
          <w:szCs w:val="32"/>
          <w:lang w:val="zh-CN"/>
        </w:rPr>
        <w:t>项目应实现的具体绩效目标</w:t>
      </w:r>
      <w:r>
        <w:rPr>
          <w:rFonts w:hint="eastAsia" w:eastAsia="仿宋_GB2312"/>
          <w:sz w:val="32"/>
          <w:szCs w:val="32"/>
          <w:lang w:val="zh-CN"/>
        </w:rPr>
        <w:t>。</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数量指标：</w:t>
      </w:r>
      <w:r>
        <w:rPr>
          <w:rFonts w:hint="eastAsia" w:ascii="仿宋_GB2312" w:hAnsi="仿宋_GB2312" w:eastAsia="仿宋_GB2312" w:cs="仿宋_GB2312"/>
          <w:sz w:val="32"/>
          <w:szCs w:val="32"/>
          <w:lang w:val="zh-CN"/>
        </w:rPr>
        <w:t>补贴航线不多于</w:t>
      </w:r>
      <w:r>
        <w:rPr>
          <w:rFonts w:hint="eastAsia" w:ascii="仿宋_GB2312" w:hAnsi="仿宋_GB2312" w:eastAsia="仿宋_GB2312" w:cs="仿宋_GB2312"/>
          <w:sz w:val="32"/>
          <w:szCs w:val="32"/>
        </w:rPr>
        <w:t>6条。</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质量指标：补贴及时到位。</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时效指标：2025年内完成。</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经济成本指标：财政补助成本5969.37万元。</w:t>
      </w:r>
    </w:p>
    <w:p>
      <w:pPr>
        <w:adjustRightInd w:val="0"/>
        <w:snapToGrid w:val="0"/>
        <w:spacing w:line="600" w:lineRule="exact"/>
        <w:ind w:firstLine="640" w:firstLineChars="200"/>
        <w:rPr>
          <w:rFonts w:eastAsia="仿宋_GB2312"/>
          <w:sz w:val="32"/>
          <w:szCs w:val="32"/>
          <w:lang w:val="zh-CN"/>
        </w:rPr>
      </w:pPr>
      <w:r>
        <w:rPr>
          <w:rFonts w:eastAsia="仿宋_GB2312"/>
          <w:sz w:val="32"/>
          <w:szCs w:val="32"/>
          <w:lang w:val="zh-CN"/>
        </w:rPr>
        <w:t>3. 申报内容是与实际相符，申报目标合理可行。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项目绩效自评采用</w:t>
      </w:r>
      <w:r>
        <w:rPr>
          <w:rFonts w:hint="eastAsia" w:eastAsia="仿宋_GB2312"/>
          <w:sz w:val="32"/>
          <w:szCs w:val="32"/>
          <w:lang w:val="zh-CN"/>
        </w:rPr>
        <w:t>自评方式，对照年初绩效申报目标进行评价</w:t>
      </w:r>
      <w:r>
        <w:rPr>
          <w:rFonts w:eastAsia="仿宋_GB2312"/>
          <w:sz w:val="32"/>
          <w:szCs w:val="32"/>
          <w:lang w:val="zh-CN"/>
        </w:rPr>
        <w:t>。</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项目资金申报、批复及预算调整等</w:t>
      </w:r>
      <w:r>
        <w:rPr>
          <w:rFonts w:hint="eastAsia" w:eastAsia="仿宋_GB2312"/>
          <w:sz w:val="32"/>
          <w:szCs w:val="32"/>
          <w:lang w:val="zh-CN"/>
        </w:rPr>
        <w:t>均严格按照财政相关要求和规定</w:t>
      </w:r>
      <w:r>
        <w:rPr>
          <w:rFonts w:eastAsia="仿宋_GB2312"/>
          <w:sz w:val="32"/>
          <w:szCs w:val="32"/>
          <w:lang w:val="zh-CN"/>
        </w:rPr>
        <w:t>。</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eastAsia="楷体_GB2312"/>
          <w:sz w:val="32"/>
          <w:szCs w:val="32"/>
          <w:lang w:val="zh-CN"/>
        </w:rPr>
      </w:pPr>
      <w:r>
        <w:rPr>
          <w:rFonts w:eastAsia="楷体_GB2312"/>
          <w:sz w:val="32"/>
          <w:szCs w:val="32"/>
          <w:lang w:val="zh-CN"/>
        </w:rPr>
        <w:t>1</w:t>
      </w:r>
      <w:r>
        <w:rPr>
          <w:rFonts w:hint="eastAsia" w:eastAsia="楷体_GB2312"/>
          <w:sz w:val="32"/>
          <w:szCs w:val="32"/>
        </w:rPr>
        <w:t>.</w:t>
      </w:r>
      <w:r>
        <w:rPr>
          <w:rFonts w:eastAsia="楷体_GB2312"/>
          <w:sz w:val="32"/>
          <w:szCs w:val="32"/>
          <w:lang w:val="zh-CN"/>
        </w:rPr>
        <w:t>资金计划。</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项目计划财政补助资金</w:t>
      </w:r>
      <w:r>
        <w:rPr>
          <w:rFonts w:hint="eastAsia" w:ascii="仿宋_GB2312" w:hAnsi="仿宋_GB2312" w:eastAsia="仿宋_GB2312" w:cs="仿宋_GB2312"/>
          <w:sz w:val="32"/>
          <w:szCs w:val="32"/>
        </w:rPr>
        <w:t>5969.37万元。</w:t>
      </w:r>
    </w:p>
    <w:p>
      <w:pPr>
        <w:adjustRightInd w:val="0"/>
        <w:snapToGrid w:val="0"/>
        <w:spacing w:line="600" w:lineRule="exact"/>
        <w:ind w:left="720"/>
        <w:rPr>
          <w:rFonts w:eastAsia="楷体_GB2312"/>
          <w:sz w:val="32"/>
          <w:szCs w:val="32"/>
          <w:lang w:val="zh-CN"/>
        </w:rPr>
      </w:pPr>
      <w:r>
        <w:rPr>
          <w:rFonts w:hint="eastAsia" w:eastAsia="楷体_GB2312"/>
          <w:sz w:val="32"/>
          <w:szCs w:val="32"/>
        </w:rPr>
        <w:t>2.</w:t>
      </w:r>
      <w:r>
        <w:rPr>
          <w:rFonts w:eastAsia="楷体_GB2312"/>
          <w:sz w:val="32"/>
          <w:szCs w:val="32"/>
          <w:lang w:val="zh-CN"/>
        </w:rPr>
        <w:t>资金到位。</w:t>
      </w:r>
    </w:p>
    <w:p>
      <w:pPr>
        <w:adjustRightInd w:val="0"/>
        <w:snapToGrid w:val="0"/>
        <w:spacing w:line="600" w:lineRule="exact"/>
        <w:ind w:left="720"/>
        <w:rPr>
          <w:rFonts w:ascii="仿宋" w:hAnsi="仿宋" w:eastAsia="仿宋" w:cs="仿宋"/>
          <w:sz w:val="32"/>
          <w:szCs w:val="32"/>
          <w:lang w:val="zh-CN"/>
        </w:rPr>
      </w:pPr>
      <w:r>
        <w:rPr>
          <w:rFonts w:hint="eastAsia" w:ascii="仿宋" w:hAnsi="仿宋" w:eastAsia="仿宋" w:cs="仿宋"/>
          <w:sz w:val="32"/>
          <w:szCs w:val="32"/>
          <w:lang w:val="zh-CN"/>
        </w:rPr>
        <w:t>资金到位及时。</w:t>
      </w:r>
    </w:p>
    <w:p>
      <w:pPr>
        <w:numPr>
          <w:ilvl w:val="0"/>
          <w:numId w:val="7"/>
        </w:numPr>
        <w:adjustRightInd w:val="0"/>
        <w:snapToGrid w:val="0"/>
        <w:spacing w:line="600" w:lineRule="exact"/>
        <w:ind w:firstLine="720"/>
        <w:rPr>
          <w:rFonts w:eastAsia="楷体_GB2312"/>
          <w:sz w:val="32"/>
          <w:szCs w:val="32"/>
          <w:lang w:val="zh-CN"/>
        </w:rPr>
      </w:pPr>
      <w:r>
        <w:rPr>
          <w:rFonts w:eastAsia="楷体_GB2312"/>
          <w:sz w:val="32"/>
          <w:szCs w:val="32"/>
          <w:lang w:val="zh-CN"/>
        </w:rPr>
        <w:t>资金使用。</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w:t>
      </w:r>
      <w:r>
        <w:rPr>
          <w:rFonts w:eastAsia="仿宋_GB2312"/>
          <w:sz w:val="32"/>
          <w:szCs w:val="32"/>
          <w:lang w:val="zh-CN"/>
        </w:rPr>
        <w:t>资金</w:t>
      </w:r>
      <w:r>
        <w:rPr>
          <w:rFonts w:hint="eastAsia" w:eastAsia="仿宋_GB2312"/>
          <w:sz w:val="32"/>
          <w:szCs w:val="32"/>
          <w:lang w:val="zh-CN"/>
        </w:rPr>
        <w:t>按照财政相关规定和流程使用，资金</w:t>
      </w:r>
      <w:r>
        <w:rPr>
          <w:rFonts w:eastAsia="仿宋_GB2312"/>
          <w:sz w:val="32"/>
          <w:szCs w:val="32"/>
          <w:lang w:val="zh-CN"/>
        </w:rPr>
        <w:t>使用安全、规范</w:t>
      </w:r>
      <w:r>
        <w:rPr>
          <w:rFonts w:hint="eastAsia" w:eastAsia="仿宋_GB2312"/>
          <w:sz w:val="32"/>
          <w:szCs w:val="32"/>
          <w:lang w:val="zh-CN"/>
        </w:rPr>
        <w:t>、</w:t>
      </w:r>
      <w:r>
        <w:rPr>
          <w:rFonts w:eastAsia="仿宋_GB2312"/>
          <w:sz w:val="32"/>
          <w:szCs w:val="32"/>
          <w:lang w:val="zh-CN"/>
        </w:rPr>
        <w:t>有效</w:t>
      </w:r>
      <w:r>
        <w:rPr>
          <w:rFonts w:hint="eastAsia" w:eastAsia="仿宋_GB2312"/>
          <w:sz w:val="32"/>
          <w:szCs w:val="32"/>
          <w:lang w:val="zh-CN"/>
        </w:rPr>
        <w:t>。</w:t>
      </w:r>
      <w:r>
        <w:rPr>
          <w:rFonts w:eastAsia="仿宋_GB2312"/>
          <w:sz w:val="32"/>
          <w:szCs w:val="32"/>
          <w:lang w:val="zh-CN"/>
        </w:rPr>
        <w:t>资金支付范围、支付标准、支付进度、支付依据合规合法、与预算相符</w:t>
      </w:r>
      <w:r>
        <w:rPr>
          <w:rFonts w:hint="eastAsia" w:eastAsia="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项目按单位内控相关管理要求和流程进行管理，并组织实施。</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（二）项目管理情况。</w:t>
      </w:r>
      <w:r>
        <w:rPr>
          <w:rFonts w:eastAsia="仿宋_GB2312"/>
          <w:sz w:val="32"/>
          <w:szCs w:val="32"/>
          <w:lang w:val="zh-CN"/>
        </w:rPr>
        <w:t>项目实施单位</w:t>
      </w:r>
      <w:r>
        <w:rPr>
          <w:rFonts w:hint="eastAsia" w:eastAsia="仿宋_GB2312"/>
          <w:sz w:val="32"/>
          <w:szCs w:val="32"/>
          <w:lang w:val="zh-CN"/>
        </w:rPr>
        <w:t>严格</w:t>
      </w:r>
      <w:r>
        <w:rPr>
          <w:rFonts w:eastAsia="仿宋_GB2312"/>
          <w:sz w:val="32"/>
          <w:szCs w:val="32"/>
          <w:lang w:val="zh-CN"/>
        </w:rPr>
        <w:t>执行相关法律法规及项目管理制度，如招投标、政府采购、项目公示制等。</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eastAsia="仿宋_GB2312"/>
          <w:sz w:val="32"/>
          <w:szCs w:val="32"/>
          <w:lang w:val="zh-CN"/>
        </w:rPr>
        <w:t>项目主管部门</w:t>
      </w:r>
      <w:r>
        <w:rPr>
          <w:rFonts w:hint="eastAsia" w:eastAsia="仿宋_GB2312"/>
          <w:sz w:val="32"/>
          <w:szCs w:val="32"/>
          <w:lang w:val="zh-CN"/>
        </w:rPr>
        <w:t>加强对项目实施的监管，保证项目顺利实施。</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年内完成航线补贴，</w:t>
      </w:r>
      <w:r>
        <w:rPr>
          <w:rFonts w:hint="eastAsia" w:ascii="仿宋_GB2312" w:hAnsi="仿宋_GB2312" w:eastAsia="仿宋_GB2312" w:cs="仿宋_GB2312"/>
          <w:sz w:val="32"/>
          <w:szCs w:val="32"/>
        </w:rPr>
        <w:t>补贴及时到位，确保航线运行平稳。财政补助成本5969.37万元及时到位</w:t>
      </w:r>
      <w:r>
        <w:rPr>
          <w:rFonts w:hint="eastAsia" w:ascii="仿宋_GB2312" w:hAnsi="仿宋_GB2312" w:eastAsia="仿宋_GB2312" w:cs="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方便群众出行，服务对象满意度≥</w:t>
      </w:r>
      <w:r>
        <w:rPr>
          <w:rFonts w:hint="eastAsia" w:ascii="仿宋_GB2312" w:hAnsi="仿宋_GB2312" w:eastAsia="仿宋_GB2312" w:cs="仿宋_GB2312"/>
          <w:sz w:val="32"/>
          <w:szCs w:val="32"/>
        </w:rPr>
        <w:t>80%，达到绩效目标。</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项目基本完成既定绩效目标。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960" w:firstLineChars="300"/>
        <w:rPr>
          <w:rFonts w:eastAsia="仿宋_GB2312"/>
          <w:sz w:val="32"/>
          <w:szCs w:val="32"/>
          <w:lang w:val="zh-CN"/>
        </w:rPr>
      </w:pPr>
      <w:r>
        <w:rPr>
          <w:rFonts w:hint="eastAsia" w:eastAsia="仿宋_GB2312"/>
          <w:sz w:val="32"/>
          <w:szCs w:val="32"/>
          <w:lang w:val="zh-CN"/>
        </w:rPr>
        <w:t>无。</w:t>
      </w:r>
    </w:p>
    <w:p>
      <w:pPr>
        <w:pStyle w:val="2"/>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w:t>
      </w:r>
      <w:r>
        <w:rPr>
          <w:rFonts w:hint="eastAsia" w:ascii="Times New Roman" w:hAnsi="Times New Roman" w:eastAsia="方正小标宋简体"/>
          <w:color w:val="auto"/>
          <w:kern w:val="2"/>
          <w:sz w:val="40"/>
          <w:szCs w:val="40"/>
        </w:rPr>
        <w:t>报告</w:t>
      </w:r>
    </w:p>
    <w:p>
      <w:pPr>
        <w:spacing w:line="600" w:lineRule="exact"/>
        <w:ind w:firstLine="883"/>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火车南站换乘枢纽站后续工程项目</w:t>
      </w:r>
      <w:r>
        <w:rPr>
          <w:rFonts w:eastAsia="仿宋_GB2312"/>
          <w:sz w:val="32"/>
          <w:szCs w:val="32"/>
          <w:lang w:val="zh-CN"/>
        </w:rPr>
        <w:t>）</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560" w:lineRule="exact"/>
        <w:ind w:firstLine="720"/>
        <w:rPr>
          <w:rFonts w:ascii="仿宋" w:hAnsi="仿宋" w:eastAsia="仿宋" w:cs="仿宋"/>
          <w:sz w:val="32"/>
          <w:szCs w:val="32"/>
        </w:rPr>
      </w:pPr>
      <w:r>
        <w:rPr>
          <w:rFonts w:hint="eastAsia" w:ascii="仿宋" w:hAnsi="仿宋" w:eastAsia="仿宋" w:cs="仿宋"/>
          <w:sz w:val="32"/>
          <w:szCs w:val="32"/>
        </w:rPr>
        <w:t>完成南站换乘站后续工程，满足枢纽站换乘需要，提升城市枢纽换成能力。</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 项目主要内容。</w:t>
      </w:r>
    </w:p>
    <w:p>
      <w:pPr>
        <w:adjustRightInd w:val="0"/>
        <w:snapToGrid w:val="0"/>
        <w:spacing w:line="600" w:lineRule="exact"/>
        <w:ind w:firstLine="720"/>
        <w:rPr>
          <w:rFonts w:eastAsia="仿宋_GB2312"/>
          <w:sz w:val="32"/>
          <w:szCs w:val="32"/>
        </w:rPr>
      </w:pPr>
      <w:r>
        <w:rPr>
          <w:rFonts w:hint="eastAsia" w:ascii="仿宋" w:hAnsi="仿宋" w:eastAsia="仿宋" w:cs="仿宋"/>
          <w:sz w:val="32"/>
          <w:szCs w:val="32"/>
        </w:rPr>
        <w:t>完成南站换乘站后续工程，满足枢纽站换乘需要，提升城市枢纽换成能力</w:t>
      </w:r>
      <w:r>
        <w:rPr>
          <w:rFonts w:hint="eastAsia" w:eastAsia="仿宋_GB2312"/>
          <w:sz w:val="32"/>
          <w:szCs w:val="32"/>
          <w:lang w:val="zh-CN"/>
        </w:rPr>
        <w:t>。</w:t>
      </w:r>
    </w:p>
    <w:p>
      <w:pPr>
        <w:numPr>
          <w:ilvl w:val="0"/>
          <w:numId w:val="7"/>
        </w:numPr>
        <w:adjustRightInd w:val="0"/>
        <w:snapToGrid w:val="0"/>
        <w:spacing w:line="600" w:lineRule="exact"/>
        <w:ind w:firstLine="720"/>
        <w:rPr>
          <w:rFonts w:eastAsia="仿宋_GB2312"/>
          <w:sz w:val="32"/>
          <w:szCs w:val="32"/>
          <w:lang w:val="zh-CN"/>
        </w:rPr>
      </w:pPr>
      <w:r>
        <w:rPr>
          <w:rFonts w:eastAsia="仿宋_GB2312"/>
          <w:sz w:val="32"/>
          <w:szCs w:val="32"/>
          <w:lang w:val="zh-CN"/>
        </w:rPr>
        <w:t>项目应实现的具体绩效目标</w:t>
      </w:r>
      <w:r>
        <w:rPr>
          <w:rFonts w:hint="eastAsia" w:eastAsia="仿宋_GB2312"/>
          <w:sz w:val="32"/>
          <w:szCs w:val="32"/>
          <w:lang w:val="zh-CN"/>
        </w:rPr>
        <w:t>。</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数量指标：</w:t>
      </w:r>
      <w:r>
        <w:rPr>
          <w:rFonts w:hint="eastAsia" w:ascii="仿宋_GB2312" w:hAnsi="仿宋_GB2312" w:eastAsia="仿宋_GB2312" w:cs="仿宋_GB2312"/>
          <w:sz w:val="32"/>
          <w:szCs w:val="32"/>
          <w:lang w:val="zh-CN"/>
        </w:rPr>
        <w:t>涉及</w:t>
      </w:r>
      <w:r>
        <w:rPr>
          <w:rFonts w:hint="eastAsia" w:ascii="仿宋_GB2312" w:hAnsi="仿宋_GB2312" w:eastAsia="仿宋_GB2312" w:cs="仿宋_GB2312"/>
          <w:sz w:val="32"/>
          <w:szCs w:val="32"/>
        </w:rPr>
        <w:t>2个采购包</w:t>
      </w:r>
      <w:r>
        <w:rPr>
          <w:rFonts w:hint="eastAsia" w:ascii="仿宋_GB2312" w:hAnsi="仿宋_GB2312" w:eastAsia="仿宋_GB2312" w:cs="仿宋_GB2312"/>
          <w:sz w:val="32"/>
          <w:szCs w:val="32"/>
          <w:lang w:val="zh-CN"/>
        </w:rPr>
        <w:t>。</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质量指标：资金使用合规</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时效指标：2025年内完成。</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经济成本指标：财政补助成本375.38万元。</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 申报内容是与实际相符，申报目标合理可行。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项目绩效自评采用</w:t>
      </w:r>
      <w:r>
        <w:rPr>
          <w:rFonts w:hint="eastAsia" w:eastAsia="仿宋_GB2312"/>
          <w:sz w:val="32"/>
          <w:szCs w:val="32"/>
          <w:lang w:val="zh-CN"/>
        </w:rPr>
        <w:t>自评方式，对照年初绩效申报目标进行评价</w:t>
      </w:r>
      <w:r>
        <w:rPr>
          <w:rFonts w:eastAsia="仿宋_GB2312"/>
          <w:sz w:val="32"/>
          <w:szCs w:val="32"/>
          <w:lang w:val="zh-CN"/>
        </w:rPr>
        <w:t>。</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项目资金申报、批复及预算调整等</w:t>
      </w:r>
      <w:r>
        <w:rPr>
          <w:rFonts w:hint="eastAsia" w:eastAsia="仿宋_GB2312"/>
          <w:sz w:val="32"/>
          <w:szCs w:val="32"/>
          <w:lang w:val="zh-CN"/>
        </w:rPr>
        <w:t>均严格按照财政相关要求和规定</w:t>
      </w:r>
      <w:r>
        <w:rPr>
          <w:rFonts w:eastAsia="仿宋_GB2312"/>
          <w:sz w:val="32"/>
          <w:szCs w:val="32"/>
          <w:lang w:val="zh-CN"/>
        </w:rPr>
        <w:t>。</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eastAsia="楷体_GB2312"/>
          <w:sz w:val="32"/>
          <w:szCs w:val="32"/>
          <w:lang w:val="zh-CN"/>
        </w:rPr>
      </w:pPr>
      <w:r>
        <w:rPr>
          <w:rFonts w:eastAsia="楷体_GB2312"/>
          <w:sz w:val="32"/>
          <w:szCs w:val="32"/>
          <w:lang w:val="zh-CN"/>
        </w:rPr>
        <w:t>1</w:t>
      </w:r>
      <w:r>
        <w:rPr>
          <w:rFonts w:hint="eastAsia" w:eastAsia="楷体_GB2312"/>
          <w:sz w:val="32"/>
          <w:szCs w:val="32"/>
        </w:rPr>
        <w:t>.</w:t>
      </w:r>
      <w:r>
        <w:rPr>
          <w:rFonts w:eastAsia="楷体_GB2312"/>
          <w:sz w:val="32"/>
          <w:szCs w:val="32"/>
          <w:lang w:val="zh-CN"/>
        </w:rPr>
        <w:t>资金计划。</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项目计划财政补助资金</w:t>
      </w:r>
      <w:r>
        <w:rPr>
          <w:rFonts w:hint="eastAsia" w:ascii="仿宋_GB2312" w:hAnsi="仿宋_GB2312" w:eastAsia="仿宋_GB2312" w:cs="仿宋_GB2312"/>
          <w:sz w:val="32"/>
          <w:szCs w:val="32"/>
        </w:rPr>
        <w:t>375.38万元。</w:t>
      </w:r>
    </w:p>
    <w:p>
      <w:pPr>
        <w:adjustRightInd w:val="0"/>
        <w:snapToGrid w:val="0"/>
        <w:spacing w:line="600" w:lineRule="exact"/>
        <w:ind w:left="720"/>
        <w:rPr>
          <w:rFonts w:eastAsia="楷体_GB2312"/>
          <w:sz w:val="32"/>
          <w:szCs w:val="32"/>
          <w:lang w:val="zh-CN"/>
        </w:rPr>
      </w:pPr>
      <w:r>
        <w:rPr>
          <w:rFonts w:hint="eastAsia" w:eastAsia="楷体_GB2312"/>
          <w:sz w:val="32"/>
          <w:szCs w:val="32"/>
        </w:rPr>
        <w:t>2.</w:t>
      </w:r>
      <w:r>
        <w:rPr>
          <w:rFonts w:eastAsia="楷体_GB2312"/>
          <w:sz w:val="32"/>
          <w:szCs w:val="32"/>
          <w:lang w:val="zh-CN"/>
        </w:rPr>
        <w:t>资金到位。</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资金到位及时。</w:t>
      </w:r>
    </w:p>
    <w:p>
      <w:pPr>
        <w:numPr>
          <w:ilvl w:val="0"/>
          <w:numId w:val="7"/>
        </w:numPr>
        <w:adjustRightInd w:val="0"/>
        <w:snapToGrid w:val="0"/>
        <w:spacing w:line="600" w:lineRule="exact"/>
        <w:ind w:firstLine="720"/>
        <w:rPr>
          <w:rFonts w:eastAsia="楷体_GB2312"/>
          <w:sz w:val="32"/>
          <w:szCs w:val="32"/>
          <w:lang w:val="zh-CN"/>
        </w:rPr>
      </w:pPr>
      <w:r>
        <w:rPr>
          <w:rFonts w:eastAsia="楷体_GB2312"/>
          <w:sz w:val="32"/>
          <w:szCs w:val="32"/>
          <w:lang w:val="zh-CN"/>
        </w:rPr>
        <w:t>资金使用。</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w:t>
      </w:r>
      <w:r>
        <w:rPr>
          <w:rFonts w:eastAsia="仿宋_GB2312"/>
          <w:sz w:val="32"/>
          <w:szCs w:val="32"/>
          <w:lang w:val="zh-CN"/>
        </w:rPr>
        <w:t>资金</w:t>
      </w:r>
      <w:r>
        <w:rPr>
          <w:rFonts w:hint="eastAsia" w:eastAsia="仿宋_GB2312"/>
          <w:sz w:val="32"/>
          <w:szCs w:val="32"/>
          <w:lang w:val="zh-CN"/>
        </w:rPr>
        <w:t>按照财政相关规定和流程使用，资金</w:t>
      </w:r>
      <w:r>
        <w:rPr>
          <w:rFonts w:eastAsia="仿宋_GB2312"/>
          <w:sz w:val="32"/>
          <w:szCs w:val="32"/>
          <w:lang w:val="zh-CN"/>
        </w:rPr>
        <w:t>使用安全、规范</w:t>
      </w:r>
      <w:r>
        <w:rPr>
          <w:rFonts w:hint="eastAsia" w:eastAsia="仿宋_GB2312"/>
          <w:sz w:val="32"/>
          <w:szCs w:val="32"/>
          <w:lang w:val="zh-CN"/>
        </w:rPr>
        <w:t>、</w:t>
      </w:r>
      <w:r>
        <w:rPr>
          <w:rFonts w:eastAsia="仿宋_GB2312"/>
          <w:sz w:val="32"/>
          <w:szCs w:val="32"/>
          <w:lang w:val="zh-CN"/>
        </w:rPr>
        <w:t>有效</w:t>
      </w:r>
      <w:r>
        <w:rPr>
          <w:rFonts w:hint="eastAsia" w:eastAsia="仿宋_GB2312"/>
          <w:sz w:val="32"/>
          <w:szCs w:val="32"/>
          <w:lang w:val="zh-CN"/>
        </w:rPr>
        <w:t>。</w:t>
      </w:r>
      <w:r>
        <w:rPr>
          <w:rFonts w:eastAsia="仿宋_GB2312"/>
          <w:sz w:val="32"/>
          <w:szCs w:val="32"/>
          <w:lang w:val="zh-CN"/>
        </w:rPr>
        <w:t>资金支付范围、支付标准、支付进度、支付依据合规合法、与预算相符</w:t>
      </w:r>
      <w:r>
        <w:rPr>
          <w:rFonts w:hint="eastAsia" w:eastAsia="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项目按单位内控相关管理要求和流程进行管理，并组织实施。</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（二）项目管理情况。</w:t>
      </w:r>
      <w:r>
        <w:rPr>
          <w:rFonts w:eastAsia="仿宋_GB2312"/>
          <w:sz w:val="32"/>
          <w:szCs w:val="32"/>
          <w:lang w:val="zh-CN"/>
        </w:rPr>
        <w:t>项目实施单位</w:t>
      </w:r>
      <w:r>
        <w:rPr>
          <w:rFonts w:hint="eastAsia" w:eastAsia="仿宋_GB2312"/>
          <w:sz w:val="32"/>
          <w:szCs w:val="32"/>
          <w:lang w:val="zh-CN"/>
        </w:rPr>
        <w:t>严格</w:t>
      </w:r>
      <w:r>
        <w:rPr>
          <w:rFonts w:eastAsia="仿宋_GB2312"/>
          <w:sz w:val="32"/>
          <w:szCs w:val="32"/>
          <w:lang w:val="zh-CN"/>
        </w:rPr>
        <w:t>执行相关法律法规及项目管理制度，如招投标、政府采购、项目公示制等。</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eastAsia="仿宋_GB2312"/>
          <w:sz w:val="32"/>
          <w:szCs w:val="32"/>
          <w:lang w:val="zh-CN"/>
        </w:rPr>
        <w:t>项目主管部门</w:t>
      </w:r>
      <w:r>
        <w:rPr>
          <w:rFonts w:hint="eastAsia" w:eastAsia="仿宋_GB2312"/>
          <w:sz w:val="32"/>
          <w:szCs w:val="32"/>
          <w:lang w:val="zh-CN"/>
        </w:rPr>
        <w:t>加强对项目实施的监管，保证项目顺利实施。</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56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rPr>
        <w:t>完成南站换乘站后续工程，满足枢纽站换乘需要，提升城市枢纽换成能力，财政补助成本375.38万元及时到位</w:t>
      </w:r>
      <w:r>
        <w:rPr>
          <w:rFonts w:hint="eastAsia" w:ascii="仿宋_GB2312" w:hAnsi="仿宋_GB2312" w:eastAsia="仿宋_GB2312" w:cs="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仿宋_GB2312"/>
          <w:sz w:val="32"/>
          <w:szCs w:val="32"/>
        </w:rPr>
      </w:pPr>
      <w:r>
        <w:rPr>
          <w:rFonts w:hint="eastAsia" w:eastAsia="仿宋_GB2312"/>
          <w:sz w:val="32"/>
          <w:szCs w:val="32"/>
          <w:lang w:val="zh-CN"/>
        </w:rPr>
        <w:t>方便市民群众出行，为市民乘机提供方便，服务对象满意度≥</w:t>
      </w:r>
      <w:r>
        <w:rPr>
          <w:rFonts w:hint="eastAsia" w:eastAsia="仿宋_GB2312"/>
          <w:sz w:val="32"/>
          <w:szCs w:val="32"/>
        </w:rPr>
        <w:t>95%，达到绩效目标。</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项目基本完成既定绩效目标。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960" w:firstLineChars="300"/>
        <w:rPr>
          <w:rFonts w:eastAsia="仿宋_GB2312"/>
          <w:sz w:val="32"/>
          <w:szCs w:val="32"/>
          <w:lang w:val="zh-CN"/>
        </w:rPr>
      </w:pPr>
      <w:r>
        <w:rPr>
          <w:rFonts w:hint="eastAsia" w:eastAsia="仿宋_GB2312"/>
          <w:sz w:val="32"/>
          <w:szCs w:val="32"/>
          <w:lang w:val="zh-CN"/>
        </w:rPr>
        <w:t>无。</w:t>
      </w:r>
    </w:p>
    <w:p>
      <w:pPr>
        <w:pStyle w:val="2"/>
        <w:rPr>
          <w:lang w:val="zh-CN"/>
        </w:rPr>
      </w:pPr>
    </w:p>
    <w:p>
      <w:pPr>
        <w:pStyle w:val="2"/>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w:t>
      </w:r>
      <w:r>
        <w:rPr>
          <w:rFonts w:hint="eastAsia" w:ascii="Times New Roman" w:hAnsi="Times New Roman" w:eastAsia="方正小标宋简体"/>
          <w:color w:val="auto"/>
          <w:kern w:val="2"/>
          <w:sz w:val="40"/>
          <w:szCs w:val="40"/>
        </w:rPr>
        <w:t>报告</w:t>
      </w:r>
    </w:p>
    <w:p>
      <w:pPr>
        <w:spacing w:line="600" w:lineRule="exact"/>
        <w:ind w:firstLine="883"/>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机场大巴营运补贴</w:t>
      </w:r>
      <w:r>
        <w:rPr>
          <w:rFonts w:eastAsia="仿宋_GB2312"/>
          <w:sz w:val="32"/>
          <w:szCs w:val="32"/>
          <w:lang w:val="zh-CN"/>
        </w:rPr>
        <w:t>）</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560" w:lineRule="exact"/>
        <w:ind w:firstLine="720"/>
        <w:rPr>
          <w:rFonts w:ascii="仿宋" w:hAnsi="仿宋" w:eastAsia="仿宋" w:cs="仿宋"/>
          <w:sz w:val="32"/>
          <w:szCs w:val="32"/>
        </w:rPr>
      </w:pPr>
      <w:r>
        <w:rPr>
          <w:rFonts w:hint="eastAsia" w:ascii="仿宋" w:hAnsi="仿宋" w:eastAsia="仿宋" w:cs="仿宋"/>
          <w:sz w:val="32"/>
          <w:szCs w:val="32"/>
        </w:rPr>
        <w:t>补贴机场大巴运营，保证群众出行。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 项目主要内容。</w:t>
      </w:r>
    </w:p>
    <w:p>
      <w:pPr>
        <w:adjustRightInd w:val="0"/>
        <w:snapToGrid w:val="0"/>
        <w:spacing w:line="600" w:lineRule="exact"/>
        <w:ind w:firstLine="720"/>
        <w:rPr>
          <w:rFonts w:eastAsia="仿宋_GB2312"/>
          <w:sz w:val="32"/>
          <w:szCs w:val="32"/>
        </w:rPr>
      </w:pPr>
      <w:r>
        <w:rPr>
          <w:rFonts w:hint="eastAsia" w:ascii="仿宋" w:hAnsi="仿宋" w:eastAsia="仿宋" w:cs="仿宋"/>
          <w:sz w:val="32"/>
          <w:szCs w:val="32"/>
        </w:rPr>
        <w:t>补贴机场大巴运营</w:t>
      </w:r>
      <w:r>
        <w:rPr>
          <w:rFonts w:hint="eastAsia" w:eastAsia="仿宋_GB2312"/>
          <w:sz w:val="32"/>
          <w:szCs w:val="32"/>
          <w:lang w:val="zh-CN"/>
        </w:rPr>
        <w:t>。</w:t>
      </w:r>
    </w:p>
    <w:p>
      <w:pPr>
        <w:numPr>
          <w:ilvl w:val="0"/>
          <w:numId w:val="7"/>
        </w:numPr>
        <w:adjustRightInd w:val="0"/>
        <w:snapToGrid w:val="0"/>
        <w:spacing w:line="600" w:lineRule="exact"/>
        <w:ind w:firstLine="720"/>
        <w:rPr>
          <w:rFonts w:eastAsia="仿宋_GB2312"/>
          <w:sz w:val="32"/>
          <w:szCs w:val="32"/>
          <w:lang w:val="zh-CN"/>
        </w:rPr>
      </w:pPr>
      <w:r>
        <w:rPr>
          <w:rFonts w:eastAsia="仿宋_GB2312"/>
          <w:sz w:val="32"/>
          <w:szCs w:val="32"/>
          <w:lang w:val="zh-CN"/>
        </w:rPr>
        <w:t>项目应实现的具体绩效目标</w:t>
      </w:r>
      <w:r>
        <w:rPr>
          <w:rFonts w:hint="eastAsia" w:eastAsia="仿宋_GB2312"/>
          <w:sz w:val="32"/>
          <w:szCs w:val="32"/>
          <w:lang w:val="zh-CN"/>
        </w:rPr>
        <w:t>。</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数量指标：</w:t>
      </w:r>
      <w:r>
        <w:rPr>
          <w:rFonts w:hint="eastAsia" w:ascii="仿宋_GB2312" w:hAnsi="仿宋_GB2312" w:eastAsia="仿宋_GB2312" w:cs="仿宋_GB2312"/>
          <w:sz w:val="32"/>
          <w:szCs w:val="32"/>
          <w:lang w:val="zh-CN"/>
        </w:rPr>
        <w:t>班次根据航班次确定。</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质量指标：市区至机场大巴运行安全有序</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时效指标：2025年内完成。</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经济成本指标：财政补助成本50万元。</w:t>
      </w:r>
    </w:p>
    <w:p>
      <w:pPr>
        <w:adjustRightInd w:val="0"/>
        <w:snapToGrid w:val="0"/>
        <w:spacing w:line="600" w:lineRule="exact"/>
        <w:ind w:firstLine="640" w:firstLineChars="200"/>
        <w:rPr>
          <w:rFonts w:eastAsia="仿宋_GB2312"/>
          <w:sz w:val="32"/>
          <w:szCs w:val="32"/>
          <w:lang w:val="zh-CN"/>
        </w:rPr>
      </w:pPr>
      <w:r>
        <w:rPr>
          <w:rFonts w:eastAsia="仿宋_GB2312"/>
          <w:sz w:val="32"/>
          <w:szCs w:val="32"/>
          <w:lang w:val="zh-CN"/>
        </w:rPr>
        <w:t>3. 申报内容是与实际相符，申报目标合理可行。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项目绩效自评采用</w:t>
      </w:r>
      <w:r>
        <w:rPr>
          <w:rFonts w:hint="eastAsia" w:eastAsia="仿宋_GB2312"/>
          <w:sz w:val="32"/>
          <w:szCs w:val="32"/>
          <w:lang w:val="zh-CN"/>
        </w:rPr>
        <w:t>自评方式，对照年初绩效申报目标进行评价</w:t>
      </w:r>
      <w:r>
        <w:rPr>
          <w:rFonts w:eastAsia="仿宋_GB2312"/>
          <w:sz w:val="32"/>
          <w:szCs w:val="32"/>
          <w:lang w:val="zh-CN"/>
        </w:rPr>
        <w:t>。</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项目资金申报、批复及预算调整等</w:t>
      </w:r>
      <w:r>
        <w:rPr>
          <w:rFonts w:hint="eastAsia" w:eastAsia="仿宋_GB2312"/>
          <w:sz w:val="32"/>
          <w:szCs w:val="32"/>
          <w:lang w:val="zh-CN"/>
        </w:rPr>
        <w:t>均严格按照财政相关要求和规定</w:t>
      </w:r>
      <w:r>
        <w:rPr>
          <w:rFonts w:eastAsia="仿宋_GB2312"/>
          <w:sz w:val="32"/>
          <w:szCs w:val="32"/>
          <w:lang w:val="zh-CN"/>
        </w:rPr>
        <w:t>。</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eastAsia="楷体_GB2312"/>
          <w:sz w:val="32"/>
          <w:szCs w:val="32"/>
          <w:lang w:val="zh-CN"/>
        </w:rPr>
      </w:pPr>
      <w:r>
        <w:rPr>
          <w:rFonts w:eastAsia="楷体_GB2312"/>
          <w:sz w:val="32"/>
          <w:szCs w:val="32"/>
          <w:lang w:val="zh-CN"/>
        </w:rPr>
        <w:t>1</w:t>
      </w:r>
      <w:r>
        <w:rPr>
          <w:rFonts w:hint="eastAsia" w:eastAsia="楷体_GB2312"/>
          <w:sz w:val="32"/>
          <w:szCs w:val="32"/>
        </w:rPr>
        <w:t>.</w:t>
      </w:r>
      <w:r>
        <w:rPr>
          <w:rFonts w:eastAsia="楷体_GB2312"/>
          <w:sz w:val="32"/>
          <w:szCs w:val="32"/>
          <w:lang w:val="zh-CN"/>
        </w:rPr>
        <w:t>资金计划。</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项目计划财政补助资金</w:t>
      </w:r>
      <w:r>
        <w:rPr>
          <w:rFonts w:hint="eastAsia" w:ascii="仿宋_GB2312" w:hAnsi="仿宋_GB2312" w:eastAsia="仿宋_GB2312" w:cs="仿宋_GB2312"/>
          <w:sz w:val="32"/>
          <w:szCs w:val="32"/>
        </w:rPr>
        <w:t>50万元。</w:t>
      </w:r>
    </w:p>
    <w:p>
      <w:pPr>
        <w:adjustRightInd w:val="0"/>
        <w:snapToGrid w:val="0"/>
        <w:spacing w:line="600" w:lineRule="exact"/>
        <w:ind w:left="720"/>
        <w:rPr>
          <w:rFonts w:eastAsia="楷体_GB2312"/>
          <w:sz w:val="32"/>
          <w:szCs w:val="32"/>
          <w:lang w:val="zh-CN"/>
        </w:rPr>
      </w:pPr>
      <w:r>
        <w:rPr>
          <w:rFonts w:hint="eastAsia" w:eastAsia="楷体_GB2312"/>
          <w:sz w:val="32"/>
          <w:szCs w:val="32"/>
        </w:rPr>
        <w:t>2.</w:t>
      </w:r>
      <w:r>
        <w:rPr>
          <w:rFonts w:eastAsia="楷体_GB2312"/>
          <w:sz w:val="32"/>
          <w:szCs w:val="32"/>
          <w:lang w:val="zh-CN"/>
        </w:rPr>
        <w:t>资金到位。</w:t>
      </w:r>
    </w:p>
    <w:p>
      <w:pPr>
        <w:adjustRightInd w:val="0"/>
        <w:snapToGrid w:val="0"/>
        <w:spacing w:line="600" w:lineRule="exact"/>
        <w:ind w:left="720"/>
        <w:rPr>
          <w:rFonts w:ascii="仿宋" w:hAnsi="仿宋" w:eastAsia="仿宋" w:cs="仿宋"/>
          <w:sz w:val="32"/>
          <w:szCs w:val="32"/>
          <w:lang w:val="zh-CN"/>
        </w:rPr>
      </w:pPr>
      <w:r>
        <w:rPr>
          <w:rFonts w:hint="eastAsia" w:ascii="仿宋" w:hAnsi="仿宋" w:eastAsia="仿宋" w:cs="仿宋"/>
          <w:sz w:val="32"/>
          <w:szCs w:val="32"/>
          <w:lang w:val="zh-CN"/>
        </w:rPr>
        <w:t>资金到位及时。</w:t>
      </w:r>
    </w:p>
    <w:p>
      <w:pPr>
        <w:numPr>
          <w:ilvl w:val="0"/>
          <w:numId w:val="7"/>
        </w:numPr>
        <w:adjustRightInd w:val="0"/>
        <w:snapToGrid w:val="0"/>
        <w:spacing w:line="600" w:lineRule="exact"/>
        <w:ind w:firstLine="720"/>
        <w:rPr>
          <w:rFonts w:eastAsia="楷体_GB2312"/>
          <w:sz w:val="32"/>
          <w:szCs w:val="32"/>
          <w:lang w:val="zh-CN"/>
        </w:rPr>
      </w:pPr>
      <w:r>
        <w:rPr>
          <w:rFonts w:eastAsia="楷体_GB2312"/>
          <w:sz w:val="32"/>
          <w:szCs w:val="32"/>
          <w:lang w:val="zh-CN"/>
        </w:rPr>
        <w:t>资金使用。</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w:t>
      </w:r>
      <w:r>
        <w:rPr>
          <w:rFonts w:eastAsia="仿宋_GB2312"/>
          <w:sz w:val="32"/>
          <w:szCs w:val="32"/>
          <w:lang w:val="zh-CN"/>
        </w:rPr>
        <w:t>资金</w:t>
      </w:r>
      <w:r>
        <w:rPr>
          <w:rFonts w:hint="eastAsia" w:eastAsia="仿宋_GB2312"/>
          <w:sz w:val="32"/>
          <w:szCs w:val="32"/>
          <w:lang w:val="zh-CN"/>
        </w:rPr>
        <w:t>按照财政相关规定和流程使用，资金</w:t>
      </w:r>
      <w:r>
        <w:rPr>
          <w:rFonts w:eastAsia="仿宋_GB2312"/>
          <w:sz w:val="32"/>
          <w:szCs w:val="32"/>
          <w:lang w:val="zh-CN"/>
        </w:rPr>
        <w:t>使用安全、规范</w:t>
      </w:r>
      <w:r>
        <w:rPr>
          <w:rFonts w:hint="eastAsia" w:eastAsia="仿宋_GB2312"/>
          <w:sz w:val="32"/>
          <w:szCs w:val="32"/>
          <w:lang w:val="zh-CN"/>
        </w:rPr>
        <w:t>、</w:t>
      </w:r>
      <w:r>
        <w:rPr>
          <w:rFonts w:eastAsia="仿宋_GB2312"/>
          <w:sz w:val="32"/>
          <w:szCs w:val="32"/>
          <w:lang w:val="zh-CN"/>
        </w:rPr>
        <w:t>有效</w:t>
      </w:r>
      <w:r>
        <w:rPr>
          <w:rFonts w:hint="eastAsia" w:eastAsia="仿宋_GB2312"/>
          <w:sz w:val="32"/>
          <w:szCs w:val="32"/>
          <w:lang w:val="zh-CN"/>
        </w:rPr>
        <w:t>。</w:t>
      </w:r>
      <w:r>
        <w:rPr>
          <w:rFonts w:eastAsia="仿宋_GB2312"/>
          <w:sz w:val="32"/>
          <w:szCs w:val="32"/>
          <w:lang w:val="zh-CN"/>
        </w:rPr>
        <w:t>资金支付范围、支付标准、支付进度、支付依据合规合法、与预算相符</w:t>
      </w:r>
      <w:r>
        <w:rPr>
          <w:rFonts w:hint="eastAsia" w:eastAsia="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项目按单位内控相关管理要求和流程进行管理，并组织实施。</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（二）项目管理情况。</w:t>
      </w:r>
      <w:r>
        <w:rPr>
          <w:rFonts w:eastAsia="仿宋_GB2312"/>
          <w:sz w:val="32"/>
          <w:szCs w:val="32"/>
          <w:lang w:val="zh-CN"/>
        </w:rPr>
        <w:t>项目实施单位</w:t>
      </w:r>
      <w:r>
        <w:rPr>
          <w:rFonts w:hint="eastAsia" w:eastAsia="仿宋_GB2312"/>
          <w:sz w:val="32"/>
          <w:szCs w:val="32"/>
          <w:lang w:val="zh-CN"/>
        </w:rPr>
        <w:t>严格</w:t>
      </w:r>
      <w:r>
        <w:rPr>
          <w:rFonts w:eastAsia="仿宋_GB2312"/>
          <w:sz w:val="32"/>
          <w:szCs w:val="32"/>
          <w:lang w:val="zh-CN"/>
        </w:rPr>
        <w:t>执行相关法律法规及项目管理制度，如招投标、政府采购、项目公示制等。</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eastAsia="仿宋_GB2312"/>
          <w:sz w:val="32"/>
          <w:szCs w:val="32"/>
          <w:lang w:val="zh-CN"/>
        </w:rPr>
        <w:t>项目主管部门</w:t>
      </w:r>
      <w:r>
        <w:rPr>
          <w:rFonts w:hint="eastAsia" w:eastAsia="仿宋_GB2312"/>
          <w:sz w:val="32"/>
          <w:szCs w:val="32"/>
          <w:lang w:val="zh-CN"/>
        </w:rPr>
        <w:t>加强对项目实施的监管，保证项目顺利实施。</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56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年内对机场大巴进行补贴，保证</w:t>
      </w:r>
      <w:r>
        <w:rPr>
          <w:rFonts w:hint="eastAsia" w:ascii="仿宋_GB2312" w:hAnsi="仿宋_GB2312" w:eastAsia="仿宋_GB2312" w:cs="仿宋_GB2312"/>
          <w:sz w:val="32"/>
          <w:szCs w:val="32"/>
        </w:rPr>
        <w:t>市区至机场大巴运行安全有序，财政补助成本50万元及时到位</w:t>
      </w:r>
      <w:r>
        <w:rPr>
          <w:rFonts w:hint="eastAsia" w:ascii="仿宋_GB2312" w:hAnsi="仿宋_GB2312" w:eastAsia="仿宋_GB2312" w:cs="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方便市民群众出行，为市民乘机提供方便，服务对象满意度≥</w:t>
      </w:r>
      <w:r>
        <w:rPr>
          <w:rFonts w:hint="eastAsia" w:ascii="仿宋_GB2312" w:hAnsi="仿宋_GB2312" w:eastAsia="仿宋_GB2312" w:cs="仿宋_GB2312"/>
          <w:sz w:val="32"/>
          <w:szCs w:val="32"/>
        </w:rPr>
        <w:t>95%，达到绩效目标。</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项目基本完成既定绩效目标。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960" w:firstLineChars="300"/>
        <w:rPr>
          <w:rFonts w:eastAsia="仿宋_GB2312"/>
          <w:sz w:val="32"/>
          <w:szCs w:val="32"/>
          <w:lang w:val="zh-CN"/>
        </w:rPr>
      </w:pPr>
      <w:r>
        <w:rPr>
          <w:rFonts w:hint="eastAsia" w:eastAsia="仿宋_GB2312"/>
          <w:sz w:val="32"/>
          <w:szCs w:val="32"/>
          <w:lang w:val="zh-CN"/>
        </w:rPr>
        <w:t>无。</w:t>
      </w:r>
    </w:p>
    <w:p>
      <w:pPr>
        <w:pStyle w:val="2"/>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spacing w:line="600" w:lineRule="exact"/>
        <w:jc w:val="center"/>
        <w:rPr>
          <w:rFonts w:eastAsia="方正小标宋简体"/>
          <w:sz w:val="40"/>
          <w:szCs w:val="40"/>
          <w:lang w:val="zh-CN"/>
        </w:rPr>
      </w:pPr>
      <w:r>
        <w:rPr>
          <w:rFonts w:hint="eastAsia" w:ascii="仿宋_GB2312" w:hAnsi="仿宋_GB2312" w:eastAsia="仿宋_GB2312" w:cs="仿宋_GB2312"/>
          <w:sz w:val="32"/>
          <w:szCs w:val="32"/>
          <w:lang w:val="zh-CN"/>
        </w:rPr>
        <w:t>（交通强市试点实施方案编制）</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完成《攀枝花交通强市试点实施方案》编制，并通过省交通运输厅审查。</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 项目主要内容。</w:t>
      </w:r>
    </w:p>
    <w:p>
      <w:pPr>
        <w:adjustRightInd w:val="0"/>
        <w:snapToGrid w:val="0"/>
        <w:spacing w:line="600" w:lineRule="exact"/>
        <w:ind w:firstLine="640" w:firstLineChars="200"/>
        <w:rPr>
          <w:rFonts w:eastAsia="仿宋_GB2312"/>
          <w:color w:val="000000"/>
          <w:sz w:val="32"/>
          <w:szCs w:val="32"/>
          <w:lang w:val="zh-CN"/>
        </w:rPr>
      </w:pPr>
      <w:r>
        <w:rPr>
          <w:rFonts w:hint="eastAsia" w:eastAsia="仿宋_GB2312"/>
          <w:sz w:val="32"/>
          <w:szCs w:val="32"/>
          <w:lang w:val="zh-CN"/>
        </w:rPr>
        <w:t>试点</w:t>
      </w:r>
      <w:r>
        <w:rPr>
          <w:rFonts w:hint="eastAsia" w:ascii="仿宋_GB2312" w:hAnsi="仿宋_GB2312" w:eastAsia="仿宋_GB2312" w:cs="仿宋_GB2312"/>
          <w:sz w:val="32"/>
          <w:szCs w:val="32"/>
          <w:lang w:val="zh-CN"/>
        </w:rPr>
        <w:t>任务共1项，为交通领域碳达峰试点，该试点属于《推进交通强省建设 开展交通强市交通强</w:t>
      </w:r>
      <w:r>
        <w:rPr>
          <w:rFonts w:hint="eastAsia" w:eastAsia="仿宋_GB2312"/>
          <w:sz w:val="32"/>
          <w:szCs w:val="32"/>
          <w:lang w:val="zh-CN"/>
        </w:rPr>
        <w:t>县试点工作方案》管理领域，涉及推进交通建设节能降碳、推广新能源设施设备2项建设内容，具有良好的基础。</w:t>
      </w:r>
    </w:p>
    <w:p>
      <w:pPr>
        <w:numPr>
          <w:ilvl w:val="0"/>
          <w:numId w:val="8"/>
        </w:numPr>
        <w:adjustRightInd w:val="0"/>
        <w:snapToGrid w:val="0"/>
        <w:spacing w:line="600" w:lineRule="exact"/>
        <w:ind w:firstLine="640"/>
        <w:rPr>
          <w:rFonts w:eastAsia="仿宋_GB2312"/>
          <w:sz w:val="32"/>
          <w:szCs w:val="32"/>
          <w:lang w:val="zh-CN"/>
        </w:rPr>
      </w:pPr>
      <w:r>
        <w:rPr>
          <w:rFonts w:hint="eastAsia" w:eastAsia="仿宋_GB2312"/>
          <w:sz w:val="32"/>
          <w:szCs w:val="32"/>
          <w:lang w:val="zh-CN"/>
        </w:rPr>
        <w:t>产出指标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数量指标：编制完成方案</w:t>
      </w:r>
      <w:r>
        <w:rPr>
          <w:rFonts w:hint="eastAsia" w:ascii="仿宋_GB2312" w:hAnsi="仿宋_GB2312" w:eastAsia="仿宋_GB2312" w:cs="仿宋_GB2312"/>
          <w:sz w:val="32"/>
          <w:szCs w:val="32"/>
        </w:rPr>
        <w:t>1个</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w:t>
      </w:r>
      <w:r>
        <w:rPr>
          <w:rFonts w:hint="eastAsia" w:ascii="仿宋_GB2312" w:hAnsi="仿宋_GB2312" w:eastAsia="仿宋_GB2312" w:cs="仿宋_GB2312"/>
          <w:sz w:val="32"/>
          <w:szCs w:val="32"/>
          <w:lang w:val="zh-CN"/>
        </w:rPr>
        <w:t>通过省交通运输厅审查</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时效指标：当年完成</w:t>
      </w:r>
    </w:p>
    <w:p>
      <w:pPr>
        <w:numPr>
          <w:ilvl w:val="0"/>
          <w:numId w:val="8"/>
        </w:numPr>
        <w:adjustRightInd w:val="0"/>
        <w:snapToGrid w:val="0"/>
        <w:spacing w:line="600" w:lineRule="exact"/>
        <w:ind w:firstLine="640"/>
        <w:rPr>
          <w:rFonts w:eastAsia="仿宋_GB2312"/>
          <w:sz w:val="32"/>
          <w:szCs w:val="32"/>
          <w:lang w:val="zh-CN"/>
        </w:rPr>
      </w:pPr>
      <w:r>
        <w:rPr>
          <w:rFonts w:hint="eastAsia" w:eastAsia="仿宋_GB2312"/>
          <w:sz w:val="32"/>
          <w:szCs w:val="32"/>
          <w:lang w:val="zh-CN"/>
        </w:rPr>
        <w:t>成本指标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eastAsia="仿宋_GB2312"/>
          <w:sz w:val="32"/>
          <w:szCs w:val="32"/>
        </w:rPr>
        <w:t>编</w:t>
      </w:r>
      <w:r>
        <w:rPr>
          <w:rFonts w:hint="eastAsia" w:ascii="仿宋_GB2312" w:hAnsi="仿宋_GB2312" w:eastAsia="仿宋_GB2312" w:cs="仿宋_GB2312"/>
          <w:sz w:val="32"/>
          <w:szCs w:val="32"/>
        </w:rPr>
        <w:t>制成本8.64万元</w:t>
      </w:r>
    </w:p>
    <w:p>
      <w:pPr>
        <w:numPr>
          <w:ilvl w:val="0"/>
          <w:numId w:val="8"/>
        </w:numPr>
        <w:adjustRightInd w:val="0"/>
        <w:snapToGrid w:val="0"/>
        <w:spacing w:line="600" w:lineRule="exact"/>
        <w:ind w:firstLine="640"/>
        <w:rPr>
          <w:rFonts w:eastAsia="仿宋_GB2312"/>
          <w:sz w:val="32"/>
          <w:szCs w:val="32"/>
          <w:lang w:val="zh-CN"/>
        </w:rPr>
      </w:pPr>
      <w:r>
        <w:rPr>
          <w:rFonts w:hint="eastAsia" w:eastAsia="仿宋_GB2312"/>
          <w:sz w:val="32"/>
          <w:szCs w:val="32"/>
          <w:lang w:val="zh-CN"/>
        </w:rPr>
        <w:t>效益指标</w:t>
      </w:r>
    </w:p>
    <w:p>
      <w:pPr>
        <w:adjustRightInd w:val="0"/>
        <w:snapToGrid w:val="0"/>
        <w:spacing w:line="600" w:lineRule="exact"/>
        <w:ind w:firstLine="640" w:firstLineChars="200"/>
        <w:rPr>
          <w:rFonts w:eastAsia="仿宋_GB2312"/>
          <w:sz w:val="32"/>
          <w:szCs w:val="32"/>
        </w:rPr>
      </w:pPr>
      <w:r>
        <w:rPr>
          <w:rFonts w:hint="eastAsia" w:eastAsia="仿宋_GB2312"/>
          <w:sz w:val="32"/>
          <w:szCs w:val="32"/>
          <w:lang w:val="zh-CN"/>
        </w:rPr>
        <w:t>社会效益指标：推进我市交通运输高质量发展</w:t>
      </w:r>
    </w:p>
    <w:p>
      <w:pPr>
        <w:numPr>
          <w:ilvl w:val="0"/>
          <w:numId w:val="8"/>
        </w:numPr>
        <w:adjustRightInd w:val="0"/>
        <w:snapToGrid w:val="0"/>
        <w:spacing w:line="600" w:lineRule="exact"/>
        <w:ind w:firstLine="640"/>
        <w:rPr>
          <w:rFonts w:eastAsia="仿宋_GB2312"/>
          <w:sz w:val="32"/>
          <w:szCs w:val="32"/>
          <w:lang w:val="zh-CN"/>
        </w:rPr>
      </w:pPr>
      <w:r>
        <w:rPr>
          <w:rFonts w:hint="eastAsia" w:eastAsia="仿宋_GB2312"/>
          <w:sz w:val="32"/>
          <w:szCs w:val="32"/>
          <w:lang w:val="zh-CN"/>
        </w:rPr>
        <w:t>满意度指标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eastAsia="仿宋_GB2312"/>
          <w:sz w:val="32"/>
          <w:szCs w:val="32"/>
          <w:lang w:val="zh-CN"/>
        </w:rPr>
        <w:t>服</w:t>
      </w:r>
      <w:r>
        <w:rPr>
          <w:rFonts w:hint="eastAsia" w:ascii="仿宋_GB2312" w:hAnsi="仿宋_GB2312" w:eastAsia="仿宋_GB2312" w:cs="仿宋_GB2312"/>
          <w:sz w:val="32"/>
          <w:szCs w:val="32"/>
          <w:lang w:val="zh-CN"/>
        </w:rPr>
        <w:t>务对象满意度指标：社会对象满意度</w:t>
      </w:r>
      <w:r>
        <w:rPr>
          <w:rFonts w:hint="eastAsia" w:ascii="仿宋_GB2312" w:hAnsi="仿宋_GB2312" w:eastAsia="仿宋_GB2312" w:cs="仿宋_GB2312"/>
          <w:sz w:val="32"/>
          <w:szCs w:val="32"/>
        </w:rPr>
        <w:t>90%以上。</w:t>
      </w:r>
    </w:p>
    <w:p>
      <w:pPr>
        <w:numPr>
          <w:ilvl w:val="0"/>
          <w:numId w:val="9"/>
        </w:numPr>
        <w:adjustRightInd w:val="0"/>
        <w:snapToGrid w:val="0"/>
        <w:spacing w:line="600" w:lineRule="exact"/>
        <w:ind w:firstLine="720"/>
        <w:rPr>
          <w:rFonts w:eastAsia="仿宋_GB2312"/>
          <w:sz w:val="32"/>
          <w:szCs w:val="32"/>
          <w:lang w:val="zh-CN"/>
        </w:rPr>
      </w:pPr>
      <w:r>
        <w:rPr>
          <w:rFonts w:eastAsia="仿宋_GB2312"/>
          <w:sz w:val="32"/>
          <w:szCs w:val="32"/>
          <w:lang w:val="zh-CN"/>
        </w:rPr>
        <w:t>分析评价申报内容是否与实际相符，申报目标是否合理可行。</w:t>
      </w:r>
    </w:p>
    <w:p>
      <w:pPr>
        <w:adjustRightInd w:val="0"/>
        <w:snapToGrid w:val="0"/>
        <w:spacing w:line="600" w:lineRule="exact"/>
        <w:ind w:left="720"/>
        <w:rPr>
          <w:rFonts w:eastAsia="仿宋_GB2312"/>
          <w:sz w:val="32"/>
          <w:szCs w:val="32"/>
          <w:lang w:val="zh-CN"/>
        </w:rPr>
      </w:pPr>
      <w:r>
        <w:rPr>
          <w:rFonts w:eastAsia="仿宋_GB2312"/>
          <w:sz w:val="32"/>
          <w:szCs w:val="32"/>
          <w:lang w:val="zh-CN"/>
        </w:rPr>
        <w:t>申报内容与实际相符，申报目标合理可行。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rPr>
      </w:pPr>
      <w:r>
        <w:rPr>
          <w:rFonts w:eastAsia="仿宋_GB2312"/>
          <w:sz w:val="32"/>
          <w:szCs w:val="32"/>
        </w:rPr>
        <w:t>结合项目实际需求、</w:t>
      </w:r>
      <w:r>
        <w:rPr>
          <w:rFonts w:hint="eastAsia" w:eastAsia="仿宋_GB2312"/>
          <w:sz w:val="32"/>
          <w:szCs w:val="32"/>
        </w:rPr>
        <w:t>完工验收情况等开展自评。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项目设立按固定履行评估论证、申报程序。绩效目标设置于计划期内的任务量、预算安排的资金量基本匹配，绩效目标设置基本科学合理、规范完成。预算项目在规定时间内完成项目入库。</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eastAsia="仿宋_GB2312"/>
          <w:color w:val="000000"/>
          <w:kern w:val="0"/>
          <w:sz w:val="32"/>
          <w:szCs w:val="32"/>
          <w:shd w:val="clear" w:color="auto" w:fill="FFFFFF"/>
        </w:rPr>
      </w:pPr>
      <w:r>
        <w:rPr>
          <w:rFonts w:eastAsia="楷体_GB2312"/>
          <w:sz w:val="32"/>
          <w:szCs w:val="32"/>
          <w:lang w:val="zh-CN"/>
        </w:rPr>
        <w:t>1．资金计划。</w:t>
      </w:r>
      <w:r>
        <w:rPr>
          <w:rFonts w:hint="eastAsia" w:ascii="仿宋_GB2312" w:hAnsi="仿宋_GB2312" w:eastAsia="仿宋_GB2312" w:cs="仿宋_GB2312"/>
          <w:color w:val="000000"/>
          <w:kern w:val="0"/>
          <w:sz w:val="32"/>
          <w:szCs w:val="32"/>
          <w:shd w:val="clear" w:color="auto" w:fill="FFFFFF"/>
          <w:lang w:val="zh-CN"/>
        </w:rPr>
        <w:t>该项目资金计划</w:t>
      </w:r>
      <w:r>
        <w:rPr>
          <w:rFonts w:hint="eastAsia" w:ascii="仿宋_GB2312" w:hAnsi="仿宋_GB2312" w:eastAsia="仿宋_GB2312" w:cs="仿宋_GB2312"/>
          <w:color w:val="000000"/>
          <w:kern w:val="0"/>
          <w:sz w:val="32"/>
          <w:szCs w:val="32"/>
          <w:shd w:val="clear" w:color="auto" w:fill="FFFFFF"/>
        </w:rPr>
        <w:t>8.64万元。</w:t>
      </w:r>
    </w:p>
    <w:p>
      <w:pPr>
        <w:adjustRightInd w:val="0"/>
        <w:snapToGrid w:val="0"/>
        <w:spacing w:line="600" w:lineRule="exact"/>
        <w:ind w:firstLine="720"/>
        <w:rPr>
          <w:rFonts w:eastAsia="仿宋_GB2312"/>
          <w:sz w:val="32"/>
          <w:szCs w:val="32"/>
          <w:lang w:val="zh-CN"/>
        </w:rPr>
      </w:pPr>
      <w:r>
        <w:rPr>
          <w:rFonts w:eastAsia="楷体_GB2312"/>
          <w:sz w:val="32"/>
          <w:szCs w:val="32"/>
          <w:lang w:val="zh-CN"/>
        </w:rPr>
        <w:t>2．资金到位。</w:t>
      </w:r>
      <w:r>
        <w:rPr>
          <w:rFonts w:hint="eastAsia" w:ascii="仿宋_GB2312" w:hAnsi="仿宋_GB2312" w:eastAsia="仿宋_GB2312" w:cs="仿宋_GB2312"/>
          <w:color w:val="000000"/>
          <w:kern w:val="0"/>
          <w:sz w:val="32"/>
          <w:szCs w:val="32"/>
          <w:shd w:val="clear" w:color="auto" w:fill="FFFFFF"/>
          <w:lang w:val="zh-CN"/>
        </w:rPr>
        <w:t>该项目资金实际到位</w:t>
      </w:r>
      <w:r>
        <w:rPr>
          <w:rFonts w:hint="eastAsia" w:ascii="仿宋_GB2312" w:hAnsi="仿宋_GB2312" w:eastAsia="仿宋_GB2312" w:cs="仿宋_GB2312"/>
          <w:color w:val="000000"/>
          <w:kern w:val="0"/>
          <w:sz w:val="32"/>
          <w:szCs w:val="32"/>
          <w:shd w:val="clear" w:color="auto" w:fill="FFFFFF"/>
        </w:rPr>
        <w:t>8.64万元。</w:t>
      </w:r>
    </w:p>
    <w:p>
      <w:pPr>
        <w:adjustRightInd w:val="0"/>
        <w:snapToGrid w:val="0"/>
        <w:spacing w:line="600" w:lineRule="exact"/>
        <w:ind w:firstLine="720"/>
        <w:rPr>
          <w:rFonts w:eastAsia="仿宋_GB2312"/>
          <w:color w:val="000000"/>
          <w:kern w:val="0"/>
          <w:sz w:val="32"/>
          <w:szCs w:val="32"/>
          <w:shd w:val="clear" w:color="auto" w:fill="FFFFFF"/>
        </w:rPr>
      </w:pPr>
      <w:r>
        <w:rPr>
          <w:rFonts w:eastAsia="楷体_GB2312"/>
          <w:sz w:val="32"/>
          <w:szCs w:val="32"/>
          <w:lang w:val="zh-CN"/>
        </w:rPr>
        <w:t>3．资金使用。</w:t>
      </w:r>
      <w:r>
        <w:rPr>
          <w:rFonts w:hint="eastAsia" w:ascii="仿宋_GB2312" w:hAnsi="仿宋_GB2312" w:eastAsia="仿宋_GB2312" w:cs="仿宋_GB2312"/>
          <w:color w:val="000000"/>
          <w:kern w:val="0"/>
          <w:sz w:val="32"/>
          <w:szCs w:val="32"/>
          <w:shd w:val="clear" w:color="auto" w:fill="FFFFFF"/>
          <w:lang w:val="zh-CN"/>
        </w:rPr>
        <w:t>该项目资金实际支付</w:t>
      </w:r>
      <w:r>
        <w:rPr>
          <w:rFonts w:hint="eastAsia" w:ascii="仿宋_GB2312" w:hAnsi="仿宋_GB2312" w:eastAsia="仿宋_GB2312" w:cs="仿宋_GB2312"/>
          <w:color w:val="000000"/>
          <w:kern w:val="0"/>
          <w:sz w:val="32"/>
          <w:szCs w:val="32"/>
          <w:shd w:val="clear" w:color="auto" w:fill="FFFFFF"/>
        </w:rPr>
        <w:t>8.64万元，</w:t>
      </w:r>
      <w:r>
        <w:rPr>
          <w:rFonts w:hint="eastAsia" w:ascii="仿宋_GB2312" w:hAnsi="仿宋_GB2312" w:eastAsia="仿宋_GB2312" w:cs="仿宋_GB2312"/>
          <w:color w:val="000000"/>
          <w:kern w:val="0"/>
          <w:sz w:val="32"/>
          <w:szCs w:val="32"/>
          <w:shd w:val="clear" w:color="auto" w:fill="FFFFFF"/>
          <w:lang w:val="zh-CN"/>
        </w:rPr>
        <w:t>支付标准、支付进度、支付依据合规合法、与预算相符，</w:t>
      </w:r>
      <w:r>
        <w:rPr>
          <w:rFonts w:hint="eastAsia" w:ascii="仿宋_GB2312" w:hAnsi="仿宋_GB2312" w:eastAsia="仿宋_GB2312" w:cs="仿宋_GB2312"/>
          <w:color w:val="000000"/>
          <w:kern w:val="0"/>
          <w:sz w:val="32"/>
          <w:szCs w:val="32"/>
          <w:shd w:val="clear" w:color="auto" w:fill="FFFFFF"/>
        </w:rPr>
        <w:t>完成率100%。</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结合项目组织实施管理办法，重点围绕以下内容进行分析评价，并对自评中发现的问题分析说明。</w:t>
      </w:r>
    </w:p>
    <w:p>
      <w:pPr>
        <w:numPr>
          <w:ilvl w:val="0"/>
          <w:numId w:val="10"/>
        </w:numPr>
        <w:adjustRightInd w:val="0"/>
        <w:snapToGrid w:val="0"/>
        <w:spacing w:line="600" w:lineRule="exact"/>
        <w:ind w:firstLine="720"/>
        <w:rPr>
          <w:rFonts w:eastAsia="楷体_GB2312"/>
          <w:b/>
          <w:sz w:val="32"/>
          <w:szCs w:val="32"/>
          <w:lang w:val="zh-CN"/>
        </w:rPr>
      </w:pPr>
      <w:r>
        <w:rPr>
          <w:rFonts w:eastAsia="楷体_GB2312"/>
          <w:b/>
          <w:sz w:val="32"/>
          <w:szCs w:val="32"/>
          <w:lang w:val="zh-CN"/>
        </w:rPr>
        <w:t>项目组织架构及实施流程。</w:t>
      </w:r>
    </w:p>
    <w:p>
      <w:pPr>
        <w:adjustRightInd w:val="0"/>
        <w:snapToGrid w:val="0"/>
        <w:spacing w:line="600" w:lineRule="exact"/>
        <w:ind w:firstLine="640" w:firstLineChars="200"/>
        <w:rPr>
          <w:rFonts w:eastAsia="仿宋_GB2312"/>
          <w:sz w:val="32"/>
          <w:szCs w:val="32"/>
        </w:rPr>
      </w:pPr>
      <w:r>
        <w:rPr>
          <w:rFonts w:hint="eastAsia" w:eastAsia="仿宋_GB2312"/>
          <w:sz w:val="32"/>
          <w:szCs w:val="32"/>
        </w:rPr>
        <w:t>按政策</w:t>
      </w:r>
      <w:r>
        <w:rPr>
          <w:rFonts w:hint="eastAsia" w:eastAsia="仿宋_GB2312"/>
          <w:sz w:val="32"/>
          <w:szCs w:val="32"/>
          <w:lang w:val="zh-CN"/>
        </w:rPr>
        <w:t>完成《攀枝花交通强市试点实施方案》编制，并通过省交通运输厅审查。</w:t>
      </w:r>
    </w:p>
    <w:p>
      <w:pPr>
        <w:adjustRightInd w:val="0"/>
        <w:snapToGrid w:val="0"/>
        <w:spacing w:line="600" w:lineRule="exact"/>
        <w:ind w:firstLine="642" w:firstLineChars="200"/>
        <w:rPr>
          <w:rFonts w:eastAsia="仿宋_GB2312"/>
          <w:b/>
          <w:bCs/>
          <w:sz w:val="32"/>
          <w:szCs w:val="32"/>
          <w:lang w:val="zh-CN"/>
        </w:rPr>
      </w:pPr>
      <w:r>
        <w:rPr>
          <w:rFonts w:hint="eastAsia" w:eastAsia="仿宋_GB2312"/>
          <w:b/>
          <w:bCs/>
          <w:sz w:val="32"/>
          <w:szCs w:val="32"/>
          <w:lang w:val="zh-CN"/>
        </w:rPr>
        <w:t>（二）项目管理情况。</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项目实施遵守相关法律法规，项目手续完备</w:t>
      </w:r>
    </w:p>
    <w:p>
      <w:pPr>
        <w:numPr>
          <w:ilvl w:val="0"/>
          <w:numId w:val="10"/>
        </w:numPr>
        <w:adjustRightInd w:val="0"/>
        <w:snapToGrid w:val="0"/>
        <w:spacing w:line="600" w:lineRule="exact"/>
        <w:ind w:firstLine="720"/>
        <w:rPr>
          <w:rFonts w:eastAsia="楷体_GB2312"/>
          <w:b/>
          <w:sz w:val="32"/>
          <w:szCs w:val="32"/>
          <w:lang w:val="zh-CN"/>
        </w:rPr>
      </w:pPr>
      <w:r>
        <w:rPr>
          <w:rFonts w:eastAsia="楷体_GB2312"/>
          <w:b/>
          <w:sz w:val="32"/>
          <w:szCs w:val="32"/>
          <w:lang w:val="zh-CN"/>
        </w:rPr>
        <w:t>项目监管情况。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640" w:firstLineChars="200"/>
        <w:rPr>
          <w:rFonts w:eastAsia="楷体_GB2312"/>
          <w:b/>
          <w:sz w:val="32"/>
          <w:szCs w:val="32"/>
          <w:lang w:val="zh-CN"/>
        </w:rPr>
      </w:pPr>
      <w:r>
        <w:rPr>
          <w:rFonts w:hint="eastAsia" w:eastAsia="仿宋_GB2312"/>
          <w:sz w:val="32"/>
          <w:szCs w:val="32"/>
          <w:lang w:val="zh-CN"/>
        </w:rPr>
        <w:t>资金完成拨付</w:t>
      </w:r>
      <w:r>
        <w:rPr>
          <w:rFonts w:hint="eastAsia" w:eastAsia="仿宋_GB2312"/>
          <w:sz w:val="32"/>
          <w:szCs w:val="32"/>
        </w:rPr>
        <w:t>。</w:t>
      </w:r>
      <w:r>
        <w:rPr>
          <w:rFonts w:hint="eastAsia" w:eastAsia="仿宋_GB2312"/>
          <w:sz w:val="32"/>
          <w:szCs w:val="32"/>
          <w:lang w:val="zh-CN"/>
        </w:rPr>
        <w:t>无</w:t>
      </w:r>
      <w:r>
        <w:rPr>
          <w:rFonts w:eastAsia="仿宋_GB2312"/>
          <w:sz w:val="32"/>
          <w:szCs w:val="32"/>
          <w:lang w:val="zh-CN"/>
        </w:rPr>
        <w:t>资金结余情况，</w:t>
      </w:r>
      <w:r>
        <w:rPr>
          <w:rFonts w:hint="eastAsia" w:eastAsia="仿宋_GB2312"/>
          <w:sz w:val="32"/>
          <w:szCs w:val="32"/>
          <w:lang w:val="zh-CN"/>
        </w:rPr>
        <w:t>无</w:t>
      </w:r>
      <w:r>
        <w:rPr>
          <w:rFonts w:eastAsia="仿宋_GB2312"/>
          <w:sz w:val="32"/>
          <w:szCs w:val="32"/>
          <w:lang w:val="zh-CN"/>
        </w:rPr>
        <w:t>违规记录，对照项目计划完成目标</w:t>
      </w:r>
      <w:r>
        <w:rPr>
          <w:rFonts w:hint="eastAsia" w:eastAsia="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推进我市交通运输高质量发展</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w:t>
      </w: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640" w:firstLineChars="200"/>
        <w:rPr>
          <w:rFonts w:eastAsia="仿宋_GB2312"/>
          <w:kern w:val="0"/>
          <w:sz w:val="32"/>
          <w:szCs w:val="32"/>
        </w:rPr>
      </w:pPr>
      <w:r>
        <w:rPr>
          <w:rFonts w:hint="eastAsia" w:eastAsia="仿宋_GB2312"/>
          <w:kern w:val="0"/>
          <w:sz w:val="32"/>
          <w:szCs w:val="32"/>
        </w:rPr>
        <w:t>无。</w:t>
      </w:r>
    </w:p>
    <w:p>
      <w:pPr>
        <w:pStyle w:val="2"/>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spacing w:line="600" w:lineRule="exact"/>
        <w:ind w:firstLine="640"/>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（攀枝花至大理高速公路（四川境）项目）</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1．说明项目主管部门（单位）在该项目管理中的职能。</w:t>
      </w:r>
    </w:p>
    <w:p>
      <w:pPr>
        <w:adjustRightInd w:val="0"/>
        <w:snapToGrid w:val="0"/>
        <w:spacing w:line="600" w:lineRule="exact"/>
        <w:ind w:firstLine="720"/>
        <w:rPr>
          <w:rFonts w:eastAsia="仿宋_GB2312"/>
          <w:sz w:val="32"/>
          <w:szCs w:val="32"/>
        </w:rPr>
      </w:pPr>
      <w:r>
        <w:rPr>
          <w:rFonts w:eastAsia="仿宋_GB2312"/>
          <w:color w:val="000000"/>
          <w:sz w:val="32"/>
          <w:szCs w:val="32"/>
        </w:rPr>
        <w:t>抓实抓细交通建设项目监督管理，</w:t>
      </w:r>
      <w:r>
        <w:rPr>
          <w:rFonts w:hint="eastAsia" w:eastAsia="仿宋_GB2312"/>
          <w:color w:val="000000"/>
          <w:sz w:val="32"/>
          <w:szCs w:val="32"/>
        </w:rPr>
        <w:t>加强源头管控，</w:t>
      </w:r>
      <w:r>
        <w:rPr>
          <w:rFonts w:eastAsia="仿宋_GB2312"/>
          <w:color w:val="000000"/>
          <w:sz w:val="32"/>
          <w:szCs w:val="32"/>
        </w:rPr>
        <w:t>压实安全生产责任，</w:t>
      </w:r>
      <w:r>
        <w:rPr>
          <w:rFonts w:hint="eastAsia" w:eastAsia="仿宋_GB2312"/>
          <w:color w:val="000000"/>
          <w:sz w:val="32"/>
          <w:szCs w:val="32"/>
        </w:rPr>
        <w:t>强化项目施工现场生态环境保护，常态化</w:t>
      </w:r>
      <w:r>
        <w:rPr>
          <w:rFonts w:eastAsia="仿宋_GB2312"/>
          <w:color w:val="000000"/>
          <w:sz w:val="32"/>
          <w:szCs w:val="32"/>
        </w:rPr>
        <w:t>开展</w:t>
      </w:r>
      <w:r>
        <w:rPr>
          <w:rFonts w:hint="eastAsia" w:eastAsia="仿宋_GB2312"/>
          <w:color w:val="000000"/>
          <w:sz w:val="32"/>
          <w:szCs w:val="32"/>
        </w:rPr>
        <w:t>公路管养</w:t>
      </w:r>
      <w:r>
        <w:rPr>
          <w:rFonts w:eastAsia="仿宋_GB2312"/>
          <w:color w:val="000000"/>
          <w:sz w:val="32"/>
          <w:szCs w:val="32"/>
        </w:rPr>
        <w:t>，</w:t>
      </w:r>
      <w:r>
        <w:rPr>
          <w:rFonts w:hint="eastAsia" w:eastAsia="仿宋_GB2312"/>
          <w:color w:val="000000"/>
          <w:sz w:val="32"/>
          <w:szCs w:val="32"/>
        </w:rPr>
        <w:t>强化</w:t>
      </w:r>
      <w:r>
        <w:rPr>
          <w:rFonts w:eastAsia="仿宋_GB2312"/>
          <w:color w:val="000000"/>
          <w:sz w:val="32"/>
          <w:szCs w:val="32"/>
        </w:rPr>
        <w:t>考核评价，</w:t>
      </w:r>
      <w:r>
        <w:rPr>
          <w:rFonts w:hint="eastAsia" w:eastAsia="仿宋_GB2312"/>
          <w:color w:val="000000"/>
          <w:sz w:val="32"/>
          <w:szCs w:val="32"/>
        </w:rPr>
        <w:t>注重</w:t>
      </w:r>
      <w:r>
        <w:rPr>
          <w:rFonts w:eastAsia="仿宋_GB2312"/>
          <w:color w:val="000000"/>
          <w:sz w:val="32"/>
          <w:szCs w:val="32"/>
        </w:rPr>
        <w:t>公路养护质量，</w:t>
      </w:r>
      <w:r>
        <w:rPr>
          <w:rFonts w:hint="eastAsia" w:ascii="仿宋_GB2312" w:hAnsi="仿宋_GB2312" w:eastAsia="仿宋_GB2312" w:cs="仿宋_GB2312"/>
          <w:color w:val="000000"/>
          <w:sz w:val="32"/>
          <w:szCs w:val="32"/>
        </w:rPr>
        <w:t>促进全市普通公路建管养运协调发展。</w:t>
      </w:r>
    </w:p>
    <w:p>
      <w:pPr>
        <w:numPr>
          <w:ilvl w:val="0"/>
          <w:numId w:val="11"/>
        </w:numPr>
        <w:adjustRightInd w:val="0"/>
        <w:snapToGrid w:val="0"/>
        <w:spacing w:line="600" w:lineRule="exact"/>
        <w:ind w:firstLine="720"/>
        <w:rPr>
          <w:rFonts w:eastAsia="仿宋_GB2312"/>
          <w:sz w:val="32"/>
          <w:szCs w:val="32"/>
          <w:lang w:val="zh-CN"/>
        </w:rPr>
      </w:pPr>
      <w:r>
        <w:rPr>
          <w:rFonts w:eastAsia="仿宋_GB2312"/>
          <w:sz w:val="32"/>
          <w:szCs w:val="32"/>
          <w:lang w:val="zh-CN"/>
        </w:rPr>
        <w:t>项目立项、资金申报的依据。</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shd w:val="clear" w:color="auto" w:fill="FFFFFF"/>
          <w:lang w:val="zh-CN"/>
        </w:rPr>
        <w:t>各</w:t>
      </w:r>
      <w:r>
        <w:rPr>
          <w:rFonts w:hint="eastAsia" w:eastAsia="仿宋_GB2312"/>
          <w:sz w:val="32"/>
          <w:szCs w:val="32"/>
          <w:shd w:val="clear" w:color="auto" w:fill="FFFFFF"/>
        </w:rPr>
        <w:t>科室</w:t>
      </w:r>
      <w:r>
        <w:rPr>
          <w:rFonts w:hint="eastAsia" w:eastAsia="仿宋_GB2312"/>
          <w:sz w:val="32"/>
          <w:szCs w:val="32"/>
          <w:shd w:val="clear" w:color="auto" w:fill="FFFFFF"/>
          <w:lang w:val="zh-CN"/>
        </w:rPr>
        <w:t>根据预算年度工作目标和工作计划提出真实、详细的下年度预算申请。</w:t>
      </w:r>
      <w:r>
        <w:rPr>
          <w:rFonts w:hint="eastAsia" w:eastAsia="仿宋_GB2312"/>
          <w:sz w:val="32"/>
          <w:szCs w:val="32"/>
          <w:shd w:val="clear" w:color="auto" w:fill="FFFFFF"/>
        </w:rPr>
        <w:t>财务</w:t>
      </w:r>
      <w:r>
        <w:rPr>
          <w:rFonts w:hint="eastAsia" w:eastAsia="仿宋_GB2312"/>
          <w:sz w:val="32"/>
          <w:szCs w:val="32"/>
          <w:shd w:val="clear" w:color="auto" w:fill="FFFFFF"/>
          <w:lang w:val="zh-CN"/>
        </w:rPr>
        <w:t>对</w:t>
      </w:r>
      <w:r>
        <w:rPr>
          <w:rFonts w:hint="eastAsia" w:eastAsia="仿宋_GB2312"/>
          <w:sz w:val="32"/>
          <w:szCs w:val="32"/>
          <w:shd w:val="clear" w:color="auto" w:fill="FFFFFF"/>
        </w:rPr>
        <w:t>各科</w:t>
      </w:r>
      <w:r>
        <w:rPr>
          <w:rFonts w:hint="eastAsia" w:eastAsia="仿宋_GB2312"/>
          <w:sz w:val="32"/>
          <w:szCs w:val="32"/>
          <w:shd w:val="clear" w:color="auto" w:fill="FFFFFF"/>
          <w:lang w:val="zh-CN"/>
        </w:rPr>
        <w:t>室的下年度预算申请进行初审与协调，对各</w:t>
      </w:r>
      <w:r>
        <w:rPr>
          <w:rFonts w:hint="eastAsia" w:eastAsia="仿宋_GB2312"/>
          <w:sz w:val="32"/>
          <w:szCs w:val="32"/>
          <w:shd w:val="clear" w:color="auto" w:fill="FFFFFF"/>
        </w:rPr>
        <w:t>科室</w:t>
      </w:r>
      <w:r>
        <w:rPr>
          <w:rFonts w:hint="eastAsia" w:eastAsia="仿宋_GB2312"/>
          <w:sz w:val="32"/>
          <w:szCs w:val="32"/>
          <w:shd w:val="clear" w:color="auto" w:fill="FFFFFF"/>
          <w:lang w:val="zh-CN"/>
        </w:rPr>
        <w:t>申请的专项经费逐项进行比对与论证，结合</w:t>
      </w:r>
      <w:r>
        <w:rPr>
          <w:rFonts w:hint="eastAsia" w:eastAsia="仿宋_GB2312"/>
          <w:sz w:val="32"/>
          <w:szCs w:val="32"/>
          <w:shd w:val="clear" w:color="auto" w:fill="FFFFFF"/>
        </w:rPr>
        <w:t>财力及</w:t>
      </w:r>
      <w:r>
        <w:rPr>
          <w:rFonts w:hint="eastAsia" w:eastAsia="仿宋_GB2312"/>
          <w:sz w:val="32"/>
          <w:szCs w:val="32"/>
          <w:shd w:val="clear" w:color="auto" w:fill="FFFFFF"/>
          <w:lang w:val="zh-CN"/>
        </w:rPr>
        <w:t>本局</w:t>
      </w:r>
      <w:r>
        <w:rPr>
          <w:rFonts w:hint="eastAsia" w:eastAsia="仿宋_GB2312"/>
          <w:sz w:val="32"/>
          <w:szCs w:val="32"/>
          <w:shd w:val="clear" w:color="auto" w:fill="FFFFFF"/>
        </w:rPr>
        <w:t>实际</w:t>
      </w:r>
      <w:r>
        <w:rPr>
          <w:rFonts w:hint="eastAsia" w:eastAsia="仿宋_GB2312"/>
          <w:sz w:val="32"/>
          <w:szCs w:val="32"/>
          <w:shd w:val="clear" w:color="auto" w:fill="FFFFFF"/>
          <w:lang w:val="zh-CN"/>
        </w:rPr>
        <w:t>，根据项目的轻重缓急，提出支出项目预算建议数。</w:t>
      </w:r>
    </w:p>
    <w:p>
      <w:pPr>
        <w:numPr>
          <w:ilvl w:val="0"/>
          <w:numId w:val="11"/>
        </w:numPr>
        <w:adjustRightInd w:val="0"/>
        <w:snapToGrid w:val="0"/>
        <w:spacing w:line="600" w:lineRule="exact"/>
        <w:ind w:firstLine="720"/>
        <w:rPr>
          <w:rFonts w:eastAsia="仿宋_GB2312"/>
          <w:sz w:val="32"/>
          <w:szCs w:val="32"/>
          <w:lang w:val="zh-CN"/>
        </w:rPr>
      </w:pPr>
      <w:r>
        <w:rPr>
          <w:rFonts w:eastAsia="仿宋_GB2312"/>
          <w:sz w:val="32"/>
          <w:szCs w:val="32"/>
          <w:lang w:val="zh-CN"/>
        </w:rPr>
        <w:t>资金管理办法制定情况，资金支持具体项目的条件、范围与支持方式概况。</w:t>
      </w:r>
    </w:p>
    <w:p>
      <w:pPr>
        <w:adjustRightInd w:val="0"/>
        <w:snapToGrid w:val="0"/>
        <w:spacing w:line="600" w:lineRule="exact"/>
        <w:ind w:firstLine="720"/>
        <w:rPr>
          <w:rFonts w:eastAsia="仿宋_GB2312"/>
          <w:sz w:val="32"/>
          <w:szCs w:val="32"/>
          <w:shd w:val="clear" w:color="auto" w:fill="FFFFFF"/>
        </w:rPr>
      </w:pPr>
      <w:r>
        <w:rPr>
          <w:rFonts w:hint="eastAsia" w:eastAsia="仿宋_GB2312"/>
          <w:sz w:val="32"/>
          <w:szCs w:val="32"/>
          <w:shd w:val="clear" w:color="auto" w:fill="FFFFFF"/>
        </w:rPr>
        <w:t>严格按照预算要求及《攀枝花市级财政交通专项资金管理办法》管理和使用资金，确保资金专款专用。</w:t>
      </w:r>
    </w:p>
    <w:p>
      <w:pPr>
        <w:numPr>
          <w:ilvl w:val="0"/>
          <w:numId w:val="11"/>
        </w:numPr>
        <w:adjustRightInd w:val="0"/>
        <w:snapToGrid w:val="0"/>
        <w:spacing w:line="600" w:lineRule="exact"/>
        <w:ind w:firstLine="720"/>
        <w:rPr>
          <w:rFonts w:eastAsia="仿宋_GB2312"/>
          <w:sz w:val="32"/>
          <w:szCs w:val="32"/>
          <w:lang w:val="zh-CN"/>
        </w:rPr>
      </w:pPr>
      <w:r>
        <w:rPr>
          <w:rFonts w:eastAsia="仿宋_GB2312"/>
          <w:sz w:val="32"/>
          <w:szCs w:val="32"/>
          <w:lang w:val="zh-CN"/>
        </w:rPr>
        <w:t>资金分配的原则及考虑因素。</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shd w:val="clear" w:color="auto" w:fill="FFFFFF"/>
        </w:rPr>
        <w:t>财务</w:t>
      </w:r>
      <w:r>
        <w:rPr>
          <w:rFonts w:hint="eastAsia" w:eastAsia="仿宋_GB2312"/>
          <w:sz w:val="32"/>
          <w:szCs w:val="32"/>
          <w:shd w:val="clear" w:color="auto" w:fill="FFFFFF"/>
          <w:lang w:val="zh-CN"/>
        </w:rPr>
        <w:t>根据</w:t>
      </w:r>
      <w:r>
        <w:rPr>
          <w:rFonts w:hint="eastAsia" w:eastAsia="仿宋_GB2312"/>
          <w:sz w:val="32"/>
          <w:szCs w:val="32"/>
          <w:shd w:val="clear" w:color="auto" w:fill="FFFFFF"/>
        </w:rPr>
        <w:t>市</w:t>
      </w:r>
      <w:r>
        <w:rPr>
          <w:rFonts w:hint="eastAsia" w:eastAsia="仿宋_GB2312"/>
          <w:sz w:val="32"/>
          <w:szCs w:val="32"/>
          <w:shd w:val="clear" w:color="auto" w:fill="FFFFFF"/>
          <w:lang w:val="zh-CN"/>
        </w:rPr>
        <w:t>财政下达的预算控制数和局预算年度的收支预测，在收支平衡的基础上，编制</w:t>
      </w:r>
      <w:r>
        <w:rPr>
          <w:rFonts w:hint="eastAsia" w:eastAsia="仿宋_GB2312"/>
          <w:sz w:val="32"/>
          <w:szCs w:val="32"/>
          <w:shd w:val="clear" w:color="auto" w:fill="FFFFFF"/>
        </w:rPr>
        <w:t>单位</w:t>
      </w:r>
      <w:r>
        <w:rPr>
          <w:rFonts w:hint="eastAsia" w:eastAsia="仿宋_GB2312"/>
          <w:sz w:val="32"/>
          <w:szCs w:val="32"/>
          <w:shd w:val="clear" w:color="auto" w:fill="FFFFFF"/>
          <w:lang w:val="zh-CN"/>
        </w:rPr>
        <w:t>下一年度预算草案，形成预算建议数，经</w:t>
      </w:r>
      <w:r>
        <w:rPr>
          <w:rFonts w:hint="eastAsia" w:eastAsia="仿宋_GB2312"/>
          <w:sz w:val="32"/>
          <w:szCs w:val="32"/>
          <w:shd w:val="clear" w:color="auto" w:fill="FFFFFF"/>
        </w:rPr>
        <w:t>集体</w:t>
      </w:r>
      <w:r>
        <w:rPr>
          <w:rFonts w:hint="eastAsia" w:eastAsia="仿宋_GB2312"/>
          <w:sz w:val="32"/>
          <w:szCs w:val="32"/>
          <w:shd w:val="clear" w:color="auto" w:fill="FFFFFF"/>
          <w:lang w:val="zh-CN"/>
        </w:rPr>
        <w:t>讨论后上报</w:t>
      </w:r>
      <w:r>
        <w:rPr>
          <w:rFonts w:hint="eastAsia" w:eastAsia="仿宋_GB2312"/>
          <w:sz w:val="32"/>
          <w:szCs w:val="32"/>
          <w:shd w:val="clear" w:color="auto" w:fill="FFFFFF"/>
        </w:rPr>
        <w:t>市</w:t>
      </w:r>
      <w:r>
        <w:rPr>
          <w:rFonts w:hint="eastAsia" w:eastAsia="仿宋_GB2312"/>
          <w:sz w:val="32"/>
          <w:szCs w:val="32"/>
          <w:shd w:val="clear" w:color="auto" w:fill="FFFFFF"/>
          <w:lang w:val="zh-CN"/>
        </w:rPr>
        <w:t>财政局。</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 项目主要内容。</w:t>
      </w:r>
    </w:p>
    <w:p>
      <w:pPr>
        <w:adjustRightInd w:val="0"/>
        <w:snapToGrid w:val="0"/>
        <w:spacing w:line="60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sz w:val="32"/>
          <w:szCs w:val="32"/>
          <w:lang w:val="zh-CN"/>
        </w:rPr>
        <w:t>S96攀枝花至大理高速公路攀枝花段约41公里，分两期建设，先期开工38.3公里已建成通车，川滇交界约3公里。</w:t>
      </w:r>
    </w:p>
    <w:p>
      <w:pPr>
        <w:numPr>
          <w:ilvl w:val="0"/>
          <w:numId w:val="8"/>
        </w:numPr>
        <w:adjustRightInd w:val="0"/>
        <w:snapToGrid w:val="0"/>
        <w:spacing w:line="600" w:lineRule="exact"/>
        <w:ind w:firstLine="64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产出指标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数量指标：共计一个项目，完成率</w:t>
      </w:r>
      <w:r>
        <w:rPr>
          <w:rFonts w:hint="eastAsia" w:ascii="仿宋_GB2312" w:hAnsi="仿宋_GB2312" w:eastAsia="仿宋_GB2312" w:cs="仿宋_GB2312"/>
          <w:sz w:val="32"/>
          <w:szCs w:val="32"/>
        </w:rPr>
        <w:t>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质量指标：建设项目完成验收，工程质量合格率达到100%。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时效指标：工期按工完成，资金完成拨付。</w:t>
      </w:r>
    </w:p>
    <w:p>
      <w:pPr>
        <w:numPr>
          <w:ilvl w:val="0"/>
          <w:numId w:val="8"/>
        </w:numPr>
        <w:adjustRightInd w:val="0"/>
        <w:snapToGrid w:val="0"/>
        <w:spacing w:line="600" w:lineRule="exact"/>
        <w:ind w:firstLine="64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成本指标</w:t>
      </w:r>
    </w:p>
    <w:p>
      <w:pPr>
        <w:spacing w:after="120"/>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资金支付</w:t>
      </w:r>
      <w:r>
        <w:rPr>
          <w:rFonts w:hint="eastAsia" w:ascii="仿宋_GB2312" w:hAnsi="仿宋_GB2312" w:eastAsia="仿宋_GB2312" w:cs="仿宋_GB2312"/>
          <w:sz w:val="32"/>
          <w:szCs w:val="32"/>
        </w:rPr>
        <w:t>10028.58万元。</w:t>
      </w:r>
    </w:p>
    <w:p>
      <w:pPr>
        <w:numPr>
          <w:ilvl w:val="0"/>
          <w:numId w:val="8"/>
        </w:numPr>
        <w:adjustRightInd w:val="0"/>
        <w:snapToGrid w:val="0"/>
        <w:spacing w:line="600" w:lineRule="exact"/>
        <w:ind w:firstLine="640"/>
        <w:rPr>
          <w:rFonts w:eastAsia="仿宋_GB2312"/>
          <w:sz w:val="32"/>
          <w:szCs w:val="32"/>
          <w:lang w:val="zh-CN"/>
        </w:rPr>
      </w:pPr>
      <w:r>
        <w:rPr>
          <w:rFonts w:hint="eastAsia" w:eastAsia="仿宋_GB2312"/>
          <w:sz w:val="32"/>
          <w:szCs w:val="32"/>
          <w:lang w:val="zh-CN"/>
        </w:rPr>
        <w:t>效益指标</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社会效益指标：提高公路安全水平，促进我市交通运输高质量发展。</w:t>
      </w:r>
    </w:p>
    <w:p>
      <w:pPr>
        <w:numPr>
          <w:ilvl w:val="0"/>
          <w:numId w:val="8"/>
        </w:numPr>
        <w:adjustRightInd w:val="0"/>
        <w:snapToGrid w:val="0"/>
        <w:spacing w:line="600" w:lineRule="exact"/>
        <w:ind w:firstLine="640"/>
        <w:rPr>
          <w:rFonts w:eastAsia="仿宋_GB2312"/>
          <w:sz w:val="32"/>
          <w:szCs w:val="32"/>
          <w:lang w:val="zh-CN"/>
        </w:rPr>
      </w:pPr>
      <w:r>
        <w:rPr>
          <w:rFonts w:hint="eastAsia" w:eastAsia="仿宋_GB2312"/>
          <w:sz w:val="32"/>
          <w:szCs w:val="32"/>
          <w:lang w:val="zh-CN"/>
        </w:rPr>
        <w:t>满意度指标</w:t>
      </w:r>
    </w:p>
    <w:p>
      <w:pPr>
        <w:adjustRightInd w:val="0"/>
        <w:snapToGrid w:val="0"/>
        <w:spacing w:line="600" w:lineRule="exact"/>
        <w:ind w:firstLine="640" w:firstLineChars="200"/>
        <w:rPr>
          <w:rFonts w:eastAsia="仿宋_GB2312"/>
          <w:sz w:val="32"/>
          <w:szCs w:val="32"/>
        </w:rPr>
      </w:pPr>
      <w:r>
        <w:rPr>
          <w:rFonts w:hint="eastAsia" w:eastAsia="仿宋_GB2312"/>
          <w:sz w:val="32"/>
          <w:szCs w:val="32"/>
          <w:lang w:val="zh-CN"/>
        </w:rPr>
        <w:t>服务对象满意度指标：社会对象满</w:t>
      </w:r>
      <w:r>
        <w:rPr>
          <w:rFonts w:hint="eastAsia" w:ascii="仿宋_GB2312" w:hAnsi="仿宋_GB2312" w:eastAsia="仿宋_GB2312" w:cs="仿宋_GB2312"/>
          <w:sz w:val="32"/>
          <w:szCs w:val="32"/>
          <w:lang w:val="zh-CN"/>
        </w:rPr>
        <w:t>意度</w:t>
      </w:r>
      <w:r>
        <w:rPr>
          <w:rFonts w:hint="eastAsia" w:ascii="仿宋_GB2312" w:hAnsi="仿宋_GB2312" w:eastAsia="仿宋_GB2312" w:cs="仿宋_GB2312"/>
          <w:sz w:val="32"/>
          <w:szCs w:val="32"/>
        </w:rPr>
        <w:t>85%以上</w:t>
      </w:r>
      <w:r>
        <w:rPr>
          <w:rFonts w:hint="eastAsia" w:eastAsia="仿宋_GB2312"/>
          <w:sz w:val="32"/>
          <w:szCs w:val="32"/>
        </w:rPr>
        <w:t>。</w:t>
      </w:r>
    </w:p>
    <w:p>
      <w:pPr>
        <w:numPr>
          <w:ilvl w:val="0"/>
          <w:numId w:val="9"/>
        </w:numPr>
        <w:adjustRightInd w:val="0"/>
        <w:snapToGrid w:val="0"/>
        <w:spacing w:line="600" w:lineRule="exact"/>
        <w:ind w:firstLine="720"/>
        <w:rPr>
          <w:rFonts w:eastAsia="仿宋_GB2312"/>
          <w:sz w:val="32"/>
          <w:szCs w:val="32"/>
          <w:lang w:val="zh-CN"/>
        </w:rPr>
      </w:pPr>
      <w:r>
        <w:rPr>
          <w:rFonts w:eastAsia="仿宋_GB2312"/>
          <w:sz w:val="32"/>
          <w:szCs w:val="32"/>
          <w:lang w:val="zh-CN"/>
        </w:rPr>
        <w:t>分析评价申报内容是否与实际相符，申报目标是否合理可行。</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结合项目2025年实际需求、相关费用标准及市场价格水平，重点对数量是否合理、投入是否经济、预算测算是否准确、测算过程是否详细、测算依据是否充分等方面进行了评估。评估认为，该项目任务数量基本合理、预算测算过程较为详细、测算依据基本充分、有一定的经济性。</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rPr>
      </w:pPr>
      <w:r>
        <w:rPr>
          <w:rFonts w:eastAsia="仿宋_GB2312"/>
          <w:sz w:val="32"/>
          <w:szCs w:val="32"/>
        </w:rPr>
        <w:t>结合项目实际需求、</w:t>
      </w:r>
      <w:r>
        <w:rPr>
          <w:rFonts w:hint="eastAsia" w:eastAsia="仿宋_GB2312"/>
          <w:sz w:val="32"/>
          <w:szCs w:val="32"/>
        </w:rPr>
        <w:t>完工验收情况等开展自评。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项目设立按固定履行评估论证、申报程序。绩效目标设置于计划期内的任务量、预算安排的资金量基本匹配，绩效目标设置基本科学合理、规范完成。预算项目在规定时间内完成项目入库。</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1．</w:t>
      </w:r>
      <w:r>
        <w:rPr>
          <w:rFonts w:eastAsia="楷体_GB2312"/>
          <w:sz w:val="32"/>
          <w:szCs w:val="32"/>
          <w:lang w:val="zh-CN"/>
        </w:rPr>
        <w:t>资金计划。</w:t>
      </w:r>
      <w:r>
        <w:rPr>
          <w:rFonts w:hint="eastAsia" w:ascii="仿宋_GB2312" w:hAnsi="仿宋_GB2312" w:eastAsia="仿宋_GB2312" w:cs="仿宋_GB2312"/>
          <w:color w:val="000000"/>
          <w:kern w:val="0"/>
          <w:sz w:val="32"/>
          <w:szCs w:val="32"/>
          <w:shd w:val="clear" w:color="auto" w:fill="FFFFFF"/>
          <w:lang w:val="zh-CN"/>
        </w:rPr>
        <w:t>该项目资金计划</w:t>
      </w:r>
      <w:r>
        <w:rPr>
          <w:rFonts w:hint="eastAsia" w:ascii="仿宋_GB2312" w:hAnsi="仿宋_GB2312" w:eastAsia="仿宋_GB2312" w:cs="仿宋_GB2312"/>
          <w:sz w:val="32"/>
          <w:szCs w:val="32"/>
        </w:rPr>
        <w:t>10028.58万元。</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2．资金到位。</w:t>
      </w:r>
      <w:r>
        <w:rPr>
          <w:rFonts w:hint="eastAsia" w:ascii="仿宋_GB2312" w:hAnsi="仿宋_GB2312" w:eastAsia="仿宋_GB2312" w:cs="仿宋_GB2312"/>
          <w:color w:val="000000"/>
          <w:kern w:val="0"/>
          <w:sz w:val="32"/>
          <w:szCs w:val="32"/>
          <w:shd w:val="clear" w:color="auto" w:fill="FFFFFF"/>
          <w:lang w:val="zh-CN"/>
        </w:rPr>
        <w:t>该项目资金实际到位</w:t>
      </w:r>
      <w:r>
        <w:rPr>
          <w:rFonts w:hint="eastAsia" w:ascii="仿宋_GB2312" w:hAnsi="仿宋_GB2312" w:eastAsia="仿宋_GB2312" w:cs="仿宋_GB2312"/>
          <w:sz w:val="32"/>
          <w:szCs w:val="32"/>
        </w:rPr>
        <w:t>10028.58</w:t>
      </w:r>
      <w:r>
        <w:rPr>
          <w:rFonts w:hint="eastAsia" w:ascii="仿宋_GB2312" w:hAnsi="仿宋_GB2312" w:eastAsia="仿宋_GB2312" w:cs="仿宋_GB2312"/>
          <w:color w:val="000000"/>
          <w:kern w:val="0"/>
          <w:sz w:val="32"/>
          <w:szCs w:val="32"/>
          <w:shd w:val="clear" w:color="auto" w:fill="FFFFFF"/>
        </w:rPr>
        <w:t>万元。</w:t>
      </w:r>
    </w:p>
    <w:p>
      <w:pPr>
        <w:adjustRightInd w:val="0"/>
        <w:snapToGrid w:val="0"/>
        <w:spacing w:line="600" w:lineRule="exact"/>
        <w:ind w:firstLine="72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lang w:val="zh-CN"/>
        </w:rPr>
        <w:t>3．资金使用。</w:t>
      </w:r>
      <w:r>
        <w:rPr>
          <w:rFonts w:hint="eastAsia" w:ascii="仿宋_GB2312" w:hAnsi="仿宋_GB2312" w:eastAsia="仿宋_GB2312" w:cs="仿宋_GB2312"/>
          <w:color w:val="000000"/>
          <w:kern w:val="0"/>
          <w:sz w:val="32"/>
          <w:szCs w:val="32"/>
          <w:shd w:val="clear" w:color="auto" w:fill="FFFFFF"/>
          <w:lang w:val="zh-CN"/>
        </w:rPr>
        <w:t>该项目资金实际支付</w:t>
      </w:r>
      <w:r>
        <w:rPr>
          <w:rFonts w:hint="eastAsia" w:ascii="仿宋_GB2312" w:hAnsi="仿宋_GB2312" w:eastAsia="仿宋_GB2312" w:cs="仿宋_GB2312"/>
          <w:sz w:val="32"/>
          <w:szCs w:val="32"/>
        </w:rPr>
        <w:t>10028.58</w:t>
      </w:r>
      <w:r>
        <w:rPr>
          <w:rFonts w:hint="eastAsia" w:ascii="仿宋_GB2312" w:hAnsi="仿宋_GB2312" w:eastAsia="仿宋_GB2312" w:cs="仿宋_GB2312"/>
          <w:color w:val="000000"/>
          <w:kern w:val="0"/>
          <w:sz w:val="32"/>
          <w:szCs w:val="32"/>
          <w:shd w:val="clear" w:color="auto" w:fill="FFFFFF"/>
        </w:rPr>
        <w:t>万元，</w:t>
      </w:r>
      <w:r>
        <w:rPr>
          <w:rFonts w:hint="eastAsia" w:ascii="仿宋_GB2312" w:hAnsi="仿宋_GB2312" w:eastAsia="仿宋_GB2312" w:cs="仿宋_GB2312"/>
          <w:color w:val="000000"/>
          <w:kern w:val="0"/>
          <w:sz w:val="32"/>
          <w:szCs w:val="32"/>
          <w:shd w:val="clear" w:color="auto" w:fill="FFFFFF"/>
          <w:lang w:val="zh-CN"/>
        </w:rPr>
        <w:t>支付标准、支付进度、支付依据合规合法、与预算相符，</w:t>
      </w:r>
      <w:r>
        <w:rPr>
          <w:rFonts w:hint="eastAsia" w:ascii="仿宋_GB2312" w:hAnsi="仿宋_GB2312" w:eastAsia="仿宋_GB2312" w:cs="仿宋_GB2312"/>
          <w:color w:val="000000"/>
          <w:kern w:val="0"/>
          <w:sz w:val="32"/>
          <w:szCs w:val="32"/>
          <w:shd w:val="clear" w:color="auto" w:fill="FFFFFF"/>
        </w:rPr>
        <w:t>完成率100%。</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numPr>
          <w:ilvl w:val="0"/>
          <w:numId w:val="10"/>
        </w:numPr>
        <w:adjustRightInd w:val="0"/>
        <w:snapToGrid w:val="0"/>
        <w:spacing w:line="600" w:lineRule="exact"/>
        <w:ind w:firstLine="720"/>
        <w:rPr>
          <w:rFonts w:eastAsia="楷体_GB2312"/>
          <w:b/>
          <w:sz w:val="32"/>
          <w:szCs w:val="32"/>
          <w:lang w:val="zh-CN"/>
        </w:rPr>
      </w:pPr>
      <w:r>
        <w:rPr>
          <w:rFonts w:eastAsia="楷体_GB2312"/>
          <w:b/>
          <w:sz w:val="32"/>
          <w:szCs w:val="32"/>
          <w:lang w:val="zh-CN"/>
        </w:rPr>
        <w:t>项目组织架构及实施流程。</w:t>
      </w:r>
    </w:p>
    <w:p>
      <w:pPr>
        <w:adjustRightInd w:val="0"/>
        <w:snapToGrid w:val="0"/>
        <w:spacing w:line="560" w:lineRule="exact"/>
        <w:ind w:firstLine="720"/>
        <w:rPr>
          <w:rFonts w:eastAsia="仿宋_GB2312"/>
          <w:sz w:val="32"/>
          <w:szCs w:val="32"/>
          <w:lang w:val="zh-CN"/>
        </w:rPr>
      </w:pPr>
      <w:r>
        <w:rPr>
          <w:rFonts w:hint="eastAsia" w:ascii="仿宋_GB2312" w:hAnsi="宋体" w:eastAsia="仿宋_GB2312"/>
          <w:sz w:val="32"/>
          <w:szCs w:val="32"/>
          <w:lang w:val="zh-CN"/>
        </w:rPr>
        <w:t>项目按单位内控相关管理要求和流程进行管理，并组织实施。</w:t>
      </w:r>
    </w:p>
    <w:p>
      <w:pPr>
        <w:adjustRightInd w:val="0"/>
        <w:snapToGrid w:val="0"/>
        <w:spacing w:line="600" w:lineRule="exact"/>
        <w:ind w:firstLine="642" w:firstLineChars="200"/>
        <w:rPr>
          <w:rFonts w:ascii="楷体" w:hAnsi="楷体" w:eastAsia="楷体" w:cs="楷体"/>
          <w:b/>
          <w:bCs/>
          <w:sz w:val="32"/>
          <w:szCs w:val="32"/>
          <w:lang w:val="zh-CN"/>
        </w:rPr>
      </w:pPr>
      <w:r>
        <w:rPr>
          <w:rFonts w:hint="eastAsia" w:ascii="楷体" w:hAnsi="楷体" w:eastAsia="楷体" w:cs="楷体"/>
          <w:b/>
          <w:bCs/>
          <w:sz w:val="32"/>
          <w:szCs w:val="32"/>
          <w:lang w:val="zh-CN"/>
        </w:rPr>
        <w:t>（二）项目管理情况。</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项目实施遵守相关法律法规；项目调整手续完备；项目合同、验收报告、技术鉴定等资料齐全并及时归档；项目实施的人员条件、场地设备、信息支撑等落实到位</w:t>
      </w:r>
    </w:p>
    <w:p>
      <w:pPr>
        <w:numPr>
          <w:ilvl w:val="0"/>
          <w:numId w:val="10"/>
        </w:numPr>
        <w:adjustRightInd w:val="0"/>
        <w:snapToGrid w:val="0"/>
        <w:spacing w:line="600" w:lineRule="exact"/>
        <w:ind w:firstLine="720"/>
        <w:rPr>
          <w:rFonts w:eastAsia="楷体_GB2312"/>
          <w:b/>
          <w:sz w:val="32"/>
          <w:szCs w:val="32"/>
          <w:lang w:val="zh-CN"/>
        </w:rPr>
      </w:pPr>
      <w:r>
        <w:rPr>
          <w:rFonts w:eastAsia="楷体_GB2312"/>
          <w:b/>
          <w:sz w:val="32"/>
          <w:szCs w:val="32"/>
          <w:lang w:val="zh-CN"/>
        </w:rPr>
        <w:t>项目监管情况。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项目工期按时完成验收通过，资金完成拨付，</w:t>
      </w:r>
      <w:r>
        <w:rPr>
          <w:rFonts w:hint="eastAsia" w:ascii="仿宋_GB2312" w:hAnsi="仿宋_GB2312" w:eastAsia="仿宋_GB2312" w:cs="仿宋_GB2312"/>
          <w:sz w:val="32"/>
          <w:szCs w:val="32"/>
        </w:rPr>
        <w:t>工程质量合格率达到100%。</w:t>
      </w:r>
      <w:r>
        <w:rPr>
          <w:rFonts w:hint="eastAsia" w:ascii="仿宋_GB2312" w:hAnsi="仿宋_GB2312" w:eastAsia="仿宋_GB2312" w:cs="仿宋_GB2312"/>
          <w:sz w:val="32"/>
          <w:szCs w:val="32"/>
          <w:lang w:val="zh-CN"/>
        </w:rPr>
        <w:t>无资金结余情况，无违规记录，对照项目计划完成目标。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极大提升公路安全水平，提升人民出行便捷性及人民满意度。</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w:t>
      </w: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spacing w:line="560" w:lineRule="exact"/>
        <w:ind w:firstLine="640" w:firstLineChars="200"/>
        <w:rPr>
          <w:rFonts w:eastAsia="仿宋_GB2312"/>
          <w:kern w:val="0"/>
          <w:sz w:val="32"/>
          <w:szCs w:val="32"/>
        </w:rPr>
      </w:pPr>
      <w:r>
        <w:rPr>
          <w:rFonts w:hint="eastAsia" w:eastAsia="仿宋_GB2312"/>
          <w:kern w:val="0"/>
          <w:sz w:val="32"/>
          <w:szCs w:val="32"/>
        </w:rPr>
        <w:t>交通部门作为行政管理机构，专业技术人员有限，机电运行能力不足，也难以保障本工程庞大系统的长期稳定运行。因此，建议工程实施过程中，积极引导社会第三方力量的积极参与，统筹解决工程建设和运行问题。</w:t>
      </w:r>
    </w:p>
    <w:p>
      <w:pPr>
        <w:pStyle w:val="2"/>
      </w:pPr>
    </w:p>
    <w:p>
      <w:pPr>
        <w:pStyle w:val="2"/>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w:t>
      </w:r>
      <w:r>
        <w:rPr>
          <w:rFonts w:hint="eastAsia" w:ascii="Times New Roman" w:hAnsi="Times New Roman" w:eastAsia="方正小标宋简体"/>
          <w:color w:val="auto"/>
          <w:kern w:val="2"/>
          <w:sz w:val="40"/>
          <w:szCs w:val="40"/>
        </w:rPr>
        <w:t>报告</w:t>
      </w:r>
    </w:p>
    <w:p>
      <w:pPr>
        <w:spacing w:line="600" w:lineRule="exact"/>
        <w:ind w:firstLine="883"/>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攀枝花机场油库改扩建项目</w:t>
      </w:r>
      <w:r>
        <w:rPr>
          <w:rFonts w:eastAsia="仿宋_GB2312"/>
          <w:sz w:val="32"/>
          <w:szCs w:val="32"/>
          <w:lang w:val="zh-CN"/>
        </w:rPr>
        <w:t>）</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560" w:lineRule="exact"/>
        <w:ind w:firstLine="720"/>
        <w:rPr>
          <w:rFonts w:ascii="仿宋" w:hAnsi="仿宋" w:eastAsia="仿宋" w:cs="仿宋"/>
          <w:sz w:val="32"/>
          <w:szCs w:val="32"/>
          <w:lang w:val="zh-CN"/>
        </w:rPr>
      </w:pPr>
      <w:r>
        <w:rPr>
          <w:rFonts w:hint="eastAsia" w:ascii="仿宋_GB2312" w:hAnsi="仿宋_GB2312" w:eastAsia="仿宋_GB2312" w:cs="仿宋_GB2312"/>
          <w:sz w:val="32"/>
          <w:szCs w:val="32"/>
          <w:lang w:val="zh-CN"/>
        </w:rPr>
        <w:t>供油设施改造后总库容为2000立方米，属于四级油库。机场油库原有3座500立方米立式拱顶储罐拆除，本期新建2座1000立方米的立式航煤储油罐（拱顶储罐）、新建事故存液池及隔油池、消防水罐、油气回收装置、装卸油棚等，对原有生产值班用房、油车库、消防泵房及配电间等建筑物进行修葺。</w:t>
      </w:r>
      <w:r>
        <w:rPr>
          <w:rFonts w:hint="eastAsia" w:ascii="仿宋_GB2312" w:hAnsi="仿宋_GB2312" w:eastAsia="仿宋_GB2312" w:cs="仿宋_GB2312"/>
          <w:bCs/>
          <w:sz w:val="32"/>
          <w:szCs w:val="32"/>
          <w:lang w:val="zh-CN"/>
        </w:rPr>
        <w:t>项目</w:t>
      </w:r>
      <w:r>
        <w:rPr>
          <w:rFonts w:hint="eastAsia" w:ascii="仿宋_GB2312" w:hAnsi="仿宋_GB2312" w:eastAsia="仿宋_GB2312" w:cs="仿宋_GB2312"/>
          <w:sz w:val="32"/>
          <w:szCs w:val="32"/>
          <w:lang w:val="zh-CN"/>
        </w:rPr>
        <w:t>申报内容与具体实施内容相符、申报目标合理可行。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 项目主要内容。</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开展1个机场油库改扩建项目。</w:t>
      </w:r>
    </w:p>
    <w:p>
      <w:pPr>
        <w:numPr>
          <w:ilvl w:val="0"/>
          <w:numId w:val="12"/>
        </w:num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项目应实现的具体绩效目标。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数量指标：</w:t>
      </w:r>
      <w:r>
        <w:rPr>
          <w:rFonts w:hint="eastAsia" w:ascii="仿宋_GB2312" w:hAnsi="仿宋_GB2312" w:eastAsia="仿宋_GB2312" w:cs="仿宋_GB2312"/>
          <w:sz w:val="32"/>
          <w:szCs w:val="32"/>
          <w:lang w:val="zh-CN"/>
        </w:rPr>
        <w:t>开展1个机场油库改扩建项目。完成油库土地面积23224.8平方米。</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质量指标：工程质量优良。</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时效指标：2025年内完成。</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经济成本指标：财政补助成本240万元。</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 申报内容是与实际相符，申报目标合理可行。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项目绩效自评采用</w:t>
      </w:r>
      <w:r>
        <w:rPr>
          <w:rFonts w:hint="eastAsia" w:eastAsia="仿宋_GB2312"/>
          <w:sz w:val="32"/>
          <w:szCs w:val="32"/>
          <w:lang w:val="zh-CN"/>
        </w:rPr>
        <w:t>自评方式，对照年初绩效申报目标进行评价</w:t>
      </w:r>
      <w:r>
        <w:rPr>
          <w:rFonts w:eastAsia="仿宋_GB2312"/>
          <w:sz w:val="32"/>
          <w:szCs w:val="32"/>
          <w:lang w:val="zh-CN"/>
        </w:rPr>
        <w:t>。</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项目资金申报、批复及预算调整等</w:t>
      </w:r>
      <w:r>
        <w:rPr>
          <w:rFonts w:hint="eastAsia" w:eastAsia="仿宋_GB2312"/>
          <w:sz w:val="32"/>
          <w:szCs w:val="32"/>
          <w:lang w:val="zh-CN"/>
        </w:rPr>
        <w:t>均严格按照财政相关要求和规定</w:t>
      </w:r>
      <w:r>
        <w:rPr>
          <w:rFonts w:eastAsia="仿宋_GB2312"/>
          <w:sz w:val="32"/>
          <w:szCs w:val="32"/>
          <w:lang w:val="zh-CN"/>
        </w:rPr>
        <w:t>。</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资金计划。</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项目计划财政补助资金</w:t>
      </w:r>
      <w:r>
        <w:rPr>
          <w:rFonts w:hint="eastAsia" w:ascii="仿宋_GB2312" w:hAnsi="仿宋_GB2312" w:eastAsia="仿宋_GB2312" w:cs="仿宋_GB2312"/>
          <w:sz w:val="32"/>
          <w:szCs w:val="32"/>
        </w:rPr>
        <w:t>240万元。</w:t>
      </w:r>
    </w:p>
    <w:p>
      <w:pPr>
        <w:adjustRightInd w:val="0"/>
        <w:snapToGrid w:val="0"/>
        <w:spacing w:line="600" w:lineRule="exact"/>
        <w:ind w:left="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资金到位。</w:t>
      </w:r>
    </w:p>
    <w:p>
      <w:pPr>
        <w:adjustRightInd w:val="0"/>
        <w:snapToGrid w:val="0"/>
        <w:spacing w:line="600" w:lineRule="exact"/>
        <w:ind w:left="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资金到位及时。</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资金使用。</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项目资金按照财政相关规定和流程使用，资金使用安全、规范、有效。资金支付范围、支付标准、支付进度、支付依据合规合法、与预算相符。</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项目按单位内控相关管理要求和流程进行管理，并组织实施。</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（二）项目管理情况。</w:t>
      </w:r>
      <w:r>
        <w:rPr>
          <w:rFonts w:eastAsia="仿宋_GB2312"/>
          <w:sz w:val="32"/>
          <w:szCs w:val="32"/>
          <w:lang w:val="zh-CN"/>
        </w:rPr>
        <w:t>项目实施单位</w:t>
      </w:r>
      <w:r>
        <w:rPr>
          <w:rFonts w:hint="eastAsia" w:eastAsia="仿宋_GB2312"/>
          <w:sz w:val="32"/>
          <w:szCs w:val="32"/>
          <w:lang w:val="zh-CN"/>
        </w:rPr>
        <w:t>严格</w:t>
      </w:r>
      <w:r>
        <w:rPr>
          <w:rFonts w:eastAsia="仿宋_GB2312"/>
          <w:sz w:val="32"/>
          <w:szCs w:val="32"/>
          <w:lang w:val="zh-CN"/>
        </w:rPr>
        <w:t>执行相关法律法规及项目管理制度，如招投标、政府采购、项目公示制等。</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eastAsia="仿宋_GB2312"/>
          <w:sz w:val="32"/>
          <w:szCs w:val="32"/>
          <w:lang w:val="zh-CN"/>
        </w:rPr>
        <w:t>项目主管部门</w:t>
      </w:r>
      <w:r>
        <w:rPr>
          <w:rFonts w:hint="eastAsia" w:eastAsia="仿宋_GB2312"/>
          <w:sz w:val="32"/>
          <w:szCs w:val="32"/>
          <w:lang w:val="zh-CN"/>
        </w:rPr>
        <w:t>加强对项目实施的监管，保证项目顺利实施。</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年内完成了1个机场油库改扩建项目，油库土地面积23224.8平方米，</w:t>
      </w:r>
      <w:r>
        <w:rPr>
          <w:rFonts w:hint="eastAsia" w:ascii="仿宋_GB2312" w:hAnsi="仿宋_GB2312" w:eastAsia="仿宋_GB2312" w:cs="仿宋_GB2312"/>
          <w:sz w:val="32"/>
          <w:szCs w:val="32"/>
        </w:rPr>
        <w:t>工程质量优良，财政补助成本240万元及时到位</w:t>
      </w:r>
      <w:r>
        <w:rPr>
          <w:rFonts w:hint="eastAsia" w:ascii="仿宋_GB2312" w:hAnsi="仿宋_GB2312" w:eastAsia="仿宋_GB2312" w:cs="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为机场供油及供油安全提供保障，服务对象满意度≥</w:t>
      </w:r>
      <w:r>
        <w:rPr>
          <w:rFonts w:hint="eastAsia" w:ascii="仿宋_GB2312" w:hAnsi="仿宋_GB2312" w:eastAsia="仿宋_GB2312" w:cs="仿宋_GB2312"/>
          <w:sz w:val="32"/>
          <w:szCs w:val="32"/>
        </w:rPr>
        <w:t>85%，达到绩效目标。</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项目基本完成既定绩效目标。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960" w:firstLineChars="300"/>
        <w:rPr>
          <w:rFonts w:eastAsia="仿宋_GB2312"/>
          <w:sz w:val="32"/>
          <w:szCs w:val="32"/>
          <w:lang w:val="zh-CN"/>
        </w:rPr>
      </w:pPr>
      <w:r>
        <w:rPr>
          <w:rFonts w:hint="eastAsia" w:eastAsia="仿宋_GB2312"/>
          <w:sz w:val="32"/>
          <w:szCs w:val="32"/>
          <w:lang w:val="zh-CN"/>
        </w:rPr>
        <w:t>无。</w:t>
      </w:r>
    </w:p>
    <w:p>
      <w:pPr>
        <w:pStyle w:val="2"/>
        <w:rPr>
          <w:lang w:val="zh-CN"/>
        </w:rPr>
      </w:pPr>
    </w:p>
    <w:p>
      <w:pPr>
        <w:pStyle w:val="2"/>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p>
    <w:p>
      <w:pPr>
        <w:pStyle w:val="41"/>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w:t>
      </w:r>
      <w:r>
        <w:rPr>
          <w:rFonts w:hint="eastAsia" w:ascii="Times New Roman" w:hAnsi="Times New Roman" w:eastAsia="方正小标宋简体"/>
          <w:color w:val="auto"/>
          <w:kern w:val="2"/>
          <w:sz w:val="40"/>
          <w:szCs w:val="40"/>
        </w:rPr>
        <w:t>报告</w:t>
      </w:r>
    </w:p>
    <w:p>
      <w:pPr>
        <w:spacing w:line="600" w:lineRule="exact"/>
        <w:ind w:firstLine="883"/>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综合客运中心项目</w:t>
      </w:r>
      <w:r>
        <w:rPr>
          <w:rFonts w:eastAsia="仿宋_GB2312"/>
          <w:sz w:val="32"/>
          <w:szCs w:val="32"/>
          <w:lang w:val="zh-CN"/>
        </w:rPr>
        <w:t>）</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560" w:lineRule="exact"/>
        <w:ind w:firstLine="720"/>
        <w:rPr>
          <w:rFonts w:ascii="仿宋" w:hAnsi="仿宋" w:eastAsia="仿宋" w:cs="仿宋"/>
          <w:sz w:val="32"/>
          <w:szCs w:val="32"/>
        </w:rPr>
      </w:pPr>
      <w:r>
        <w:rPr>
          <w:rFonts w:hint="eastAsia" w:ascii="仿宋" w:hAnsi="仿宋" w:eastAsia="仿宋" w:cs="仿宋"/>
          <w:sz w:val="32"/>
          <w:szCs w:val="32"/>
        </w:rPr>
        <w:t>解决攀枝花市综合客运中心项目遗留问题。</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 项目主要内容。</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解决攀枝花市综合客运中心项目遗留问题</w:t>
      </w:r>
      <w:r>
        <w:rPr>
          <w:rFonts w:hint="eastAsia" w:ascii="仿宋_GB2312" w:hAnsi="仿宋_GB2312" w:eastAsia="仿宋_GB2312" w:cs="仿宋_GB2312"/>
          <w:sz w:val="32"/>
          <w:szCs w:val="32"/>
          <w:lang w:val="zh-CN"/>
        </w:rPr>
        <w:t>。</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 xml:space="preserve">2. </w:t>
      </w:r>
      <w:r>
        <w:rPr>
          <w:rFonts w:hint="eastAsia" w:ascii="仿宋_GB2312" w:hAnsi="仿宋_GB2312" w:eastAsia="仿宋_GB2312" w:cs="仿宋_GB2312"/>
          <w:sz w:val="32"/>
          <w:szCs w:val="32"/>
          <w:lang w:val="zh-CN"/>
        </w:rPr>
        <w:t>项目应实现的具体绩效目标。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数量指标：综合客运中心项目1个</w:t>
      </w:r>
      <w:r>
        <w:rPr>
          <w:rFonts w:hint="eastAsia" w:ascii="仿宋_GB2312" w:hAnsi="仿宋_GB2312" w:eastAsia="仿宋_GB2312" w:cs="仿宋_GB2312"/>
          <w:sz w:val="32"/>
          <w:szCs w:val="32"/>
          <w:lang w:val="zh-CN"/>
        </w:rPr>
        <w:t>。</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质量指标：资金使用合规</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时效指标：2025年内完成。</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经济成本指标：财政补助成本510万元。</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 申报内容是与实际相符，申报目标合理可行。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项目绩效自评采用</w:t>
      </w:r>
      <w:r>
        <w:rPr>
          <w:rFonts w:hint="eastAsia" w:eastAsia="仿宋_GB2312"/>
          <w:sz w:val="32"/>
          <w:szCs w:val="32"/>
          <w:lang w:val="zh-CN"/>
        </w:rPr>
        <w:t>自评方式，对照年初绩效申报目标进行评价</w:t>
      </w:r>
      <w:r>
        <w:rPr>
          <w:rFonts w:eastAsia="仿宋_GB2312"/>
          <w:sz w:val="32"/>
          <w:szCs w:val="32"/>
          <w:lang w:val="zh-CN"/>
        </w:rPr>
        <w:t>。</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项目资金申报、批复及预算调整等</w:t>
      </w:r>
      <w:r>
        <w:rPr>
          <w:rFonts w:hint="eastAsia" w:eastAsia="仿宋_GB2312"/>
          <w:sz w:val="32"/>
          <w:szCs w:val="32"/>
          <w:lang w:val="zh-CN"/>
        </w:rPr>
        <w:t>均严格按照财政相关要求和规定</w:t>
      </w:r>
      <w:r>
        <w:rPr>
          <w:rFonts w:eastAsia="仿宋_GB2312"/>
          <w:sz w:val="32"/>
          <w:szCs w:val="32"/>
          <w:lang w:val="zh-CN"/>
        </w:rPr>
        <w:t>。</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资金计划。</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项目计划财政补助资金</w:t>
      </w:r>
      <w:r>
        <w:rPr>
          <w:rFonts w:hint="eastAsia" w:ascii="仿宋_GB2312" w:hAnsi="仿宋_GB2312" w:eastAsia="仿宋_GB2312" w:cs="仿宋_GB2312"/>
          <w:sz w:val="32"/>
          <w:szCs w:val="32"/>
        </w:rPr>
        <w:t>510万元。</w:t>
      </w:r>
    </w:p>
    <w:p>
      <w:pPr>
        <w:adjustRightInd w:val="0"/>
        <w:snapToGrid w:val="0"/>
        <w:spacing w:line="600" w:lineRule="exact"/>
        <w:ind w:left="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资金到位。</w:t>
      </w:r>
    </w:p>
    <w:p>
      <w:pPr>
        <w:adjustRightInd w:val="0"/>
        <w:snapToGrid w:val="0"/>
        <w:spacing w:line="600" w:lineRule="exact"/>
        <w:ind w:left="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资金到位及时。</w:t>
      </w:r>
    </w:p>
    <w:p>
      <w:pPr>
        <w:adjustRightInd w:val="0"/>
        <w:snapToGrid w:val="0"/>
        <w:spacing w:line="600" w:lineRule="exact"/>
        <w:ind w:left="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资金使用。</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项目资金按照财政相关规定和流程使用，资金使用安全、规范、有效。资金支付范围、支付标准、支付进度、支付依据合规合法、与预算相符。</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项目按单位内控相关管理要求和流程进行管理，并组织实施。</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（二）项目管理情况。</w:t>
      </w:r>
      <w:r>
        <w:rPr>
          <w:rFonts w:eastAsia="仿宋_GB2312"/>
          <w:sz w:val="32"/>
          <w:szCs w:val="32"/>
          <w:lang w:val="zh-CN"/>
        </w:rPr>
        <w:t>项目实施单位</w:t>
      </w:r>
      <w:r>
        <w:rPr>
          <w:rFonts w:hint="eastAsia" w:eastAsia="仿宋_GB2312"/>
          <w:sz w:val="32"/>
          <w:szCs w:val="32"/>
          <w:lang w:val="zh-CN"/>
        </w:rPr>
        <w:t>严格</w:t>
      </w:r>
      <w:r>
        <w:rPr>
          <w:rFonts w:eastAsia="仿宋_GB2312"/>
          <w:sz w:val="32"/>
          <w:szCs w:val="32"/>
          <w:lang w:val="zh-CN"/>
        </w:rPr>
        <w:t>执行相关法律法规及项目管理制度，如招投标、政府采购、项目公示制等。</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eastAsia="仿宋_GB2312"/>
          <w:sz w:val="32"/>
          <w:szCs w:val="32"/>
          <w:lang w:val="zh-CN"/>
        </w:rPr>
        <w:t>项目主管部门</w:t>
      </w:r>
      <w:r>
        <w:rPr>
          <w:rFonts w:hint="eastAsia" w:eastAsia="仿宋_GB2312"/>
          <w:sz w:val="32"/>
          <w:szCs w:val="32"/>
          <w:lang w:val="zh-CN"/>
        </w:rPr>
        <w:t>加强对项目实施的监管，保证项目顺利实施。</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56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rPr>
        <w:t>为解决攀枝花市综合客运中心项目遗留问题，财政补助成本510万元及时到位</w:t>
      </w:r>
      <w:r>
        <w:rPr>
          <w:rFonts w:hint="eastAsia" w:ascii="仿宋_GB2312" w:hAnsi="仿宋_GB2312" w:eastAsia="仿宋_GB2312" w:cs="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维护社会稳定，服务对象满意度≥</w:t>
      </w:r>
      <w:r>
        <w:rPr>
          <w:rFonts w:hint="eastAsia" w:ascii="仿宋_GB2312" w:hAnsi="仿宋_GB2312" w:eastAsia="仿宋_GB2312" w:cs="仿宋_GB2312"/>
          <w:sz w:val="32"/>
          <w:szCs w:val="32"/>
        </w:rPr>
        <w:t>95%，达到绩效目标。</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项目基本完成既定绩效目标。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960" w:firstLineChars="300"/>
        <w:rPr>
          <w:rFonts w:eastAsia="仿宋_GB2312"/>
          <w:sz w:val="32"/>
          <w:szCs w:val="32"/>
          <w:lang w:val="zh-CN"/>
        </w:rPr>
      </w:pPr>
      <w:r>
        <w:rPr>
          <w:rFonts w:hint="eastAsia" w:eastAsia="仿宋_GB2312"/>
          <w:sz w:val="32"/>
          <w:szCs w:val="32"/>
          <w:lang w:val="zh-CN"/>
        </w:rPr>
        <w:t>无。</w:t>
      </w:r>
    </w:p>
    <w:p>
      <w:pPr>
        <w:pStyle w:val="2"/>
        <w:rPr>
          <w:lang w:val="zh-CN"/>
        </w:rPr>
      </w:pPr>
    </w:p>
    <w:p>
      <w:pPr>
        <w:pStyle w:val="2"/>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spacing w:line="600" w:lineRule="exact"/>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（省级物流枢纽承载城市申报方案编制服务）</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根据工作安排，全力推进省级物流枢纽承载城市申报方案编制采购工作。</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 项目主要内容。</w:t>
      </w:r>
    </w:p>
    <w:p>
      <w:pPr>
        <w:spacing w:after="120"/>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推进省级物流枢纽承载城市申报方案编制采购工作</w:t>
      </w:r>
    </w:p>
    <w:p>
      <w:pPr>
        <w:spacing w:after="120"/>
        <w:ind w:left="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项目应实现的具体绩效目标。</w:t>
      </w:r>
    </w:p>
    <w:p>
      <w:pPr>
        <w:spacing w:after="120"/>
        <w:ind w:left="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数量指标：编制完成方案</w:t>
      </w:r>
      <w:r>
        <w:rPr>
          <w:rFonts w:hint="eastAsia" w:ascii="仿宋_GB2312" w:hAnsi="仿宋_GB2312" w:eastAsia="仿宋_GB2312" w:cs="仿宋_GB2312"/>
          <w:sz w:val="32"/>
          <w:szCs w:val="32"/>
        </w:rPr>
        <w:t>1个</w:t>
      </w:r>
    </w:p>
    <w:p>
      <w:pPr>
        <w:spacing w:after="120"/>
        <w:ind w:left="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质量指标：</w:t>
      </w:r>
      <w:r>
        <w:rPr>
          <w:rFonts w:hint="eastAsia" w:ascii="仿宋_GB2312" w:hAnsi="仿宋_GB2312" w:eastAsia="仿宋_GB2312" w:cs="仿宋_GB2312"/>
          <w:sz w:val="32"/>
          <w:szCs w:val="32"/>
          <w:lang w:val="zh-CN"/>
        </w:rPr>
        <w:t>通过省级物流枢纽承载城市申报</w:t>
      </w:r>
    </w:p>
    <w:p>
      <w:pPr>
        <w:spacing w:after="120"/>
        <w:ind w:left="72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时效指标：当年完成</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成本指标：</w:t>
      </w:r>
      <w:r>
        <w:rPr>
          <w:rFonts w:hint="eastAsia" w:ascii="仿宋_GB2312" w:hAnsi="仿宋_GB2312" w:eastAsia="仿宋_GB2312" w:cs="仿宋_GB2312"/>
          <w:sz w:val="32"/>
          <w:szCs w:val="32"/>
        </w:rPr>
        <w:t>编制成本104.1万元</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社会效益指标：推进我市</w:t>
      </w:r>
      <w:r>
        <w:rPr>
          <w:rFonts w:hint="eastAsia" w:ascii="仿宋_GB2312" w:hAnsi="仿宋_GB2312" w:eastAsia="仿宋_GB2312" w:cs="仿宋_GB2312"/>
          <w:sz w:val="32"/>
          <w:szCs w:val="32"/>
        </w:rPr>
        <w:t>经济</w:t>
      </w:r>
      <w:r>
        <w:rPr>
          <w:rFonts w:hint="eastAsia" w:ascii="仿宋_GB2312" w:hAnsi="仿宋_GB2312" w:eastAsia="仿宋_GB2312" w:cs="仿宋_GB2312"/>
          <w:sz w:val="32"/>
          <w:szCs w:val="32"/>
          <w:lang w:val="zh-CN"/>
        </w:rPr>
        <w:t>高质量发展</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服务对象满意度指标：社会对象满意度</w:t>
      </w:r>
      <w:r>
        <w:rPr>
          <w:rFonts w:hint="eastAsia" w:ascii="仿宋_GB2312" w:hAnsi="仿宋_GB2312" w:eastAsia="仿宋_GB2312" w:cs="仿宋_GB2312"/>
          <w:sz w:val="32"/>
          <w:szCs w:val="32"/>
        </w:rPr>
        <w:t>90%以上。</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分析评价申报内容是否与实际相符，申报目标是否合理可行。</w:t>
      </w:r>
    </w:p>
    <w:p>
      <w:pPr>
        <w:adjustRightInd w:val="0"/>
        <w:snapToGrid w:val="0"/>
        <w:spacing w:line="600" w:lineRule="exact"/>
        <w:ind w:left="720"/>
        <w:rPr>
          <w:rFonts w:eastAsia="仿宋_GB2312"/>
          <w:sz w:val="32"/>
          <w:szCs w:val="32"/>
          <w:lang w:val="zh-CN"/>
        </w:rPr>
      </w:pPr>
      <w:r>
        <w:rPr>
          <w:rFonts w:eastAsia="仿宋_GB2312"/>
          <w:sz w:val="32"/>
          <w:szCs w:val="32"/>
          <w:lang w:val="zh-CN"/>
        </w:rPr>
        <w:t>申报内容与实际相符，申报目标合理可行。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rPr>
      </w:pPr>
      <w:r>
        <w:rPr>
          <w:rFonts w:eastAsia="仿宋_GB2312"/>
          <w:sz w:val="32"/>
          <w:szCs w:val="32"/>
        </w:rPr>
        <w:t>结合项目实际需求、</w:t>
      </w:r>
      <w:r>
        <w:rPr>
          <w:rFonts w:hint="eastAsia" w:eastAsia="仿宋_GB2312"/>
          <w:sz w:val="32"/>
          <w:szCs w:val="32"/>
          <w:lang w:val="zh-CN"/>
        </w:rPr>
        <w:t>申报方案编制</w:t>
      </w:r>
      <w:r>
        <w:rPr>
          <w:rFonts w:hint="eastAsia" w:eastAsia="仿宋_GB2312"/>
          <w:sz w:val="32"/>
          <w:szCs w:val="32"/>
        </w:rPr>
        <w:t>是否通过等开展自评。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项目设立按固定履行评估论证、申报程序。绩效目标设置于计划期内的任务量、预算安排的资金量基本匹配，绩效目标设置基本科学合理、规范完成。预算项目在规定时间内完成项目入库。</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lang w:val="zh-CN"/>
        </w:rPr>
        <w:t>1．资金计划。</w:t>
      </w:r>
      <w:r>
        <w:rPr>
          <w:rFonts w:hint="eastAsia" w:ascii="仿宋_GB2312" w:hAnsi="仿宋_GB2312" w:eastAsia="仿宋_GB2312" w:cs="仿宋_GB2312"/>
          <w:color w:val="000000"/>
          <w:kern w:val="0"/>
          <w:sz w:val="32"/>
          <w:szCs w:val="32"/>
          <w:shd w:val="clear" w:color="auto" w:fill="FFFFFF"/>
          <w:lang w:val="zh-CN"/>
        </w:rPr>
        <w:t>该项目资金计划</w:t>
      </w:r>
      <w:r>
        <w:rPr>
          <w:rFonts w:hint="eastAsia" w:ascii="仿宋_GB2312" w:hAnsi="仿宋_GB2312" w:eastAsia="仿宋_GB2312" w:cs="仿宋_GB2312"/>
          <w:color w:val="000000"/>
          <w:kern w:val="0"/>
          <w:sz w:val="32"/>
          <w:szCs w:val="32"/>
          <w:shd w:val="clear" w:color="auto" w:fill="FFFFFF"/>
        </w:rPr>
        <w:t>104.1万元。</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2．资金到位。</w:t>
      </w:r>
      <w:r>
        <w:rPr>
          <w:rFonts w:hint="eastAsia" w:ascii="仿宋_GB2312" w:hAnsi="仿宋_GB2312" w:eastAsia="仿宋_GB2312" w:cs="仿宋_GB2312"/>
          <w:color w:val="000000"/>
          <w:kern w:val="0"/>
          <w:sz w:val="32"/>
          <w:szCs w:val="32"/>
          <w:shd w:val="clear" w:color="auto" w:fill="FFFFFF"/>
          <w:lang w:val="zh-CN"/>
        </w:rPr>
        <w:t>该项目资金实际到位</w:t>
      </w:r>
      <w:r>
        <w:rPr>
          <w:rFonts w:hint="eastAsia" w:ascii="仿宋_GB2312" w:hAnsi="仿宋_GB2312" w:eastAsia="仿宋_GB2312" w:cs="仿宋_GB2312"/>
          <w:color w:val="000000"/>
          <w:kern w:val="0"/>
          <w:sz w:val="32"/>
          <w:szCs w:val="32"/>
          <w:shd w:val="clear" w:color="auto" w:fill="FFFFFF"/>
        </w:rPr>
        <w:t>104.1万元。</w:t>
      </w:r>
    </w:p>
    <w:p>
      <w:pPr>
        <w:adjustRightInd w:val="0"/>
        <w:snapToGrid w:val="0"/>
        <w:spacing w:line="600" w:lineRule="exact"/>
        <w:ind w:firstLine="720"/>
        <w:rPr>
          <w:rFonts w:eastAsia="仿宋_GB2312"/>
          <w:color w:val="000000"/>
          <w:kern w:val="0"/>
          <w:sz w:val="32"/>
          <w:szCs w:val="32"/>
          <w:shd w:val="clear" w:color="auto" w:fill="FFFFFF"/>
        </w:rPr>
      </w:pPr>
      <w:r>
        <w:rPr>
          <w:rFonts w:hint="eastAsia" w:ascii="仿宋_GB2312" w:hAnsi="仿宋_GB2312" w:eastAsia="仿宋_GB2312" w:cs="仿宋_GB2312"/>
          <w:sz w:val="32"/>
          <w:szCs w:val="32"/>
          <w:lang w:val="zh-CN"/>
        </w:rPr>
        <w:t>3．资金使用。</w:t>
      </w:r>
      <w:r>
        <w:rPr>
          <w:rFonts w:hint="eastAsia" w:ascii="仿宋_GB2312" w:hAnsi="仿宋_GB2312" w:eastAsia="仿宋_GB2312" w:cs="仿宋_GB2312"/>
          <w:color w:val="000000"/>
          <w:kern w:val="0"/>
          <w:sz w:val="32"/>
          <w:szCs w:val="32"/>
          <w:shd w:val="clear" w:color="auto" w:fill="FFFFFF"/>
          <w:lang w:val="zh-CN"/>
        </w:rPr>
        <w:t>该项目资金实际支付</w:t>
      </w:r>
      <w:r>
        <w:rPr>
          <w:rFonts w:hint="eastAsia" w:ascii="仿宋_GB2312" w:hAnsi="仿宋_GB2312" w:eastAsia="仿宋_GB2312" w:cs="仿宋_GB2312"/>
          <w:color w:val="000000"/>
          <w:kern w:val="0"/>
          <w:sz w:val="32"/>
          <w:szCs w:val="32"/>
          <w:shd w:val="clear" w:color="auto" w:fill="FFFFFF"/>
        </w:rPr>
        <w:t>104.1万元，</w:t>
      </w:r>
      <w:r>
        <w:rPr>
          <w:rFonts w:hint="eastAsia" w:ascii="仿宋_GB2312" w:hAnsi="仿宋_GB2312" w:eastAsia="仿宋_GB2312" w:cs="仿宋_GB2312"/>
          <w:color w:val="000000"/>
          <w:kern w:val="0"/>
          <w:sz w:val="32"/>
          <w:szCs w:val="32"/>
          <w:shd w:val="clear" w:color="auto" w:fill="FFFFFF"/>
          <w:lang w:val="zh-CN"/>
        </w:rPr>
        <w:t>支付标准、支付进度、支付依据合规合法、与预算相符，</w:t>
      </w:r>
      <w:r>
        <w:rPr>
          <w:rFonts w:hint="eastAsia" w:ascii="仿宋_GB2312" w:hAnsi="仿宋_GB2312" w:eastAsia="仿宋_GB2312" w:cs="仿宋_GB2312"/>
          <w:color w:val="000000"/>
          <w:kern w:val="0"/>
          <w:sz w:val="32"/>
          <w:szCs w:val="32"/>
          <w:shd w:val="clear" w:color="auto" w:fill="FFFFFF"/>
        </w:rPr>
        <w:t>完</w:t>
      </w:r>
      <w:r>
        <w:rPr>
          <w:rFonts w:hint="eastAsia" w:eastAsia="仿宋_GB2312"/>
          <w:color w:val="000000"/>
          <w:kern w:val="0"/>
          <w:sz w:val="32"/>
          <w:szCs w:val="32"/>
          <w:shd w:val="clear" w:color="auto" w:fill="FFFFFF"/>
        </w:rPr>
        <w:t>成率</w:t>
      </w:r>
      <w:r>
        <w:rPr>
          <w:rFonts w:hint="eastAsia" w:ascii="仿宋_GB2312" w:hAnsi="仿宋_GB2312" w:eastAsia="仿宋_GB2312" w:cs="仿宋_GB2312"/>
          <w:color w:val="000000"/>
          <w:kern w:val="0"/>
          <w:sz w:val="32"/>
          <w:szCs w:val="32"/>
          <w:shd w:val="clear" w:color="auto" w:fill="FFFFFF"/>
        </w:rPr>
        <w:t>100%。</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结合项目组织实施管理办法，重点围绕以下内容进行分析评价，并对自评中发现的问题分析说明。</w:t>
      </w:r>
    </w:p>
    <w:p>
      <w:pPr>
        <w:adjustRightInd w:val="0"/>
        <w:snapToGrid w:val="0"/>
        <w:spacing w:line="600" w:lineRule="exact"/>
        <w:ind w:firstLine="642" w:firstLineChars="200"/>
        <w:rPr>
          <w:rFonts w:eastAsia="楷体_GB2312"/>
          <w:b/>
          <w:sz w:val="32"/>
          <w:szCs w:val="32"/>
          <w:lang w:val="zh-CN"/>
        </w:rPr>
      </w:pPr>
      <w:r>
        <w:rPr>
          <w:rFonts w:hint="eastAsia" w:eastAsia="楷体_GB2312"/>
          <w:b/>
          <w:sz w:val="32"/>
          <w:szCs w:val="32"/>
          <w:lang w:val="zh-CN"/>
        </w:rPr>
        <w:t>（一）</w:t>
      </w:r>
      <w:r>
        <w:rPr>
          <w:rFonts w:eastAsia="楷体_GB2312"/>
          <w:b/>
          <w:sz w:val="32"/>
          <w:szCs w:val="32"/>
          <w:lang w:val="zh-CN"/>
        </w:rPr>
        <w:t>项目组织架构及实施流程。</w:t>
      </w:r>
    </w:p>
    <w:p>
      <w:pPr>
        <w:adjustRightInd w:val="0"/>
        <w:snapToGrid w:val="0"/>
        <w:spacing w:line="600" w:lineRule="exact"/>
        <w:ind w:firstLine="720"/>
        <w:rPr>
          <w:rFonts w:eastAsia="仿宋_GB2312"/>
          <w:sz w:val="32"/>
          <w:szCs w:val="32"/>
        </w:rPr>
      </w:pPr>
      <w:r>
        <w:rPr>
          <w:rFonts w:hint="eastAsia" w:eastAsia="仿宋_GB2312"/>
          <w:sz w:val="32"/>
          <w:szCs w:val="32"/>
        </w:rPr>
        <w:t>按政策</w:t>
      </w:r>
      <w:r>
        <w:rPr>
          <w:rFonts w:hint="eastAsia" w:eastAsia="仿宋_GB2312"/>
          <w:sz w:val="32"/>
          <w:szCs w:val="32"/>
          <w:lang w:val="zh-CN"/>
        </w:rPr>
        <w:t>全力推进省级物流枢纽承载城市申报方案编制采购工作。</w:t>
      </w:r>
    </w:p>
    <w:p>
      <w:pPr>
        <w:adjustRightInd w:val="0"/>
        <w:snapToGrid w:val="0"/>
        <w:spacing w:line="600" w:lineRule="exact"/>
        <w:ind w:firstLine="642" w:firstLineChars="200"/>
        <w:rPr>
          <w:rFonts w:ascii="楷体" w:hAnsi="楷体" w:eastAsia="楷体" w:cs="楷体"/>
          <w:b/>
          <w:bCs/>
          <w:sz w:val="32"/>
          <w:szCs w:val="32"/>
          <w:lang w:val="zh-CN"/>
        </w:rPr>
      </w:pPr>
      <w:r>
        <w:rPr>
          <w:rFonts w:hint="eastAsia" w:ascii="楷体" w:hAnsi="楷体" w:eastAsia="楷体" w:cs="楷体"/>
          <w:b/>
          <w:bCs/>
          <w:sz w:val="32"/>
          <w:szCs w:val="32"/>
          <w:lang w:val="zh-CN"/>
        </w:rPr>
        <w:t>（二）项目管理情况。</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项目实施遵守相关法律法规，项目手续完备</w:t>
      </w:r>
    </w:p>
    <w:p>
      <w:pPr>
        <w:adjustRightInd w:val="0"/>
        <w:snapToGrid w:val="0"/>
        <w:spacing w:line="600" w:lineRule="exact"/>
        <w:ind w:left="720"/>
        <w:rPr>
          <w:rFonts w:eastAsia="楷体_GB2312"/>
          <w:b/>
          <w:sz w:val="32"/>
          <w:szCs w:val="32"/>
          <w:lang w:val="zh-CN"/>
        </w:rPr>
      </w:pPr>
      <w:r>
        <w:rPr>
          <w:rFonts w:hint="eastAsia" w:eastAsia="楷体_GB2312"/>
          <w:b/>
          <w:sz w:val="32"/>
          <w:szCs w:val="32"/>
          <w:lang w:val="zh-CN"/>
        </w:rPr>
        <w:t>（三）</w:t>
      </w:r>
      <w:r>
        <w:rPr>
          <w:rFonts w:eastAsia="楷体_GB2312"/>
          <w:b/>
          <w:sz w:val="32"/>
          <w:szCs w:val="32"/>
          <w:lang w:val="zh-CN"/>
        </w:rPr>
        <w:t>项目监管情况。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640" w:firstLineChars="200"/>
        <w:rPr>
          <w:rFonts w:eastAsia="楷体_GB2312"/>
          <w:b/>
          <w:sz w:val="32"/>
          <w:szCs w:val="32"/>
          <w:lang w:val="zh-CN"/>
        </w:rPr>
      </w:pPr>
      <w:r>
        <w:rPr>
          <w:rFonts w:hint="eastAsia" w:eastAsia="仿宋_GB2312"/>
          <w:sz w:val="32"/>
          <w:szCs w:val="32"/>
          <w:lang w:val="zh-CN"/>
        </w:rPr>
        <w:t>资金完成拨付</w:t>
      </w:r>
      <w:r>
        <w:rPr>
          <w:rFonts w:hint="eastAsia" w:eastAsia="仿宋_GB2312"/>
          <w:sz w:val="32"/>
          <w:szCs w:val="32"/>
        </w:rPr>
        <w:t>。</w:t>
      </w:r>
      <w:r>
        <w:rPr>
          <w:rFonts w:hint="eastAsia" w:eastAsia="仿宋_GB2312"/>
          <w:sz w:val="32"/>
          <w:szCs w:val="32"/>
          <w:lang w:val="zh-CN"/>
        </w:rPr>
        <w:t>无</w:t>
      </w:r>
      <w:r>
        <w:rPr>
          <w:rFonts w:eastAsia="仿宋_GB2312"/>
          <w:sz w:val="32"/>
          <w:szCs w:val="32"/>
          <w:lang w:val="zh-CN"/>
        </w:rPr>
        <w:t>资金结余情况，</w:t>
      </w:r>
      <w:r>
        <w:rPr>
          <w:rFonts w:hint="eastAsia" w:eastAsia="仿宋_GB2312"/>
          <w:sz w:val="32"/>
          <w:szCs w:val="32"/>
          <w:lang w:val="zh-CN"/>
        </w:rPr>
        <w:t>无</w:t>
      </w:r>
      <w:r>
        <w:rPr>
          <w:rFonts w:eastAsia="仿宋_GB2312"/>
          <w:sz w:val="32"/>
          <w:szCs w:val="32"/>
          <w:lang w:val="zh-CN"/>
        </w:rPr>
        <w:t>违规记录，对照项目计划完成目标</w:t>
      </w:r>
      <w:r>
        <w:rPr>
          <w:rFonts w:hint="eastAsia" w:eastAsia="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推进我市</w:t>
      </w:r>
      <w:r>
        <w:rPr>
          <w:rFonts w:hint="eastAsia" w:eastAsia="仿宋_GB2312"/>
          <w:sz w:val="32"/>
          <w:szCs w:val="32"/>
        </w:rPr>
        <w:t>经济</w:t>
      </w:r>
      <w:r>
        <w:rPr>
          <w:rFonts w:hint="eastAsia" w:eastAsia="仿宋_GB2312"/>
          <w:sz w:val="32"/>
          <w:szCs w:val="32"/>
          <w:lang w:val="zh-CN"/>
        </w:rPr>
        <w:t>高质量发展</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w:t>
      </w: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ind w:firstLine="640" w:firstLineChars="200"/>
        <w:rPr>
          <w:rFonts w:eastAsia="仿宋_GB2312"/>
          <w:kern w:val="0"/>
          <w:sz w:val="32"/>
          <w:szCs w:val="32"/>
        </w:rPr>
      </w:pPr>
      <w:r>
        <w:rPr>
          <w:rFonts w:hint="eastAsia" w:eastAsia="仿宋_GB2312"/>
          <w:kern w:val="0"/>
          <w:sz w:val="32"/>
          <w:szCs w:val="32"/>
        </w:rPr>
        <w:t>无。</w:t>
      </w:r>
    </w:p>
    <w:p>
      <w:pPr>
        <w:pStyle w:val="2"/>
      </w:pPr>
    </w:p>
    <w:p>
      <w:pPr>
        <w:pStyle w:val="2"/>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spacing w:line="600" w:lineRule="exact"/>
        <w:ind w:firstLine="640"/>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（交通运行监测及数据分析费）</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1．说明项目主管部门（单位）在该项目管理中的职能。</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抓实抓细交通建设项目监督管理，加强源头管控，压实安全生产责任，强化项目施工现场生态环境保护，常态化开展公路管养，强化考核评价，注重公路养护质量，促进全市普通公路建管养运协调发展。</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项目立项、资金申报的依据。</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shd w:val="clear" w:color="auto" w:fill="FFFFFF"/>
          <w:lang w:val="zh-CN"/>
        </w:rPr>
        <w:t>各</w:t>
      </w:r>
      <w:r>
        <w:rPr>
          <w:rFonts w:hint="eastAsia" w:ascii="仿宋_GB2312" w:hAnsi="仿宋_GB2312" w:eastAsia="仿宋_GB2312" w:cs="仿宋_GB2312"/>
          <w:sz w:val="32"/>
          <w:szCs w:val="32"/>
          <w:shd w:val="clear" w:color="auto" w:fill="FFFFFF"/>
        </w:rPr>
        <w:t>科室</w:t>
      </w:r>
      <w:r>
        <w:rPr>
          <w:rFonts w:hint="eastAsia" w:ascii="仿宋_GB2312" w:hAnsi="仿宋_GB2312" w:eastAsia="仿宋_GB2312" w:cs="仿宋_GB2312"/>
          <w:sz w:val="32"/>
          <w:szCs w:val="32"/>
          <w:shd w:val="clear" w:color="auto" w:fill="FFFFFF"/>
          <w:lang w:val="zh-CN"/>
        </w:rPr>
        <w:t>根据预算年度工作目标和工作计划提出真实、详细的下年度预算申请。</w:t>
      </w:r>
      <w:r>
        <w:rPr>
          <w:rFonts w:hint="eastAsia" w:ascii="仿宋_GB2312" w:hAnsi="仿宋_GB2312" w:eastAsia="仿宋_GB2312" w:cs="仿宋_GB2312"/>
          <w:sz w:val="32"/>
          <w:szCs w:val="32"/>
          <w:shd w:val="clear" w:color="auto" w:fill="FFFFFF"/>
        </w:rPr>
        <w:t>财务</w:t>
      </w:r>
      <w:r>
        <w:rPr>
          <w:rFonts w:hint="eastAsia" w:ascii="仿宋_GB2312" w:hAnsi="仿宋_GB2312" w:eastAsia="仿宋_GB2312" w:cs="仿宋_GB2312"/>
          <w:sz w:val="32"/>
          <w:szCs w:val="32"/>
          <w:shd w:val="clear" w:color="auto" w:fill="FFFFFF"/>
          <w:lang w:val="zh-CN"/>
        </w:rPr>
        <w:t>对</w:t>
      </w:r>
      <w:r>
        <w:rPr>
          <w:rFonts w:hint="eastAsia" w:ascii="仿宋_GB2312" w:hAnsi="仿宋_GB2312" w:eastAsia="仿宋_GB2312" w:cs="仿宋_GB2312"/>
          <w:sz w:val="32"/>
          <w:szCs w:val="32"/>
          <w:shd w:val="clear" w:color="auto" w:fill="FFFFFF"/>
        </w:rPr>
        <w:t>各科</w:t>
      </w:r>
      <w:r>
        <w:rPr>
          <w:rFonts w:hint="eastAsia" w:ascii="仿宋_GB2312" w:hAnsi="仿宋_GB2312" w:eastAsia="仿宋_GB2312" w:cs="仿宋_GB2312"/>
          <w:sz w:val="32"/>
          <w:szCs w:val="32"/>
          <w:shd w:val="clear" w:color="auto" w:fill="FFFFFF"/>
          <w:lang w:val="zh-CN"/>
        </w:rPr>
        <w:t>室的下年度预算申请进行初审与协调，对各</w:t>
      </w:r>
      <w:r>
        <w:rPr>
          <w:rFonts w:hint="eastAsia" w:ascii="仿宋_GB2312" w:hAnsi="仿宋_GB2312" w:eastAsia="仿宋_GB2312" w:cs="仿宋_GB2312"/>
          <w:sz w:val="32"/>
          <w:szCs w:val="32"/>
          <w:shd w:val="clear" w:color="auto" w:fill="FFFFFF"/>
        </w:rPr>
        <w:t>科室</w:t>
      </w:r>
      <w:r>
        <w:rPr>
          <w:rFonts w:hint="eastAsia" w:ascii="仿宋_GB2312" w:hAnsi="仿宋_GB2312" w:eastAsia="仿宋_GB2312" w:cs="仿宋_GB2312"/>
          <w:sz w:val="32"/>
          <w:szCs w:val="32"/>
          <w:shd w:val="clear" w:color="auto" w:fill="FFFFFF"/>
          <w:lang w:val="zh-CN"/>
        </w:rPr>
        <w:t>申请的专项经费逐项进行比对与论证，结合</w:t>
      </w:r>
      <w:r>
        <w:rPr>
          <w:rFonts w:hint="eastAsia" w:ascii="仿宋_GB2312" w:hAnsi="仿宋_GB2312" w:eastAsia="仿宋_GB2312" w:cs="仿宋_GB2312"/>
          <w:sz w:val="32"/>
          <w:szCs w:val="32"/>
          <w:shd w:val="clear" w:color="auto" w:fill="FFFFFF"/>
        </w:rPr>
        <w:t>财力及</w:t>
      </w:r>
      <w:r>
        <w:rPr>
          <w:rFonts w:hint="eastAsia" w:ascii="仿宋_GB2312" w:hAnsi="仿宋_GB2312" w:eastAsia="仿宋_GB2312" w:cs="仿宋_GB2312"/>
          <w:sz w:val="32"/>
          <w:szCs w:val="32"/>
          <w:shd w:val="clear" w:color="auto" w:fill="FFFFFF"/>
          <w:lang w:val="zh-CN"/>
        </w:rPr>
        <w:t>本局</w:t>
      </w:r>
      <w:r>
        <w:rPr>
          <w:rFonts w:hint="eastAsia" w:ascii="仿宋_GB2312" w:hAnsi="仿宋_GB2312" w:eastAsia="仿宋_GB2312" w:cs="仿宋_GB2312"/>
          <w:sz w:val="32"/>
          <w:szCs w:val="32"/>
          <w:shd w:val="clear" w:color="auto" w:fill="FFFFFF"/>
        </w:rPr>
        <w:t>实际</w:t>
      </w:r>
      <w:r>
        <w:rPr>
          <w:rFonts w:hint="eastAsia" w:ascii="仿宋_GB2312" w:hAnsi="仿宋_GB2312" w:eastAsia="仿宋_GB2312" w:cs="仿宋_GB2312"/>
          <w:sz w:val="32"/>
          <w:szCs w:val="32"/>
          <w:shd w:val="clear" w:color="auto" w:fill="FFFFFF"/>
          <w:lang w:val="zh-CN"/>
        </w:rPr>
        <w:t>，根据项目的轻重缓急，提出支出项目预算建议数。</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资金管理办法制定情况，资金支持具体项目的条件、范围与支持方式概况。</w:t>
      </w:r>
    </w:p>
    <w:p>
      <w:pPr>
        <w:adjustRightInd w:val="0"/>
        <w:snapToGrid w:val="0"/>
        <w:spacing w:line="600" w:lineRule="exact"/>
        <w:ind w:firstLine="72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严格按照预算要求及《攀枝花市级财政交通专项资金管理办法》管理和使用资金，确保资金专款专用。</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资金分配的原则及考虑因素。</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shd w:val="clear" w:color="auto" w:fill="FFFFFF"/>
        </w:rPr>
        <w:t>财务</w:t>
      </w:r>
      <w:r>
        <w:rPr>
          <w:rFonts w:hint="eastAsia" w:ascii="仿宋_GB2312" w:hAnsi="仿宋_GB2312" w:eastAsia="仿宋_GB2312" w:cs="仿宋_GB2312"/>
          <w:sz w:val="32"/>
          <w:szCs w:val="32"/>
          <w:shd w:val="clear" w:color="auto" w:fill="FFFFFF"/>
          <w:lang w:val="zh-CN"/>
        </w:rPr>
        <w:t>根据</w:t>
      </w:r>
      <w:r>
        <w:rPr>
          <w:rFonts w:hint="eastAsia" w:ascii="仿宋_GB2312" w:hAnsi="仿宋_GB2312" w:eastAsia="仿宋_GB2312" w:cs="仿宋_GB2312"/>
          <w:sz w:val="32"/>
          <w:szCs w:val="32"/>
          <w:shd w:val="clear" w:color="auto" w:fill="FFFFFF"/>
        </w:rPr>
        <w:t>市</w:t>
      </w:r>
      <w:r>
        <w:rPr>
          <w:rFonts w:hint="eastAsia" w:ascii="仿宋_GB2312" w:hAnsi="仿宋_GB2312" w:eastAsia="仿宋_GB2312" w:cs="仿宋_GB2312"/>
          <w:sz w:val="32"/>
          <w:szCs w:val="32"/>
          <w:shd w:val="clear" w:color="auto" w:fill="FFFFFF"/>
          <w:lang w:val="zh-CN"/>
        </w:rPr>
        <w:t>财政下达的预算控制数和局预算年度的收支预测，在收支平衡的基础上，编制</w:t>
      </w:r>
      <w:r>
        <w:rPr>
          <w:rFonts w:hint="eastAsia" w:ascii="仿宋_GB2312" w:hAnsi="仿宋_GB2312" w:eastAsia="仿宋_GB2312" w:cs="仿宋_GB2312"/>
          <w:sz w:val="32"/>
          <w:szCs w:val="32"/>
          <w:shd w:val="clear" w:color="auto" w:fill="FFFFFF"/>
        </w:rPr>
        <w:t>单位</w:t>
      </w:r>
      <w:r>
        <w:rPr>
          <w:rFonts w:hint="eastAsia" w:ascii="仿宋_GB2312" w:hAnsi="仿宋_GB2312" w:eastAsia="仿宋_GB2312" w:cs="仿宋_GB2312"/>
          <w:sz w:val="32"/>
          <w:szCs w:val="32"/>
          <w:shd w:val="clear" w:color="auto" w:fill="FFFFFF"/>
          <w:lang w:val="zh-CN"/>
        </w:rPr>
        <w:t>下一年度预算草案，形成预算建议数，经</w:t>
      </w:r>
      <w:r>
        <w:rPr>
          <w:rFonts w:hint="eastAsia" w:ascii="仿宋_GB2312" w:hAnsi="仿宋_GB2312" w:eastAsia="仿宋_GB2312" w:cs="仿宋_GB2312"/>
          <w:sz w:val="32"/>
          <w:szCs w:val="32"/>
          <w:shd w:val="clear" w:color="auto" w:fill="FFFFFF"/>
        </w:rPr>
        <w:t>集体</w:t>
      </w:r>
      <w:r>
        <w:rPr>
          <w:rFonts w:hint="eastAsia" w:ascii="仿宋_GB2312" w:hAnsi="仿宋_GB2312" w:eastAsia="仿宋_GB2312" w:cs="仿宋_GB2312"/>
          <w:sz w:val="32"/>
          <w:szCs w:val="32"/>
          <w:shd w:val="clear" w:color="auto" w:fill="FFFFFF"/>
          <w:lang w:val="zh-CN"/>
        </w:rPr>
        <w:t>讨论后上报</w:t>
      </w:r>
      <w:r>
        <w:rPr>
          <w:rFonts w:hint="eastAsia" w:ascii="仿宋_GB2312" w:hAnsi="仿宋_GB2312" w:eastAsia="仿宋_GB2312" w:cs="仿宋_GB2312"/>
          <w:sz w:val="32"/>
          <w:szCs w:val="32"/>
          <w:shd w:val="clear" w:color="auto" w:fill="FFFFFF"/>
        </w:rPr>
        <w:t>市</w:t>
      </w:r>
      <w:r>
        <w:rPr>
          <w:rFonts w:hint="eastAsia" w:ascii="仿宋_GB2312" w:hAnsi="仿宋_GB2312" w:eastAsia="仿宋_GB2312" w:cs="仿宋_GB2312"/>
          <w:sz w:val="32"/>
          <w:szCs w:val="32"/>
          <w:shd w:val="clear" w:color="auto" w:fill="FFFFFF"/>
          <w:lang w:val="zh-CN"/>
        </w:rPr>
        <w:t>财政局。</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 项目主要内容。</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加强我市交通行业监督管理，提升科技兴安水平，通过监测手段，有效的减少一般事故，坚决防范遏制重特大事故发生，确保攀枝花市交通运输行业安全。</w:t>
      </w:r>
    </w:p>
    <w:p>
      <w:pPr>
        <w:numPr>
          <w:ilvl w:val="0"/>
          <w:numId w:val="13"/>
        </w:numPr>
        <w:adjustRightInd w:val="0"/>
        <w:snapToGrid w:val="0"/>
        <w:spacing w:line="600" w:lineRule="exact"/>
        <w:ind w:firstLine="72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项目应实现的具体绩效目标，包括目标的量化、细化情况以及项目实施进度计划等。</w:t>
      </w:r>
    </w:p>
    <w:p>
      <w:pPr>
        <w:adjustRightInd w:val="0"/>
        <w:snapToGrid w:val="0"/>
        <w:spacing w:line="600" w:lineRule="exact"/>
        <w:ind w:left="63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）产出指标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数量指标：共计一个项目，完成率</w:t>
      </w:r>
      <w:r>
        <w:rPr>
          <w:rFonts w:hint="eastAsia" w:ascii="仿宋_GB2312" w:hAnsi="仿宋_GB2312" w:eastAsia="仿宋_GB2312" w:cs="仿宋_GB2312"/>
          <w:sz w:val="32"/>
          <w:szCs w:val="32"/>
        </w:rPr>
        <w:t>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质量指标：建设项目完成验收，工程质量合格率达到100%。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时效指标：工期按工完成，资金完成拨付。</w:t>
      </w:r>
    </w:p>
    <w:p>
      <w:pPr>
        <w:adjustRightInd w:val="0"/>
        <w:snapToGrid w:val="0"/>
        <w:spacing w:line="600" w:lineRule="exact"/>
        <w:ind w:left="63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）成本指标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安排市级一般预算资金2.56万元。</w:t>
      </w:r>
    </w:p>
    <w:p>
      <w:pPr>
        <w:adjustRightInd w:val="0"/>
        <w:snapToGrid w:val="0"/>
        <w:spacing w:line="600" w:lineRule="exact"/>
        <w:ind w:left="63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）效益指标</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社会效益指标：促进我市交通运输高质量发展。</w:t>
      </w:r>
    </w:p>
    <w:p>
      <w:pPr>
        <w:adjustRightInd w:val="0"/>
        <w:snapToGrid w:val="0"/>
        <w:spacing w:line="600" w:lineRule="exact"/>
        <w:ind w:left="63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）满意度指标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服务对象满意度指标：社会对象满意度</w:t>
      </w:r>
      <w:r>
        <w:rPr>
          <w:rFonts w:hint="eastAsia" w:ascii="仿宋_GB2312" w:hAnsi="仿宋_GB2312" w:eastAsia="仿宋_GB2312" w:cs="仿宋_GB2312"/>
          <w:sz w:val="32"/>
          <w:szCs w:val="32"/>
        </w:rPr>
        <w:t>85%以上。</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分析评价申报内容是否与实际相符，申报目标是否合理可行。</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结合项目2024年实际需求、相关费用标准及市场价格水平，重点对数量是否合理、投入是否经济、预算测算是否准确、测算过程是否详细、测算依据是否充分等方面进行了评估。评估认为，该项目任务数量基本合理、预算测算过程较为详细、测算依据基本充分、有一定的经济性。</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rPr>
      </w:pPr>
      <w:r>
        <w:rPr>
          <w:rFonts w:eastAsia="仿宋_GB2312"/>
          <w:sz w:val="32"/>
          <w:szCs w:val="32"/>
        </w:rPr>
        <w:t>结合项目实际需求、</w:t>
      </w:r>
      <w:r>
        <w:rPr>
          <w:rFonts w:hint="eastAsia" w:eastAsia="仿宋_GB2312"/>
          <w:sz w:val="32"/>
          <w:szCs w:val="32"/>
        </w:rPr>
        <w:t>完工验收情况等开展自评。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项目设立按固定履行评估论证、申报程序。绩效目标设置于计划期内的任务量、预算安排的资金量基本匹配，绩效目标设置基本科学合理、规范完成。预算项目在规定时间内完成项目入库。</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lang w:val="zh-CN"/>
        </w:rPr>
        <w:t>1．资金计划。</w:t>
      </w:r>
      <w:r>
        <w:rPr>
          <w:rFonts w:hint="eastAsia" w:ascii="仿宋_GB2312" w:hAnsi="仿宋_GB2312" w:eastAsia="仿宋_GB2312" w:cs="仿宋_GB2312"/>
          <w:color w:val="000000"/>
          <w:kern w:val="0"/>
          <w:sz w:val="32"/>
          <w:szCs w:val="32"/>
          <w:shd w:val="clear" w:color="auto" w:fill="FFFFFF"/>
          <w:lang w:val="zh-CN"/>
        </w:rPr>
        <w:t>该项目资金计划</w:t>
      </w:r>
      <w:r>
        <w:rPr>
          <w:rFonts w:hint="eastAsia" w:ascii="仿宋_GB2312" w:hAnsi="仿宋_GB2312" w:eastAsia="仿宋_GB2312" w:cs="仿宋_GB2312"/>
          <w:color w:val="000000"/>
          <w:kern w:val="0"/>
          <w:sz w:val="32"/>
          <w:szCs w:val="32"/>
          <w:shd w:val="clear" w:color="auto" w:fill="FFFFFF"/>
        </w:rPr>
        <w:t>2.56万元，</w:t>
      </w:r>
      <w:r>
        <w:rPr>
          <w:rFonts w:hint="eastAsia" w:ascii="仿宋_GB2312" w:hAnsi="仿宋_GB2312" w:eastAsia="仿宋_GB2312" w:cs="仿宋_GB2312"/>
          <w:color w:val="000000"/>
          <w:kern w:val="0"/>
          <w:sz w:val="32"/>
          <w:szCs w:val="32"/>
          <w:shd w:val="clear" w:color="auto" w:fill="FFFFFF"/>
          <w:lang w:val="zh-CN"/>
        </w:rPr>
        <w:t>属于市级一般公共预算资金。</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2．资金到位。</w:t>
      </w:r>
      <w:r>
        <w:rPr>
          <w:rFonts w:hint="eastAsia" w:ascii="仿宋_GB2312" w:hAnsi="仿宋_GB2312" w:eastAsia="仿宋_GB2312" w:cs="仿宋_GB2312"/>
          <w:color w:val="000000"/>
          <w:kern w:val="0"/>
          <w:sz w:val="32"/>
          <w:szCs w:val="32"/>
          <w:shd w:val="clear" w:color="auto" w:fill="FFFFFF"/>
          <w:lang w:val="zh-CN"/>
        </w:rPr>
        <w:t>该项目资金实际到位</w:t>
      </w:r>
      <w:r>
        <w:rPr>
          <w:rFonts w:hint="eastAsia" w:ascii="仿宋_GB2312" w:hAnsi="仿宋_GB2312" w:eastAsia="仿宋_GB2312" w:cs="仿宋_GB2312"/>
          <w:color w:val="000000"/>
          <w:kern w:val="0"/>
          <w:sz w:val="32"/>
          <w:szCs w:val="32"/>
          <w:shd w:val="clear" w:color="auto" w:fill="FFFFFF"/>
        </w:rPr>
        <w:t>2.56万元。</w:t>
      </w:r>
    </w:p>
    <w:p>
      <w:pPr>
        <w:adjustRightInd w:val="0"/>
        <w:snapToGrid w:val="0"/>
        <w:spacing w:line="600" w:lineRule="exact"/>
        <w:ind w:firstLine="72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lang w:val="zh-CN"/>
        </w:rPr>
        <w:t>3．资金使用。</w:t>
      </w:r>
      <w:r>
        <w:rPr>
          <w:rFonts w:hint="eastAsia" w:ascii="仿宋_GB2312" w:hAnsi="仿宋_GB2312" w:eastAsia="仿宋_GB2312" w:cs="仿宋_GB2312"/>
          <w:color w:val="000000"/>
          <w:kern w:val="0"/>
          <w:sz w:val="32"/>
          <w:szCs w:val="32"/>
          <w:shd w:val="clear" w:color="auto" w:fill="FFFFFF"/>
          <w:lang w:val="zh-CN"/>
        </w:rPr>
        <w:t>该项目资金实际支付</w:t>
      </w:r>
      <w:r>
        <w:rPr>
          <w:rFonts w:hint="eastAsia" w:ascii="仿宋_GB2312" w:hAnsi="仿宋_GB2312" w:eastAsia="仿宋_GB2312" w:cs="仿宋_GB2312"/>
          <w:color w:val="000000"/>
          <w:kern w:val="0"/>
          <w:sz w:val="32"/>
          <w:szCs w:val="32"/>
          <w:shd w:val="clear" w:color="auto" w:fill="FFFFFF"/>
        </w:rPr>
        <w:t>2.56万元，</w:t>
      </w:r>
      <w:r>
        <w:rPr>
          <w:rFonts w:hint="eastAsia" w:ascii="仿宋_GB2312" w:hAnsi="仿宋_GB2312" w:eastAsia="仿宋_GB2312" w:cs="仿宋_GB2312"/>
          <w:color w:val="000000"/>
          <w:kern w:val="0"/>
          <w:sz w:val="32"/>
          <w:szCs w:val="32"/>
          <w:shd w:val="clear" w:color="auto" w:fill="FFFFFF"/>
          <w:lang w:val="zh-CN"/>
        </w:rPr>
        <w:t>支付标准、支付进度、支付依据合规合法、与预算相符，</w:t>
      </w:r>
      <w:r>
        <w:rPr>
          <w:rFonts w:hint="eastAsia" w:ascii="仿宋_GB2312" w:hAnsi="仿宋_GB2312" w:eastAsia="仿宋_GB2312" w:cs="仿宋_GB2312"/>
          <w:color w:val="000000"/>
          <w:kern w:val="0"/>
          <w:sz w:val="32"/>
          <w:szCs w:val="32"/>
          <w:shd w:val="clear" w:color="auto" w:fill="FFFFFF"/>
        </w:rPr>
        <w:t>完成率100%。</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结合项目组织实施管理办法，重点围绕以下内容进行分析评价，并对自评中发现的问题分析说明。</w:t>
      </w:r>
    </w:p>
    <w:p>
      <w:pPr>
        <w:adjustRightInd w:val="0"/>
        <w:snapToGrid w:val="0"/>
        <w:spacing w:line="600" w:lineRule="exact"/>
        <w:ind w:firstLine="642" w:firstLineChars="200"/>
        <w:rPr>
          <w:rFonts w:eastAsia="楷体_GB2312"/>
          <w:b/>
          <w:sz w:val="32"/>
          <w:szCs w:val="32"/>
          <w:lang w:val="zh-CN"/>
        </w:rPr>
      </w:pPr>
      <w:r>
        <w:rPr>
          <w:rFonts w:hint="eastAsia" w:eastAsia="楷体_GB2312"/>
          <w:b/>
          <w:sz w:val="32"/>
          <w:szCs w:val="32"/>
          <w:lang w:val="zh-CN"/>
        </w:rPr>
        <w:t>（一）</w:t>
      </w:r>
      <w:r>
        <w:rPr>
          <w:rFonts w:eastAsia="楷体_GB2312"/>
          <w:b/>
          <w:sz w:val="32"/>
          <w:szCs w:val="32"/>
          <w:lang w:val="zh-CN"/>
        </w:rPr>
        <w:t>项目组织架构及实施流程。</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加强我市交通行业监督管理，提升科技兴安水平，通过监测手段，有效的减少一般事故，坚决防范遏制重特大事故发生，确保攀枝花市交通运输行业安全。</w:t>
      </w:r>
    </w:p>
    <w:p>
      <w:pPr>
        <w:adjustRightInd w:val="0"/>
        <w:snapToGrid w:val="0"/>
        <w:spacing w:line="600" w:lineRule="exact"/>
        <w:ind w:firstLine="642" w:firstLineChars="200"/>
        <w:rPr>
          <w:rFonts w:ascii="楷体" w:hAnsi="楷体" w:eastAsia="楷体" w:cs="楷体"/>
          <w:b/>
          <w:bCs/>
          <w:sz w:val="32"/>
          <w:szCs w:val="32"/>
          <w:lang w:val="zh-CN"/>
        </w:rPr>
      </w:pPr>
      <w:r>
        <w:rPr>
          <w:rFonts w:hint="eastAsia" w:ascii="楷体" w:hAnsi="楷体" w:eastAsia="楷体" w:cs="楷体"/>
          <w:b/>
          <w:bCs/>
          <w:sz w:val="32"/>
          <w:szCs w:val="32"/>
          <w:lang w:val="zh-CN"/>
        </w:rPr>
        <w:t>（二）项目管理情况。</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项目实施遵守相关法律法规；项目调整手续完备；项目合同、验收报告、技术鉴定等资料齐全并及时归档；项目实施的人员条件、场地设备、信息支撑等落实到位</w:t>
      </w:r>
    </w:p>
    <w:p>
      <w:pPr>
        <w:adjustRightInd w:val="0"/>
        <w:snapToGrid w:val="0"/>
        <w:spacing w:line="600" w:lineRule="exact"/>
        <w:ind w:left="720"/>
        <w:rPr>
          <w:rFonts w:eastAsia="楷体_GB2312"/>
          <w:b/>
          <w:sz w:val="32"/>
          <w:szCs w:val="32"/>
          <w:lang w:val="zh-CN"/>
        </w:rPr>
      </w:pPr>
      <w:r>
        <w:rPr>
          <w:rFonts w:hint="eastAsia" w:eastAsia="楷体_GB2312"/>
          <w:b/>
          <w:sz w:val="32"/>
          <w:szCs w:val="32"/>
          <w:lang w:val="zh-CN"/>
        </w:rPr>
        <w:t>（三）</w:t>
      </w:r>
      <w:r>
        <w:rPr>
          <w:rFonts w:eastAsia="楷体_GB2312"/>
          <w:b/>
          <w:sz w:val="32"/>
          <w:szCs w:val="32"/>
          <w:lang w:val="zh-CN"/>
        </w:rPr>
        <w:t>项目监管情况。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项目工期按时完成验收通过，资金完成拨付，</w:t>
      </w:r>
      <w:r>
        <w:rPr>
          <w:rFonts w:hint="eastAsia" w:ascii="仿宋_GB2312" w:hAnsi="仿宋_GB2312" w:eastAsia="仿宋_GB2312" w:cs="仿宋_GB2312"/>
          <w:sz w:val="32"/>
          <w:szCs w:val="32"/>
        </w:rPr>
        <w:t>工程质量合格率达到100%。</w:t>
      </w:r>
      <w:r>
        <w:rPr>
          <w:rFonts w:hint="eastAsia" w:ascii="仿宋_GB2312" w:hAnsi="仿宋_GB2312" w:eastAsia="仿宋_GB2312" w:cs="仿宋_GB2312"/>
          <w:sz w:val="32"/>
          <w:szCs w:val="32"/>
          <w:lang w:val="zh-CN"/>
        </w:rPr>
        <w:t>无资金结余情况，无违规记录，对照项目计划完成目标。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极大提升公路安全水平，提升人民出行便捷性及人民满意度。</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w:t>
      </w: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spacing w:line="560" w:lineRule="exact"/>
        <w:ind w:firstLine="640" w:firstLineChars="200"/>
        <w:rPr>
          <w:rFonts w:eastAsia="仿宋_GB2312"/>
          <w:kern w:val="0"/>
          <w:sz w:val="32"/>
          <w:szCs w:val="32"/>
        </w:rPr>
      </w:pPr>
      <w:r>
        <w:rPr>
          <w:rFonts w:hint="eastAsia" w:eastAsia="仿宋_GB2312"/>
          <w:kern w:val="0"/>
          <w:sz w:val="32"/>
          <w:szCs w:val="32"/>
        </w:rPr>
        <w:t>交通部门作为行政管理机构，专业技术人员有限，机电运行能力不足，也难以保障本工程庞大系统的长期稳定运行。因此，建议工程实施过程中，积极引导社会第三方力量的积极参与，统筹解决工程建设和运行问题。</w:t>
      </w:r>
    </w:p>
    <w:p>
      <w:pPr>
        <w:pStyle w:val="2"/>
        <w:rPr>
          <w:rFonts w:eastAsia="仿宋_GB2312"/>
          <w:kern w:val="0"/>
          <w:sz w:val="32"/>
          <w:szCs w:val="32"/>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ascii="仿宋_GB2312" w:hAnsi="宋体" w:eastAsia="仿宋_GB2312"/>
          <w:sz w:val="44"/>
          <w:szCs w:val="44"/>
          <w:lang w:val="zh-CN"/>
        </w:rPr>
      </w:pPr>
      <w:r>
        <w:rPr>
          <w:rFonts w:eastAsia="方正小标宋简体"/>
          <w:sz w:val="40"/>
          <w:szCs w:val="40"/>
          <w:lang w:val="zh-CN"/>
        </w:rPr>
        <w:t>专项预算项目支出绩效自评报告</w:t>
      </w:r>
    </w:p>
    <w:p>
      <w:pPr>
        <w:adjustRightInd w:val="0"/>
        <w:snapToGrid w:val="0"/>
        <w:spacing w:line="560" w:lineRule="exact"/>
        <w:ind w:firstLine="720"/>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(交通基础设施数字化转型升级)</w:t>
      </w:r>
    </w:p>
    <w:p>
      <w:pPr>
        <w:ind w:firstLine="640" w:firstLineChars="200"/>
        <w:rPr>
          <w:rFonts w:ascii="黑体" w:hAnsi="黑体" w:eastAsia="黑体" w:cs="黑体"/>
          <w:sz w:val="32"/>
          <w:szCs w:val="32"/>
        </w:rPr>
      </w:pPr>
      <w:r>
        <w:rPr>
          <w:rFonts w:hint="eastAsia" w:ascii="黑体" w:hAnsi="黑体" w:eastAsia="黑体" w:cs="黑体"/>
          <w:sz w:val="32"/>
          <w:szCs w:val="32"/>
        </w:rPr>
        <w:t>一、项目概况</w:t>
      </w:r>
    </w:p>
    <w:p>
      <w:pPr>
        <w:ind w:firstLine="642" w:firstLineChars="200"/>
        <w:rPr>
          <w:rFonts w:ascii="楷体" w:hAnsi="楷体" w:eastAsia="楷体" w:cs="楷体"/>
          <w:b/>
          <w:bCs/>
          <w:sz w:val="32"/>
          <w:szCs w:val="32"/>
        </w:rPr>
      </w:pPr>
      <w:r>
        <w:rPr>
          <w:rFonts w:hint="eastAsia" w:ascii="楷体" w:hAnsi="楷体" w:eastAsia="楷体" w:cs="楷体"/>
          <w:b/>
          <w:bCs/>
          <w:sz w:val="32"/>
          <w:szCs w:val="32"/>
        </w:rPr>
        <w:t>（一）项目基本情况</w:t>
      </w:r>
    </w:p>
    <w:p>
      <w:pPr>
        <w:ind w:firstLine="640" w:firstLineChars="200"/>
        <w:rPr>
          <w:rFonts w:ascii="仿宋_GB2312" w:hAnsi="仿宋_GB2312" w:eastAsia="仿宋_GB2312" w:cs="仿宋_GB2312"/>
          <w:sz w:val="32"/>
          <w:szCs w:val="32"/>
        </w:rPr>
      </w:pPr>
      <w:r>
        <w:rPr>
          <w:rFonts w:hint="eastAsia" w:ascii="仿宋" w:hAnsi="仿宋" w:eastAsia="仿宋" w:cstheme="minorBidi"/>
          <w:sz w:val="32"/>
          <w:szCs w:val="32"/>
        </w:rPr>
        <w:t>项</w:t>
      </w:r>
      <w:r>
        <w:rPr>
          <w:rFonts w:hint="eastAsia" w:ascii="仿宋_GB2312" w:hAnsi="仿宋_GB2312" w:eastAsia="仿宋_GB2312" w:cs="仿宋_GB2312"/>
          <w:sz w:val="32"/>
          <w:szCs w:val="32"/>
        </w:rPr>
        <w:t>目主管部门为攀枝花市交通运输综合行政执法支队，在本项目中承担统筹组织实施、资金使用管理、巡查工作开展及效果监管等职能，负责完成G353、G227公路及辖区水域、湖面的巡查任务，保障道水路运输环境。</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项目立项依据为辖区交通基础设施数字化转型升级工作需求，结合道路水路运输监管实际，为规范车辆超限超载、蓬布搭盖及水岸、湖面运输行为申报设立，资金申报符合财政预算管理相关规定。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已建立项目资金专款专用管理制度，资金仅用于本项目的公路巡查、水域巡查相关费用支出，支持方式为财政拨款直接支付，严格限定使用范围及支付标准。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资金分配遵循按需分配、成本核算原则，根据年度巡查频次、单次巡查费用标准精准测算，全部用于公路和水域巡查的运营支出，无其他分配方向。</w:t>
      </w:r>
    </w:p>
    <w:p>
      <w:pPr>
        <w:ind w:firstLine="642" w:firstLineChars="200"/>
        <w:rPr>
          <w:rFonts w:ascii="楷体" w:hAnsi="楷体" w:eastAsia="楷体" w:cs="楷体"/>
          <w:b/>
          <w:bCs/>
          <w:sz w:val="32"/>
          <w:szCs w:val="32"/>
        </w:rPr>
      </w:pPr>
      <w:r>
        <w:rPr>
          <w:rFonts w:hint="eastAsia" w:ascii="楷体" w:hAnsi="楷体" w:eastAsia="楷体" w:cs="楷体"/>
          <w:b/>
          <w:bCs/>
          <w:sz w:val="32"/>
          <w:szCs w:val="32"/>
        </w:rPr>
        <w:t>（二）项目绩效目标</w:t>
      </w:r>
    </w:p>
    <w:p>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项目主要内容为开展G353、G227公路车辆超限超载、蓬布搭盖巡查，以及辖区水岸、湖面巡查，全年完成公路巡查877次、水域巡查877次，通过常态化巡查实现道水路运输监管数字化、规范化。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具体绩效目标：数量上完成公路、水域各877次巡查；质量上营造良好道水路运输环境；时效上2025年度内完成全部巡查计划；成本上公路巡查10.8万元、水域巡查8.76万元、数据存储0.17万元，总计20万元；效益上载货汽车检测率控制在3.5%内，非法超限运输卸载率不低于90%，群众及人员满意度≥95%，生态及可持续效益长期有效。</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申报内容与实际监管工作需求高度相符，申报目标结合辖区巡查任务量、成本标准科学测算，量化指标清晰、可实现，整体目标合理可行。</w:t>
      </w:r>
    </w:p>
    <w:p>
      <w:pPr>
        <w:ind w:firstLine="642" w:firstLineChars="200"/>
        <w:rPr>
          <w:rFonts w:ascii="楷体" w:hAnsi="楷体" w:eastAsia="楷体" w:cs="楷体"/>
          <w:b/>
          <w:bCs/>
          <w:sz w:val="32"/>
          <w:szCs w:val="32"/>
        </w:rPr>
      </w:pPr>
      <w:r>
        <w:rPr>
          <w:rFonts w:hint="eastAsia" w:ascii="楷体" w:hAnsi="楷体" w:eastAsia="楷体" w:cs="楷体"/>
          <w:b/>
          <w:bCs/>
          <w:sz w:val="32"/>
          <w:szCs w:val="32"/>
        </w:rPr>
        <w:t>（三）项目自评步骤及方法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自评步骤：收集项目资金使用、巡查工作开展、绩效指标完成等相关资料→对照绩效目标逐项核查指标完成情况→分析资金使用效益及项目管理问题→编制绩效自评报告并审核定稿。</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评方法：采用定量与定性结合、核查与分析结合的方法，定量指标通过统计巡查次数、费用支出、检测率等数据核实完成情况，定性指标通过现场核查、满意度调查等方式评价，同时对比预算计划与实际执行情况开展综合分析。</w:t>
      </w:r>
    </w:p>
    <w:p>
      <w:pPr>
        <w:ind w:firstLine="640" w:firstLineChars="200"/>
        <w:rPr>
          <w:rFonts w:ascii="黑体" w:hAnsi="黑体" w:eastAsia="黑体" w:cs="黑体"/>
          <w:sz w:val="32"/>
          <w:szCs w:val="32"/>
        </w:rPr>
      </w:pPr>
      <w:r>
        <w:rPr>
          <w:rFonts w:hint="eastAsia" w:ascii="黑体" w:hAnsi="黑体" w:eastAsia="黑体" w:cs="黑体"/>
          <w:sz w:val="32"/>
          <w:szCs w:val="32"/>
        </w:rPr>
        <w:t>二、项目资金申报及使用情况</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（一）项目资金申报及批复情况</w:t>
      </w:r>
    </w:p>
    <w:p>
      <w:pPr>
        <w:ind w:firstLine="640" w:firstLineChars="200"/>
        <w:rPr>
          <w:rFonts w:ascii="仿宋" w:hAnsi="仿宋" w:eastAsia="仿宋" w:cstheme="minorBidi"/>
          <w:sz w:val="32"/>
          <w:szCs w:val="32"/>
        </w:rPr>
      </w:pPr>
      <w:r>
        <w:rPr>
          <w:rFonts w:hint="eastAsia" w:ascii="仿宋_GB2312" w:hAnsi="仿宋_GB2312" w:eastAsia="仿宋_GB2312" w:cs="仿宋_GB2312"/>
          <w:sz w:val="32"/>
          <w:szCs w:val="32"/>
        </w:rPr>
        <w:t>本项目由攀枝花市交通运输综合行政执法支队按财政预算申报流程，向同级财政部门申报2025年度专项经费20万元，全部为上级补助资金，申报材料完整、测算依据充分，经财政部门批复后，预算金额与申报金额一致，无预算调整</w:t>
      </w:r>
      <w:r>
        <w:rPr>
          <w:rFonts w:hint="eastAsia" w:ascii="仿宋" w:hAnsi="仿宋" w:eastAsia="仿宋" w:cstheme="minorBidi"/>
          <w:sz w:val="32"/>
          <w:szCs w:val="32"/>
        </w:rPr>
        <w:t>情况。</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（二）资金计划、到位及使用情况</w:t>
      </w:r>
    </w:p>
    <w:tbl>
      <w:tblPr>
        <w:tblStyle w:val="19"/>
        <w:tblW w:w="8500" w:type="dxa"/>
        <w:tblInd w:w="93" w:type="dxa"/>
        <w:tblLayout w:type="fixed"/>
        <w:tblCellMar>
          <w:top w:w="0" w:type="dxa"/>
          <w:left w:w="108" w:type="dxa"/>
          <w:bottom w:w="0" w:type="dxa"/>
          <w:right w:w="108" w:type="dxa"/>
        </w:tblCellMar>
      </w:tblPr>
      <w:tblGrid>
        <w:gridCol w:w="1560"/>
        <w:gridCol w:w="1480"/>
        <w:gridCol w:w="1420"/>
        <w:gridCol w:w="1300"/>
        <w:gridCol w:w="1520"/>
        <w:gridCol w:w="1220"/>
      </w:tblGrid>
      <w:tr>
        <w:trPr>
          <w:trHeight w:val="1215" w:hRule="atLeast"/>
        </w:trPr>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 xml:space="preserve">资金来源    </w:t>
            </w:r>
          </w:p>
        </w:tc>
        <w:tc>
          <w:tcPr>
            <w:tcW w:w="1480"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计划金额（万元）</w:t>
            </w:r>
          </w:p>
        </w:tc>
        <w:tc>
          <w:tcPr>
            <w:tcW w:w="1420"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 xml:space="preserve">到位金额（万元） </w:t>
            </w:r>
          </w:p>
        </w:tc>
        <w:tc>
          <w:tcPr>
            <w:tcW w:w="1300" w:type="dxa"/>
            <w:tcBorders>
              <w:top w:val="single" w:color="auto" w:sz="4" w:space="0"/>
              <w:left w:val="nil"/>
              <w:bottom w:val="single" w:color="auto" w:sz="4" w:space="0"/>
              <w:right w:val="single" w:color="auto" w:sz="4" w:space="0"/>
            </w:tcBorders>
            <w:shd w:val="clear" w:color="auto" w:fill="auto"/>
            <w:noWrap/>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到位率</w:t>
            </w:r>
          </w:p>
        </w:tc>
        <w:tc>
          <w:tcPr>
            <w:tcW w:w="1520"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 xml:space="preserve">支出金额 （万元） </w:t>
            </w:r>
          </w:p>
        </w:tc>
        <w:tc>
          <w:tcPr>
            <w:tcW w:w="1220" w:type="dxa"/>
            <w:tcBorders>
              <w:top w:val="single" w:color="auto" w:sz="4" w:space="0"/>
              <w:left w:val="nil"/>
              <w:bottom w:val="single" w:color="auto" w:sz="4" w:space="0"/>
              <w:right w:val="single" w:color="auto" w:sz="4" w:space="0"/>
            </w:tcBorders>
            <w:shd w:val="clear" w:color="auto" w:fill="auto"/>
            <w:noWrap/>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执行率</w:t>
            </w:r>
          </w:p>
        </w:tc>
      </w:tr>
      <w:tr>
        <w:tblPrEx>
          <w:tblCellMar>
            <w:top w:w="0" w:type="dxa"/>
            <w:left w:w="108" w:type="dxa"/>
            <w:bottom w:w="0" w:type="dxa"/>
            <w:right w:w="108" w:type="dxa"/>
          </w:tblCellMar>
        </w:tblPrEx>
        <w:trPr>
          <w:trHeight w:val="795" w:hRule="atLeast"/>
        </w:trPr>
        <w:tc>
          <w:tcPr>
            <w:tcW w:w="1560" w:type="dxa"/>
            <w:tcBorders>
              <w:top w:val="nil"/>
              <w:left w:val="single" w:color="auto" w:sz="4" w:space="0"/>
              <w:bottom w:val="single" w:color="auto" w:sz="4" w:space="0"/>
              <w:right w:val="single" w:color="auto" w:sz="4" w:space="0"/>
            </w:tcBorders>
            <w:shd w:val="clear" w:color="auto" w:fill="auto"/>
            <w:noWrap/>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市级财政</w:t>
            </w:r>
          </w:p>
        </w:tc>
        <w:tc>
          <w:tcPr>
            <w:tcW w:w="1480" w:type="dxa"/>
            <w:tcBorders>
              <w:top w:val="nil"/>
              <w:left w:val="nil"/>
              <w:bottom w:val="single" w:color="auto" w:sz="4" w:space="0"/>
              <w:right w:val="single" w:color="auto" w:sz="4" w:space="0"/>
            </w:tcBorders>
            <w:shd w:val="clear" w:color="auto" w:fill="auto"/>
            <w:noWrap/>
            <w:vAlign w:val="center"/>
          </w:tcPr>
          <w:p>
            <w:pPr>
              <w:adjustRightInd w:val="0"/>
              <w:snapToGrid w:val="0"/>
              <w:spacing w:line="560" w:lineRule="exact"/>
              <w:ind w:firstLine="300" w:firstLineChars="100"/>
              <w:rPr>
                <w:rFonts w:ascii="仿宋_GB2312" w:hAnsi="宋体" w:eastAsia="仿宋_GB2312"/>
                <w:sz w:val="30"/>
                <w:szCs w:val="30"/>
                <w:lang w:val="zh-CN"/>
              </w:rPr>
            </w:pPr>
            <w:r>
              <w:rPr>
                <w:rFonts w:hint="eastAsia" w:ascii="仿宋_GB2312" w:hAnsi="宋体" w:eastAsia="仿宋_GB2312"/>
                <w:sz w:val="30"/>
                <w:szCs w:val="30"/>
                <w:lang w:val="zh-CN"/>
              </w:rPr>
              <w:t>20</w:t>
            </w:r>
          </w:p>
        </w:tc>
        <w:tc>
          <w:tcPr>
            <w:tcW w:w="1420" w:type="dxa"/>
            <w:tcBorders>
              <w:top w:val="nil"/>
              <w:left w:val="nil"/>
              <w:bottom w:val="single" w:color="auto" w:sz="4" w:space="0"/>
              <w:right w:val="single" w:color="auto" w:sz="4" w:space="0"/>
            </w:tcBorders>
            <w:shd w:val="clear" w:color="auto" w:fill="auto"/>
            <w:noWrap/>
            <w:vAlign w:val="center"/>
          </w:tcPr>
          <w:p>
            <w:pPr>
              <w:adjustRightInd w:val="0"/>
              <w:snapToGrid w:val="0"/>
              <w:spacing w:line="560" w:lineRule="exact"/>
              <w:ind w:firstLine="300" w:firstLineChars="100"/>
              <w:rPr>
                <w:rFonts w:ascii="仿宋_GB2312" w:hAnsi="宋体" w:eastAsia="仿宋_GB2312"/>
                <w:sz w:val="30"/>
                <w:szCs w:val="30"/>
                <w:lang w:val="zh-CN"/>
              </w:rPr>
            </w:pPr>
            <w:r>
              <w:rPr>
                <w:rFonts w:hint="eastAsia" w:ascii="仿宋_GB2312" w:hAnsi="宋体" w:eastAsia="仿宋_GB2312"/>
                <w:sz w:val="30"/>
                <w:szCs w:val="30"/>
                <w:lang w:val="zh-CN"/>
              </w:rPr>
              <w:t>20</w:t>
            </w:r>
          </w:p>
        </w:tc>
        <w:tc>
          <w:tcPr>
            <w:tcW w:w="1300" w:type="dxa"/>
            <w:tcBorders>
              <w:top w:val="nil"/>
              <w:left w:val="nil"/>
              <w:bottom w:val="single" w:color="auto" w:sz="4" w:space="0"/>
              <w:right w:val="single" w:color="auto" w:sz="4" w:space="0"/>
            </w:tcBorders>
            <w:shd w:val="clear" w:color="auto" w:fill="auto"/>
            <w:noWrap/>
            <w:vAlign w:val="center"/>
          </w:tcPr>
          <w:p>
            <w:pPr>
              <w:adjustRightInd w:val="0"/>
              <w:snapToGrid w:val="0"/>
              <w:spacing w:line="560" w:lineRule="exact"/>
              <w:ind w:firstLine="150" w:firstLineChars="50"/>
              <w:rPr>
                <w:rFonts w:ascii="仿宋_GB2312" w:hAnsi="宋体" w:eastAsia="仿宋_GB2312"/>
                <w:sz w:val="30"/>
                <w:szCs w:val="30"/>
                <w:lang w:val="zh-CN"/>
              </w:rPr>
            </w:pPr>
            <w:r>
              <w:rPr>
                <w:rFonts w:hint="eastAsia" w:ascii="仿宋_GB2312" w:hAnsi="宋体" w:eastAsia="仿宋_GB2312"/>
                <w:sz w:val="30"/>
                <w:szCs w:val="30"/>
                <w:lang w:val="zh-CN"/>
              </w:rPr>
              <w:t>100%</w:t>
            </w:r>
          </w:p>
        </w:tc>
        <w:tc>
          <w:tcPr>
            <w:tcW w:w="1520" w:type="dxa"/>
            <w:tcBorders>
              <w:top w:val="nil"/>
              <w:left w:val="nil"/>
              <w:bottom w:val="single" w:color="auto" w:sz="4" w:space="0"/>
              <w:right w:val="single" w:color="auto" w:sz="4" w:space="0"/>
            </w:tcBorders>
            <w:shd w:val="clear" w:color="auto" w:fill="auto"/>
            <w:noWrap/>
            <w:vAlign w:val="center"/>
          </w:tcPr>
          <w:p>
            <w:pPr>
              <w:adjustRightInd w:val="0"/>
              <w:snapToGrid w:val="0"/>
              <w:spacing w:line="560" w:lineRule="exact"/>
              <w:ind w:firstLine="450" w:firstLineChars="150"/>
              <w:rPr>
                <w:rFonts w:ascii="仿宋_GB2312" w:hAnsi="宋体" w:eastAsia="仿宋_GB2312"/>
                <w:sz w:val="30"/>
                <w:szCs w:val="30"/>
                <w:lang w:val="zh-CN"/>
              </w:rPr>
            </w:pPr>
            <w:r>
              <w:rPr>
                <w:rFonts w:hint="eastAsia" w:ascii="仿宋_GB2312" w:hAnsi="宋体" w:eastAsia="仿宋_GB2312"/>
                <w:sz w:val="30"/>
                <w:szCs w:val="30"/>
                <w:lang w:val="zh-CN"/>
              </w:rPr>
              <w:t>20</w:t>
            </w:r>
          </w:p>
        </w:tc>
        <w:tc>
          <w:tcPr>
            <w:tcW w:w="1220" w:type="dxa"/>
            <w:tcBorders>
              <w:top w:val="nil"/>
              <w:left w:val="nil"/>
              <w:bottom w:val="single" w:color="auto" w:sz="4" w:space="0"/>
              <w:right w:val="single" w:color="auto" w:sz="4" w:space="0"/>
            </w:tcBorders>
            <w:shd w:val="clear" w:color="auto" w:fill="auto"/>
            <w:noWrap/>
            <w:vAlign w:val="center"/>
          </w:tcPr>
          <w:p>
            <w:pPr>
              <w:adjustRightInd w:val="0"/>
              <w:snapToGrid w:val="0"/>
              <w:spacing w:line="560" w:lineRule="exact"/>
              <w:rPr>
                <w:rFonts w:ascii="仿宋_GB2312" w:hAnsi="宋体" w:eastAsia="仿宋_GB2312"/>
                <w:sz w:val="30"/>
                <w:szCs w:val="30"/>
                <w:lang w:val="zh-CN"/>
              </w:rPr>
            </w:pPr>
            <w:r>
              <w:rPr>
                <w:rFonts w:hint="eastAsia" w:ascii="仿宋_GB2312" w:hAnsi="宋体" w:eastAsia="仿宋_GB2312"/>
                <w:sz w:val="30"/>
                <w:szCs w:val="30"/>
                <w:lang w:val="zh-CN"/>
              </w:rPr>
              <w:t>100%</w:t>
            </w:r>
          </w:p>
        </w:tc>
      </w:tr>
    </w:tbl>
    <w:p>
      <w:pPr>
        <w:ind w:firstLine="640" w:firstLineChars="200"/>
        <w:rPr>
          <w:rFonts w:ascii="仿宋" w:hAnsi="仿宋" w:eastAsia="仿宋" w:cstheme="minorBidi"/>
          <w:sz w:val="32"/>
          <w:szCs w:val="32"/>
        </w:rPr>
      </w:pPr>
      <w:r>
        <w:rPr>
          <w:rFonts w:hint="eastAsia" w:ascii="仿宋_GB2312" w:hAnsi="仿宋_GB2312" w:eastAsia="仿宋_GB2312" w:cs="仿宋_GB2312"/>
          <w:sz w:val="32"/>
          <w:szCs w:val="32"/>
        </w:rPr>
        <w:t>分析：资金到位及时，无结余。</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（三）项目财务管理情况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实施单位攀枝花市交通运输综合行政执法支队财务管理制度健全，严格执行《政府会计制度》及单位内部财务管理制度，项目资金实行专款专用、单独核算，账务处理及时、会计核算规范，资金支付履行完整的审批流程，票据审核严格，未发现财务核算相关问题。</w:t>
      </w:r>
    </w:p>
    <w:p>
      <w:pPr>
        <w:ind w:firstLine="800" w:firstLineChars="250"/>
        <w:rPr>
          <w:rFonts w:ascii="黑体" w:hAnsi="黑体" w:eastAsia="黑体" w:cs="黑体"/>
          <w:sz w:val="32"/>
          <w:szCs w:val="32"/>
        </w:rPr>
      </w:pPr>
      <w:r>
        <w:rPr>
          <w:rFonts w:hint="eastAsia" w:ascii="黑体" w:hAnsi="黑体" w:eastAsia="黑体" w:cs="黑体"/>
          <w:sz w:val="32"/>
          <w:szCs w:val="32"/>
        </w:rPr>
        <w:t>三、项目实施及管理情况</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（一）项目组织架构及实施流程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架构：成立由支队负责人牵头，明确各科室职责，执法大队具体负责公路、水域巡查工作的落地执行，财务科室负责资金管理及支付，办公室负责数据存储及资料归档，形成“统筹协调、分工负责、闭环管理”的组织架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流程：根据年度巡查计划制定月度巡查任务→执法大队按计划开展常态化巡查（工作日1次/天，节假日2次/天）→做好巡查记录及数据采集→定期上报巡查结果及工作进度→财务科室根据巡查工作完成情况按流程支付资金→年末开展工作总结及绩效自评。</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（二）项目管理情况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实施单位严格执行财务管理制度等相关法律法规，巡查工作由单位执法大队自行实施，资金使用、费用报销均履行内部审批程序，项目相关计划、支出、完成情况均按要求做好内部公示，做到管理规范、流程透明，未发现违反项目管理制度的情况。</w:t>
      </w:r>
    </w:p>
    <w:p>
      <w:pPr>
        <w:ind w:firstLine="321" w:firstLineChars="100"/>
        <w:rPr>
          <w:rFonts w:ascii="楷体" w:hAnsi="楷体" w:eastAsia="楷体" w:cs="楷体"/>
          <w:b/>
          <w:bCs/>
          <w:sz w:val="32"/>
          <w:szCs w:val="32"/>
        </w:rPr>
      </w:pPr>
      <w:r>
        <w:rPr>
          <w:rFonts w:hint="eastAsia" w:ascii="楷体" w:hAnsi="楷体" w:eastAsia="楷体" w:cs="楷体"/>
          <w:b/>
          <w:bCs/>
          <w:sz w:val="32"/>
          <w:szCs w:val="32"/>
        </w:rPr>
        <w:t>（三）项目监管情况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主管部门建立常态化监管机制，采取日常检查+月度督查+年末考核的监管手段，定期对巡查工作的频次、质量、记录等进行现场核查，对资金使用情况进行财务检查，及时掌握项目实施进度及资金使用效益；监管程序规范，发现问题立即督促整改，全年开展专项督查4次，日常检查若干次，确保了巡查工作按计划推进、资金规范使用，监管效果良好。</w:t>
      </w:r>
    </w:p>
    <w:p>
      <w:pPr>
        <w:ind w:firstLine="640" w:firstLineChars="200"/>
        <w:rPr>
          <w:rFonts w:ascii="黑体" w:hAnsi="黑体" w:eastAsia="黑体" w:cs="黑体"/>
          <w:sz w:val="32"/>
          <w:szCs w:val="32"/>
        </w:rPr>
      </w:pPr>
      <w:r>
        <w:rPr>
          <w:rFonts w:hint="eastAsia" w:ascii="黑体" w:hAnsi="黑体" w:eastAsia="黑体" w:cs="黑体"/>
          <w:sz w:val="32"/>
          <w:szCs w:val="32"/>
        </w:rPr>
        <w:t>四、项目绩效情况</w:t>
      </w:r>
    </w:p>
    <w:p>
      <w:pPr>
        <w:ind w:firstLine="321" w:firstLineChars="100"/>
        <w:rPr>
          <w:rFonts w:ascii="楷体" w:hAnsi="楷体" w:eastAsia="楷体" w:cs="楷体"/>
          <w:b/>
          <w:bCs/>
          <w:sz w:val="32"/>
          <w:szCs w:val="32"/>
        </w:rPr>
      </w:pPr>
      <w:r>
        <w:rPr>
          <w:rFonts w:hint="eastAsia" w:ascii="楷体" w:hAnsi="楷体" w:eastAsia="楷体" w:cs="楷体"/>
          <w:b/>
          <w:bCs/>
          <w:sz w:val="32"/>
          <w:szCs w:val="32"/>
        </w:rPr>
        <w:t>（一）项目完成情况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数量完成：2025年度实际完成公路巡查877次、水域巡查877次，均100%完成计划数量指标。</w:t>
      </w:r>
    </w:p>
    <w:p>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质量完成：通过常态化巡查，有效规范了G353、G227公路车辆超限超载、蓬布搭盖行为及辖区水域运输行为，圆满完成全年工作计划，成功营造良好的道、水路运输环境，质量指标达标。</w:t>
      </w:r>
    </w:p>
    <w:p>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时效完成：所有巡查工作及资金支付均在2025年度内完成，严格遵守时效指标要求。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成本控制：项目实际支出20万元，与预算金额一致，公路巡查、水域巡查、数据存储的实际支出与测算标准完全相符，实现成本精准控制，无超支情况。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资金结余及违规记录：项目资金无结余，支出率100%；全年未发生任何资金使用、项目实施相关的违规记录。</w:t>
      </w:r>
    </w:p>
    <w:p>
      <w:pPr>
        <w:ind w:firstLine="642" w:firstLineChars="200"/>
        <w:rPr>
          <w:rFonts w:ascii="楷体" w:hAnsi="楷体" w:eastAsia="楷体" w:cs="楷体"/>
          <w:b/>
          <w:bCs/>
          <w:sz w:val="32"/>
          <w:szCs w:val="32"/>
        </w:rPr>
      </w:pPr>
      <w:r>
        <w:rPr>
          <w:rFonts w:hint="eastAsia" w:ascii="楷体" w:hAnsi="楷体" w:eastAsia="楷体" w:cs="楷体"/>
          <w:b/>
          <w:bCs/>
          <w:sz w:val="32"/>
          <w:szCs w:val="32"/>
        </w:rPr>
        <w:t>（二）项目效益情况</w:t>
      </w: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效益：通过常态化巡查，将载货汽车检测率控制在3.5%内，非法超限运输卸载率达到90%以上，有效保障了道路、水路运输安全，减少了因车辆超限超载造成的道路、桥梁损坏，大幅降低了道路、桥梁养护成本，经济效益显著。</w:t>
      </w: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社会效益：成功制止了超限运输、货物扬撒等违法行为，消除了道水路运输安全隐患，有效保护了公路、公路桥梁及相关交通设施，规范了道水路运输市场秩序，营造了安全、有序的监管环境，社会效益突出。</w:t>
      </w: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生态效益：通过严查运输车辆蓬布搭盖不规范、货物脱落扬撒等行为，有效改善了路域及水域环境卫生，提升了道路运输生态环境质量，生态效益持续向好。</w:t>
      </w: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可持续效益：建立了道水路运输常态化巡查机制，有效制止运输车辆脱落扬撒，长期维护路域环境卫生，为交通基础设施数字化转型升级奠定了坚实基础，可持续影响长期有效。</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服务对象满意度：通过开展满意度问卷调查，项目实施人员满意度为98%，群众满意度为97%，均高于≥95%的目标值，服务对象对项目实施效果高度认可。</w:t>
      </w:r>
    </w:p>
    <w:p>
      <w:pPr>
        <w:ind w:firstLine="640" w:firstLineChars="200"/>
        <w:rPr>
          <w:rFonts w:ascii="黑体" w:hAnsi="黑体" w:eastAsia="黑体" w:cs="黑体"/>
          <w:sz w:val="32"/>
          <w:szCs w:val="32"/>
        </w:rPr>
      </w:pPr>
      <w:r>
        <w:rPr>
          <w:rFonts w:hint="eastAsia" w:ascii="黑体" w:hAnsi="黑体" w:eastAsia="黑体" w:cs="黑体"/>
          <w:sz w:val="32"/>
          <w:szCs w:val="32"/>
        </w:rPr>
        <w:t>五、评价结论及建议</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（一）评价结论</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严格按照财政预算管理及项目管理制度要求实施，资金申报规范、到位及时、使用合规，财务管理健全，项目组织实施流程清晰、监管到位。全年圆满完成全部绩效目标，各项量化指标100%达标，质效指标均实现预期要求，项目经济效益、社会效益、生态效益及可持续效益显著，服务对象满意度较高，整体执行情况良好，</w:t>
      </w:r>
      <w:r>
        <w:rPr>
          <w:rFonts w:hint="eastAsia" w:ascii="仿宋_GB2312" w:hAnsi="仿宋_GB2312" w:eastAsia="仿宋_GB2312" w:cs="仿宋_GB2312"/>
          <w:sz w:val="32"/>
          <w:szCs w:val="32"/>
          <w:lang w:val="zh-CN"/>
        </w:rPr>
        <w:t>综合得分85分（等级：良好）</w:t>
      </w:r>
      <w:r>
        <w:rPr>
          <w:rFonts w:hint="eastAsia" w:ascii="仿宋_GB2312" w:hAnsi="仿宋_GB2312" w:eastAsia="仿宋_GB2312" w:cs="仿宋_GB2312"/>
          <w:sz w:val="32"/>
          <w:szCs w:val="32"/>
        </w:rPr>
        <w:t>。</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（二）存在的问题</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项目数字化建设程度有待提升，巡查数据的采集、分析、共享尚未形成全流程数字化体系，数据利用效率有待提高。</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巡查工作的信息化设备配备不足，部分一线执法巡查设备老化，影响巡查工作的数字化推进效率。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绩效指标的精细化程度可进一步提升，部分效益指标未设置更具体的量化标准，定性评价占比相对较高。</w:t>
      </w:r>
    </w:p>
    <w:p>
      <w:pPr>
        <w:ind w:firstLine="481" w:firstLineChars="150"/>
        <w:rPr>
          <w:rFonts w:ascii="楷体" w:hAnsi="楷体" w:eastAsia="楷体" w:cs="楷体"/>
          <w:b/>
          <w:bCs/>
          <w:sz w:val="32"/>
          <w:szCs w:val="32"/>
        </w:rPr>
      </w:pPr>
      <w:r>
        <w:rPr>
          <w:rFonts w:hint="eastAsia" w:ascii="楷体" w:hAnsi="楷体" w:eastAsia="楷体" w:cs="楷体"/>
          <w:b/>
          <w:bCs/>
          <w:sz w:val="32"/>
          <w:szCs w:val="32"/>
        </w:rPr>
        <w:t>（三）相关建议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推进巡查数字化体系建设，搭建道水路巡查数据管理平台，实现巡查记录、数据采集、分析预警、结果反馈的全流程数字化，提升数据整合及利用效率，助力交通基础设施数字化转型升级。</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申请专项经费更新一线执法巡查信息化设备，配备移动巡查终端、数据采集设备等，提升巡查工作的数字化、智能化水平，保障巡查工作效率及质量。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完善绩效指标体系，对社会效益、生态效益等指标制定更具体的量化标准，减少定性评价占比，提升绩效目标的精细化、可考核性，为后续项目绩效评价提供更精准的依据。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建立巡查工作效果长效评估机制，定期对项目实施后的道水路运输环境、安全指标等进行跟踪评估，及时优化巡查计划及工作方式，持续提升项目实施效益。</w:t>
      </w:r>
    </w:p>
    <w:p>
      <w:pPr>
        <w:pStyle w:val="2"/>
      </w:pPr>
    </w:p>
    <w:p>
      <w:pPr>
        <w:pStyle w:val="2"/>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ascii="仿宋_GB2312" w:hAnsi="宋体" w:eastAsia="仿宋_GB2312"/>
          <w:sz w:val="44"/>
          <w:szCs w:val="44"/>
          <w:lang w:val="zh-CN"/>
        </w:rPr>
      </w:pPr>
      <w:r>
        <w:rPr>
          <w:rFonts w:eastAsia="方正小标宋简体"/>
          <w:sz w:val="40"/>
          <w:szCs w:val="40"/>
          <w:lang w:val="zh-CN"/>
        </w:rPr>
        <w:t>专项预算项目支出绩效自评报告</w:t>
      </w:r>
    </w:p>
    <w:p>
      <w:pPr>
        <w:spacing w:line="760" w:lineRule="exact"/>
        <w:jc w:val="center"/>
        <w:rPr>
          <w:rFonts w:ascii="方正小标宋简体" w:hAnsi="方正小标宋简体" w:eastAsia="方正小标宋简体" w:cs="方正小标宋简体"/>
          <w:b/>
          <w:bCs/>
          <w:sz w:val="44"/>
          <w:szCs w:val="44"/>
        </w:rPr>
      </w:pPr>
      <w:r>
        <w:rPr>
          <w:rFonts w:hint="eastAsia" w:ascii="仿宋_GB2312" w:hAnsi="仿宋_GB2312" w:eastAsia="仿宋_GB2312" w:cs="仿宋_GB2312"/>
          <w:sz w:val="32"/>
          <w:szCs w:val="32"/>
        </w:rPr>
        <w:t>（安保设施及路产修护费）</w:t>
      </w:r>
    </w:p>
    <w:p>
      <w:pPr>
        <w:autoSpaceDE w:val="0"/>
        <w:autoSpaceDN w:val="0"/>
        <w:adjustRightInd w:val="0"/>
        <w:spacing w:line="576" w:lineRule="exact"/>
        <w:ind w:firstLine="480" w:firstLineChars="150"/>
        <w:jc w:val="left"/>
        <w:rPr>
          <w:rFonts w:eastAsia="黑体"/>
          <w:kern w:val="0"/>
          <w:sz w:val="32"/>
          <w:szCs w:val="32"/>
        </w:rPr>
      </w:pPr>
      <w:r>
        <w:rPr>
          <w:rFonts w:eastAsia="黑体"/>
          <w:kern w:val="0"/>
          <w:sz w:val="32"/>
          <w:szCs w:val="32"/>
        </w:rPr>
        <w:t>一、项目概况</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（一）项目基本情况。</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1．负责对职责辖区内公路及公路附属设施发生破损时及时进行维护和修复。</w:t>
      </w:r>
    </w:p>
    <w:p>
      <w:pPr>
        <w:autoSpaceDE w:val="0"/>
        <w:autoSpaceDN w:val="0"/>
        <w:adjustRightInd w:val="0"/>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2．项目立项、资金申报的依据。根据</w:t>
      </w:r>
      <w:r>
        <w:rPr>
          <w:rFonts w:hint="eastAsia" w:ascii="仿宋_GB2312" w:hAnsi="仿宋_GB2312" w:eastAsia="仿宋_GB2312" w:cs="仿宋_GB2312"/>
          <w:sz w:val="32"/>
          <w:szCs w:val="32"/>
        </w:rPr>
        <w:t>《中华人民共和国公路法》、《公路安全保护条例》、四川省交通运输厅关于转发《四川省发展和改革委员会 四川省财政厅关于继续执行我省公路路产损坏占用赔（补）偿收费标准的复函》的通知等相关规定对职责辖区内公路及公路附属设施发生破损时及时进行维护和修复。</w:t>
      </w:r>
    </w:p>
    <w:p>
      <w:pPr>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3。项目资金使用范围：对公路及公路附属设施（包括：路缘石、边沟、边坡、波形护栏、混凝土护栏、交通标志标牌等）修复费。项目资金支持方式为市级财政预算安排。</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（二）项目绩效目标。</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1．项目主要内容。</w:t>
      </w:r>
    </w:p>
    <w:p>
      <w:pPr>
        <w:autoSpaceDE w:val="0"/>
        <w:autoSpaceDN w:val="0"/>
        <w:adjustRightInd w:val="0"/>
        <w:spacing w:line="576" w:lineRule="exact"/>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对公路及公路附属设施（包括：路缘石、边沟、边坡、波形护栏、混凝土护栏、交通标志标牌等）发横破损时及时按照相关法律法规要求损坏人进行修复完善。</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2．项目应实现的具体绩效目标，包括目标的量化、细化情况以及项目实施进度计划等。</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通过日常公路巡查，对公路及公路附属设施开展安全巡查，对查获的公路及附属设施损坏及时按程序进行立案调查处理，按程序实行赔补偿，要求损坏人及时进行修复，如损坏人申请由执法机构代为修复的，按照规定及时按程序申请费用进行修复处理。</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3．分析评价申报内容与实际相符，申报目标是否合理可行。</w:t>
      </w:r>
    </w:p>
    <w:p>
      <w:pPr>
        <w:autoSpaceDE w:val="0"/>
        <w:autoSpaceDN w:val="0"/>
        <w:adjustRightInd w:val="0"/>
        <w:spacing w:line="576" w:lineRule="exact"/>
        <w:ind w:firstLine="800" w:firstLineChars="250"/>
        <w:jc w:val="left"/>
        <w:rPr>
          <w:rFonts w:eastAsia="楷体_GB2312"/>
          <w:kern w:val="0"/>
          <w:sz w:val="32"/>
          <w:szCs w:val="32"/>
        </w:rPr>
      </w:pPr>
      <w:r>
        <w:rPr>
          <w:rFonts w:eastAsia="黑体"/>
          <w:kern w:val="0"/>
          <w:sz w:val="32"/>
          <w:szCs w:val="32"/>
        </w:rPr>
        <w:t>二、项目资金申报及使用情况</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（一）项目资金申报及批复情况。</w:t>
      </w:r>
    </w:p>
    <w:p>
      <w:pPr>
        <w:autoSpaceDE w:val="0"/>
        <w:autoSpaceDN w:val="0"/>
        <w:adjustRightInd w:val="0"/>
        <w:spacing w:line="576" w:lineRule="exact"/>
        <w:ind w:firstLine="640" w:firstLineChars="200"/>
        <w:jc w:val="left"/>
        <w:rPr>
          <w:rFonts w:eastAsia="仿宋_GB2312"/>
          <w:kern w:val="0"/>
          <w:sz w:val="32"/>
          <w:szCs w:val="32"/>
        </w:rPr>
      </w:pPr>
      <w:r>
        <w:rPr>
          <w:rFonts w:hint="eastAsia" w:eastAsia="仿宋_GB2312"/>
          <w:kern w:val="0"/>
          <w:sz w:val="32"/>
          <w:szCs w:val="32"/>
        </w:rPr>
        <w:t>因为是安保设施维护费和路产修护专项经费，不是项目建设，故不需要立项。</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（二）资金计划、到位及使用情况。</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1．资金计划。</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该项目为市级财政资金。</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2．资金到位。</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2025年安保设施维护费和路产修护专项经费9.45万元。均为市级财政拨款，资金全部按时到位。</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3．资金使用。</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2025年财政拨付安保设施维护费和路产修护专项经费9.453万元。为支付公路及公路附属设施（包括：路缘石、边沟、边坡、波形护栏、混凝土护栏、交通标志标牌等）修复费支出。资 金支付范围、支付标准、支付进度、支付依据均合规合法，与预算相符。</w:t>
      </w:r>
    </w:p>
    <w:p>
      <w:pPr>
        <w:autoSpaceDE w:val="0"/>
        <w:autoSpaceDN w:val="0"/>
        <w:adjustRightInd w:val="0"/>
        <w:spacing w:line="576" w:lineRule="exact"/>
        <w:ind w:firstLine="481" w:firstLineChars="150"/>
        <w:jc w:val="left"/>
        <w:rPr>
          <w:rFonts w:eastAsia="楷体_GB2312"/>
          <w:b/>
          <w:bCs/>
          <w:kern w:val="0"/>
          <w:sz w:val="32"/>
          <w:szCs w:val="32"/>
        </w:rPr>
      </w:pPr>
      <w:r>
        <w:rPr>
          <w:rFonts w:eastAsia="楷体_GB2312"/>
          <w:b/>
          <w:bCs/>
          <w:kern w:val="0"/>
          <w:sz w:val="32"/>
          <w:szCs w:val="32"/>
        </w:rPr>
        <w:t>（三）项目财务管理情况。</w:t>
      </w:r>
    </w:p>
    <w:p>
      <w:pPr>
        <w:autoSpaceDE w:val="0"/>
        <w:autoSpaceDN w:val="0"/>
        <w:adjustRightInd w:val="0"/>
        <w:spacing w:line="576" w:lineRule="exact"/>
        <w:ind w:firstLine="640" w:firstLineChars="200"/>
        <w:jc w:val="left"/>
        <w:rPr>
          <w:rFonts w:eastAsia="仿宋_GB2312"/>
          <w:kern w:val="0"/>
          <w:sz w:val="32"/>
          <w:szCs w:val="32"/>
        </w:rPr>
      </w:pPr>
      <w:r>
        <w:rPr>
          <w:rFonts w:hint="eastAsia" w:eastAsia="仿宋_GB2312"/>
          <w:kern w:val="0"/>
          <w:sz w:val="32"/>
          <w:szCs w:val="32"/>
        </w:rPr>
        <w:t xml:space="preserve">有健全的财务制度，项目预算、合同签订、资金拨付严格按照财务管理制度进行管理。保证专款专用，资金发放复查由财务人员按照财务制度进行资金的审核、支付和核算，在具体支付时，具备了资金发票、合同、验收清单等相关材料，手续是完善的，不存在虚假会计凭证的情况，会计严格执行财务管理制度，财务处理及时，核算规范。 </w:t>
      </w:r>
    </w:p>
    <w:p>
      <w:pPr>
        <w:autoSpaceDE w:val="0"/>
        <w:autoSpaceDN w:val="0"/>
        <w:adjustRightInd w:val="0"/>
        <w:spacing w:line="576" w:lineRule="exact"/>
        <w:ind w:firstLine="320" w:firstLineChars="100"/>
        <w:jc w:val="left"/>
        <w:rPr>
          <w:rFonts w:eastAsia="黑体"/>
          <w:kern w:val="0"/>
          <w:sz w:val="32"/>
          <w:szCs w:val="32"/>
        </w:rPr>
      </w:pPr>
      <w:r>
        <w:rPr>
          <w:rFonts w:eastAsia="黑体"/>
          <w:kern w:val="0"/>
          <w:sz w:val="32"/>
          <w:szCs w:val="32"/>
        </w:rPr>
        <w:t>三、项目实施及管理情况</w:t>
      </w:r>
    </w:p>
    <w:p>
      <w:pPr>
        <w:tabs>
          <w:tab w:val="left" w:pos="6255"/>
        </w:tabs>
        <w:autoSpaceDE w:val="0"/>
        <w:autoSpaceDN w:val="0"/>
        <w:adjustRightInd w:val="0"/>
        <w:spacing w:line="576" w:lineRule="exact"/>
        <w:ind w:firstLine="642" w:firstLineChars="200"/>
        <w:jc w:val="left"/>
        <w:rPr>
          <w:rFonts w:eastAsia="楷体_GB2312"/>
          <w:kern w:val="0"/>
          <w:sz w:val="32"/>
          <w:szCs w:val="32"/>
        </w:rPr>
      </w:pPr>
      <w:r>
        <w:rPr>
          <w:rFonts w:eastAsia="楷体_GB2312"/>
          <w:b/>
          <w:bCs/>
          <w:kern w:val="0"/>
          <w:sz w:val="32"/>
          <w:szCs w:val="32"/>
        </w:rPr>
        <w:t>（一）项目组织架构及实施流程。</w:t>
      </w:r>
      <w:r>
        <w:rPr>
          <w:rFonts w:eastAsia="楷体_GB2312"/>
          <w:kern w:val="0"/>
          <w:sz w:val="32"/>
          <w:szCs w:val="32"/>
        </w:rPr>
        <w:tab/>
      </w:r>
    </w:p>
    <w:p>
      <w:pPr>
        <w:tabs>
          <w:tab w:val="left" w:pos="6255"/>
        </w:tabs>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由各大队负责辖区内的公路安全巡查，负责本辖区内的公路赔（补）偿案件的调查处理。</w:t>
      </w:r>
    </w:p>
    <w:p>
      <w:pPr>
        <w:tabs>
          <w:tab w:val="left" w:pos="6255"/>
        </w:tabs>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发生路损案件，原则上安排损坏人自行修复，或协调路产损坏人与公路养护部门协议修复。</w:t>
      </w:r>
    </w:p>
    <w:p>
      <w:pPr>
        <w:tabs>
          <w:tab w:val="left" w:pos="6255"/>
        </w:tabs>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在路产损坏人自愿申请由执法机构代为修复的前提下，按规定收取路产损坏赔补偿费，待财政拨付相应费用后修复。</w:t>
      </w:r>
    </w:p>
    <w:p>
      <w:pPr>
        <w:numPr>
          <w:ilvl w:val="0"/>
          <w:numId w:val="14"/>
        </w:numPr>
        <w:autoSpaceDE w:val="0"/>
        <w:autoSpaceDN w:val="0"/>
        <w:adjustRightInd w:val="0"/>
        <w:spacing w:line="576" w:lineRule="exact"/>
        <w:ind w:firstLine="642" w:firstLineChars="200"/>
        <w:jc w:val="left"/>
        <w:rPr>
          <w:rFonts w:eastAsia="仿宋_GB2312"/>
          <w:b/>
          <w:bCs/>
          <w:kern w:val="0"/>
          <w:sz w:val="32"/>
          <w:szCs w:val="32"/>
        </w:rPr>
      </w:pPr>
      <w:r>
        <w:rPr>
          <w:rFonts w:eastAsia="楷体_GB2312"/>
          <w:b/>
          <w:bCs/>
          <w:kern w:val="0"/>
          <w:sz w:val="32"/>
          <w:szCs w:val="32"/>
        </w:rPr>
        <w:t>项目管理</w:t>
      </w:r>
      <w:r>
        <w:rPr>
          <w:rFonts w:hint="eastAsia" w:eastAsia="楷体_GB2312"/>
          <w:b/>
          <w:bCs/>
          <w:kern w:val="0"/>
          <w:sz w:val="32"/>
          <w:szCs w:val="32"/>
        </w:rPr>
        <w:t>及监管</w:t>
      </w:r>
      <w:r>
        <w:rPr>
          <w:rFonts w:eastAsia="楷体_GB2312"/>
          <w:b/>
          <w:bCs/>
          <w:kern w:val="0"/>
          <w:sz w:val="32"/>
          <w:szCs w:val="32"/>
        </w:rPr>
        <w:t>情况。</w:t>
      </w:r>
    </w:p>
    <w:p>
      <w:pPr>
        <w:autoSpaceDE w:val="0"/>
        <w:autoSpaceDN w:val="0"/>
        <w:adjustRightInd w:val="0"/>
        <w:spacing w:line="576" w:lineRule="exact"/>
        <w:ind w:firstLine="640" w:firstLineChars="200"/>
        <w:jc w:val="left"/>
        <w:rPr>
          <w:rFonts w:eastAsia="仿宋_GB2312"/>
          <w:kern w:val="0"/>
          <w:sz w:val="32"/>
          <w:szCs w:val="32"/>
        </w:rPr>
      </w:pPr>
      <w:r>
        <w:rPr>
          <w:rFonts w:eastAsia="仿宋_GB2312"/>
          <w:kern w:val="0"/>
          <w:sz w:val="32"/>
          <w:szCs w:val="32"/>
        </w:rPr>
        <w:t xml:space="preserve"> </w:t>
      </w:r>
      <w:r>
        <w:rPr>
          <w:rFonts w:hint="eastAsia" w:eastAsia="仿宋_GB2312"/>
          <w:kern w:val="0"/>
          <w:sz w:val="32"/>
          <w:szCs w:val="32"/>
        </w:rPr>
        <w:t>由支队</w:t>
      </w:r>
      <w:r>
        <w:rPr>
          <w:rFonts w:eastAsia="仿宋_GB2312"/>
          <w:kern w:val="0"/>
          <w:sz w:val="32"/>
          <w:szCs w:val="32"/>
        </w:rPr>
        <w:t>安全综合业务科根据赔补偿案卷结算清单，审核大队上报路产修复申报表，聘请第三方有资质的单位进行路产损坏修复，达到保护路产路权不受侵害。</w:t>
      </w:r>
    </w:p>
    <w:p>
      <w:pPr>
        <w:autoSpaceDE w:val="0"/>
        <w:autoSpaceDN w:val="0"/>
        <w:adjustRightInd w:val="0"/>
        <w:spacing w:line="576" w:lineRule="exact"/>
        <w:ind w:firstLine="640" w:firstLineChars="200"/>
        <w:jc w:val="left"/>
        <w:rPr>
          <w:rFonts w:ascii="黑体" w:hAnsi="黑体" w:eastAsia="黑体" w:cs="黑体"/>
          <w:kern w:val="0"/>
          <w:sz w:val="32"/>
          <w:szCs w:val="32"/>
        </w:rPr>
      </w:pPr>
      <w:r>
        <w:rPr>
          <w:rFonts w:hint="eastAsia" w:ascii="黑体" w:hAnsi="黑体" w:eastAsia="黑体" w:cs="黑体"/>
          <w:kern w:val="0"/>
          <w:sz w:val="32"/>
          <w:szCs w:val="32"/>
        </w:rPr>
        <w:t>四、项目绩效情况</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（一）项目完成情况。</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eastAsia="仿宋_GB2312"/>
          <w:kern w:val="0"/>
          <w:sz w:val="32"/>
          <w:szCs w:val="32"/>
        </w:rPr>
        <w:tab/>
      </w:r>
      <w:r>
        <w:rPr>
          <w:rFonts w:hint="eastAsia" w:ascii="仿宋_GB2312" w:hAnsi="仿宋_GB2312" w:eastAsia="仿宋_GB2312" w:cs="仿宋_GB2312"/>
          <w:kern w:val="0"/>
          <w:sz w:val="32"/>
          <w:szCs w:val="32"/>
        </w:rPr>
        <w:t>2025年度，市交通运输综合行政执法支队共办理查处路产受损案52件，挽回路产21.9248万元。</w:t>
      </w:r>
    </w:p>
    <w:p>
      <w:pPr>
        <w:autoSpaceDE w:val="0"/>
        <w:autoSpaceDN w:val="0"/>
        <w:adjustRightInd w:val="0"/>
        <w:spacing w:line="576" w:lineRule="exact"/>
        <w:ind w:firstLine="642" w:firstLineChars="200"/>
        <w:jc w:val="left"/>
        <w:rPr>
          <w:rFonts w:ascii="Calibri" w:hAnsi="Calibri"/>
          <w:b/>
          <w:bCs/>
          <w:sz w:val="32"/>
          <w:szCs w:val="32"/>
        </w:rPr>
      </w:pPr>
      <w:r>
        <w:rPr>
          <w:rFonts w:eastAsia="楷体_GB2312"/>
          <w:b/>
          <w:bCs/>
          <w:kern w:val="0"/>
          <w:sz w:val="32"/>
          <w:szCs w:val="32"/>
        </w:rPr>
        <w:t>（二）项目效益情况。</w:t>
      </w:r>
    </w:p>
    <w:p>
      <w:pPr>
        <w:spacing w:line="576" w:lineRule="exact"/>
        <w:ind w:firstLine="640" w:firstLineChars="200"/>
        <w:rPr>
          <w:rFonts w:eastAsia="仿宋_GB2312"/>
          <w:kern w:val="0"/>
          <w:sz w:val="32"/>
          <w:szCs w:val="32"/>
        </w:rPr>
      </w:pPr>
      <w:r>
        <w:rPr>
          <w:rFonts w:hint="eastAsia" w:ascii="仿宋_GB2312" w:hAnsi="仿宋_GB2312" w:eastAsia="仿宋_GB2312" w:cs="仿宋_GB2312"/>
          <w:sz w:val="32"/>
          <w:szCs w:val="32"/>
        </w:rPr>
        <w:t>及时对路产进行修复，可增长公路及公路附属设施的使用年限，减少建设和养护成本，达到节约公路建设投资资金的效益。及时投入资金对损坏的路产路权进行修复和维护，减少了因路产损坏等引起的不安全因素，提升了道路运输安全系数和社会人员公路使用的舒适度。</w:t>
      </w:r>
    </w:p>
    <w:p>
      <w:pPr>
        <w:autoSpaceDE w:val="0"/>
        <w:autoSpaceDN w:val="0"/>
        <w:adjustRightInd w:val="0"/>
        <w:spacing w:line="576" w:lineRule="exact"/>
        <w:ind w:firstLine="640" w:firstLineChars="200"/>
        <w:jc w:val="left"/>
        <w:rPr>
          <w:rFonts w:eastAsia="黑体"/>
          <w:kern w:val="0"/>
          <w:sz w:val="32"/>
          <w:szCs w:val="32"/>
        </w:rPr>
      </w:pPr>
      <w:r>
        <w:rPr>
          <w:rFonts w:eastAsia="黑体"/>
          <w:kern w:val="0"/>
          <w:sz w:val="32"/>
          <w:szCs w:val="32"/>
        </w:rPr>
        <w:t>五、评价结论及建议</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（一）评价结论。</w:t>
      </w:r>
    </w:p>
    <w:p>
      <w:pPr>
        <w:autoSpaceDE w:val="0"/>
        <w:autoSpaceDN w:val="0"/>
        <w:adjustRightInd w:val="0"/>
        <w:spacing w:line="576" w:lineRule="exact"/>
        <w:ind w:firstLine="640" w:firstLineChars="200"/>
        <w:jc w:val="left"/>
        <w:rPr>
          <w:rFonts w:eastAsia="仿宋_GB2312"/>
          <w:kern w:val="0"/>
          <w:sz w:val="32"/>
          <w:szCs w:val="32"/>
        </w:rPr>
      </w:pPr>
      <w:r>
        <w:rPr>
          <w:rFonts w:hint="eastAsia" w:ascii="仿宋_GB2312" w:hAnsi="仿宋_GB2312" w:eastAsia="仿宋_GB2312" w:cs="仿宋_GB2312"/>
          <w:kern w:val="0"/>
          <w:sz w:val="32"/>
          <w:szCs w:val="32"/>
        </w:rPr>
        <w:t>2025年，我支队快速应急能力和公共服务能力明显提高；预防、掌握路面动态的保护能力 明显提升；服务对象办事成本降低，办事效率明显提高。为我市老百姓安全便捷出行、改善地方经济发展环境，推进攀枝花市经济发展和</w:t>
      </w:r>
      <w:r>
        <w:rPr>
          <w:rFonts w:hint="eastAsia" w:eastAsia="仿宋_GB2312"/>
          <w:kern w:val="0"/>
          <w:sz w:val="32"/>
          <w:szCs w:val="32"/>
        </w:rPr>
        <w:t>社会全面发展提供了强有力的支持。</w:t>
      </w:r>
      <w:r>
        <w:rPr>
          <w:rFonts w:hint="eastAsia" w:ascii="仿宋_GB2312" w:hAnsi="宋体" w:eastAsia="仿宋_GB2312"/>
          <w:sz w:val="32"/>
          <w:szCs w:val="32"/>
          <w:lang w:val="zh-CN"/>
        </w:rPr>
        <w:t>综合得分85分。</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（二）存在的问题。</w:t>
      </w:r>
    </w:p>
    <w:p>
      <w:pPr>
        <w:autoSpaceDE w:val="0"/>
        <w:autoSpaceDN w:val="0"/>
        <w:adjustRightInd w:val="0"/>
        <w:spacing w:line="576" w:lineRule="exact"/>
        <w:ind w:firstLine="640" w:firstLineChars="200"/>
        <w:jc w:val="left"/>
        <w:rPr>
          <w:rFonts w:eastAsia="仿宋_GB2312"/>
          <w:kern w:val="0"/>
          <w:sz w:val="32"/>
          <w:szCs w:val="32"/>
        </w:rPr>
      </w:pPr>
      <w:r>
        <w:rPr>
          <w:rFonts w:hint="eastAsia" w:eastAsia="仿宋_GB2312"/>
          <w:kern w:val="0"/>
          <w:sz w:val="32"/>
          <w:szCs w:val="32"/>
        </w:rPr>
        <w:t>群众对道路及附属设施保护意识有待加强，社会重视度不高。</w:t>
      </w:r>
    </w:p>
    <w:p>
      <w:pPr>
        <w:autoSpaceDE w:val="0"/>
        <w:autoSpaceDN w:val="0"/>
        <w:adjustRightInd w:val="0"/>
        <w:spacing w:line="576" w:lineRule="exact"/>
        <w:ind w:firstLine="642" w:firstLineChars="200"/>
        <w:jc w:val="left"/>
        <w:rPr>
          <w:rFonts w:eastAsia="楷体_GB2312"/>
          <w:b/>
          <w:bCs/>
          <w:kern w:val="0"/>
          <w:sz w:val="32"/>
          <w:szCs w:val="32"/>
        </w:rPr>
      </w:pPr>
      <w:r>
        <w:rPr>
          <w:rFonts w:eastAsia="楷体_GB2312"/>
          <w:b/>
          <w:bCs/>
          <w:kern w:val="0"/>
          <w:sz w:val="32"/>
          <w:szCs w:val="32"/>
        </w:rPr>
        <w:t>（三）相关建议。</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1、加大道路及附属设施保护宣传力度工作。</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2、进一步加强治超队伍建设。</w:t>
      </w:r>
    </w:p>
    <w:p>
      <w:pPr>
        <w:pStyle w:val="2"/>
      </w:pPr>
    </w:p>
    <w:p>
      <w:pPr>
        <w:pStyle w:val="2"/>
      </w:pPr>
    </w:p>
    <w:p>
      <w:pPr>
        <w:pStyle w:val="2"/>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(G227东区至仁和区段大修工程)</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1．说明项目主管部门（单位）在该项目管理中的职能。</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抓实抓细交通建设项目监督管理，加强源头管控，压实安全生产责任，强化项目施工现场生态环境保护，常态化开展公路管养，强化考核评价，注重公路养护质量，促进全市普通公路建管养运协调发展。</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项目立项、资金申报的依据。</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shd w:val="clear" w:color="auto" w:fill="FFFFFF"/>
          <w:lang w:val="zh-CN"/>
        </w:rPr>
        <w:t>各</w:t>
      </w:r>
      <w:r>
        <w:rPr>
          <w:rFonts w:hint="eastAsia" w:ascii="仿宋_GB2312" w:hAnsi="仿宋_GB2312" w:eastAsia="仿宋_GB2312" w:cs="仿宋_GB2312"/>
          <w:sz w:val="32"/>
          <w:szCs w:val="32"/>
          <w:shd w:val="clear" w:color="auto" w:fill="FFFFFF"/>
        </w:rPr>
        <w:t>科室</w:t>
      </w:r>
      <w:r>
        <w:rPr>
          <w:rFonts w:hint="eastAsia" w:ascii="仿宋_GB2312" w:hAnsi="仿宋_GB2312" w:eastAsia="仿宋_GB2312" w:cs="仿宋_GB2312"/>
          <w:sz w:val="32"/>
          <w:szCs w:val="32"/>
          <w:shd w:val="clear" w:color="auto" w:fill="FFFFFF"/>
          <w:lang w:val="zh-CN"/>
        </w:rPr>
        <w:t>根据预算年度工作目标和工作计划提出真实、详细的下年度预算申请。</w:t>
      </w:r>
      <w:r>
        <w:rPr>
          <w:rFonts w:hint="eastAsia" w:ascii="仿宋_GB2312" w:hAnsi="仿宋_GB2312" w:eastAsia="仿宋_GB2312" w:cs="仿宋_GB2312"/>
          <w:sz w:val="32"/>
          <w:szCs w:val="32"/>
          <w:shd w:val="clear" w:color="auto" w:fill="FFFFFF"/>
        </w:rPr>
        <w:t>财务</w:t>
      </w:r>
      <w:r>
        <w:rPr>
          <w:rFonts w:hint="eastAsia" w:ascii="仿宋_GB2312" w:hAnsi="仿宋_GB2312" w:eastAsia="仿宋_GB2312" w:cs="仿宋_GB2312"/>
          <w:sz w:val="32"/>
          <w:szCs w:val="32"/>
          <w:shd w:val="clear" w:color="auto" w:fill="FFFFFF"/>
          <w:lang w:val="zh-CN"/>
        </w:rPr>
        <w:t>对</w:t>
      </w:r>
      <w:r>
        <w:rPr>
          <w:rFonts w:hint="eastAsia" w:ascii="仿宋_GB2312" w:hAnsi="仿宋_GB2312" w:eastAsia="仿宋_GB2312" w:cs="仿宋_GB2312"/>
          <w:sz w:val="32"/>
          <w:szCs w:val="32"/>
          <w:shd w:val="clear" w:color="auto" w:fill="FFFFFF"/>
        </w:rPr>
        <w:t>各科</w:t>
      </w:r>
      <w:r>
        <w:rPr>
          <w:rFonts w:hint="eastAsia" w:ascii="仿宋_GB2312" w:hAnsi="仿宋_GB2312" w:eastAsia="仿宋_GB2312" w:cs="仿宋_GB2312"/>
          <w:sz w:val="32"/>
          <w:szCs w:val="32"/>
          <w:shd w:val="clear" w:color="auto" w:fill="FFFFFF"/>
          <w:lang w:val="zh-CN"/>
        </w:rPr>
        <w:t>室的下年度预算申请进行初审与协调，对各</w:t>
      </w:r>
      <w:r>
        <w:rPr>
          <w:rFonts w:hint="eastAsia" w:ascii="仿宋_GB2312" w:hAnsi="仿宋_GB2312" w:eastAsia="仿宋_GB2312" w:cs="仿宋_GB2312"/>
          <w:sz w:val="32"/>
          <w:szCs w:val="32"/>
          <w:shd w:val="clear" w:color="auto" w:fill="FFFFFF"/>
        </w:rPr>
        <w:t>科室</w:t>
      </w:r>
      <w:r>
        <w:rPr>
          <w:rFonts w:hint="eastAsia" w:ascii="仿宋_GB2312" w:hAnsi="仿宋_GB2312" w:eastAsia="仿宋_GB2312" w:cs="仿宋_GB2312"/>
          <w:sz w:val="32"/>
          <w:szCs w:val="32"/>
          <w:shd w:val="clear" w:color="auto" w:fill="FFFFFF"/>
          <w:lang w:val="zh-CN"/>
        </w:rPr>
        <w:t>申请的专项经费逐项进行比对与论证，结合</w:t>
      </w:r>
      <w:r>
        <w:rPr>
          <w:rFonts w:hint="eastAsia" w:ascii="仿宋_GB2312" w:hAnsi="仿宋_GB2312" w:eastAsia="仿宋_GB2312" w:cs="仿宋_GB2312"/>
          <w:sz w:val="32"/>
          <w:szCs w:val="32"/>
          <w:shd w:val="clear" w:color="auto" w:fill="FFFFFF"/>
        </w:rPr>
        <w:t>财力及</w:t>
      </w:r>
      <w:r>
        <w:rPr>
          <w:rFonts w:hint="eastAsia" w:ascii="仿宋_GB2312" w:hAnsi="仿宋_GB2312" w:eastAsia="仿宋_GB2312" w:cs="仿宋_GB2312"/>
          <w:sz w:val="32"/>
          <w:szCs w:val="32"/>
          <w:shd w:val="clear" w:color="auto" w:fill="FFFFFF"/>
          <w:lang w:val="zh-CN"/>
        </w:rPr>
        <w:t>本局</w:t>
      </w:r>
      <w:r>
        <w:rPr>
          <w:rFonts w:hint="eastAsia" w:ascii="仿宋_GB2312" w:hAnsi="仿宋_GB2312" w:eastAsia="仿宋_GB2312" w:cs="仿宋_GB2312"/>
          <w:sz w:val="32"/>
          <w:szCs w:val="32"/>
          <w:shd w:val="clear" w:color="auto" w:fill="FFFFFF"/>
        </w:rPr>
        <w:t>实际</w:t>
      </w:r>
      <w:r>
        <w:rPr>
          <w:rFonts w:hint="eastAsia" w:ascii="仿宋_GB2312" w:hAnsi="仿宋_GB2312" w:eastAsia="仿宋_GB2312" w:cs="仿宋_GB2312"/>
          <w:sz w:val="32"/>
          <w:szCs w:val="32"/>
          <w:shd w:val="clear" w:color="auto" w:fill="FFFFFF"/>
          <w:lang w:val="zh-CN"/>
        </w:rPr>
        <w:t>，根据项目的轻重缓急，提出支出项目预算建议数。</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资金管理办法制定情况，资金支持具体项目的条件、范围与支持方式概况。</w:t>
      </w:r>
    </w:p>
    <w:p>
      <w:pPr>
        <w:adjustRightInd w:val="0"/>
        <w:snapToGrid w:val="0"/>
        <w:spacing w:line="600" w:lineRule="exact"/>
        <w:ind w:firstLine="72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严格按照预算要求及《攀枝花市级财政交通专项资金管理办法》管理和使用资金，确保资金专款专用。</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资金分配的原则及考虑因素。</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shd w:val="clear" w:color="auto" w:fill="FFFFFF"/>
        </w:rPr>
        <w:t>财务</w:t>
      </w:r>
      <w:r>
        <w:rPr>
          <w:rFonts w:hint="eastAsia" w:ascii="仿宋_GB2312" w:hAnsi="仿宋_GB2312" w:eastAsia="仿宋_GB2312" w:cs="仿宋_GB2312"/>
          <w:sz w:val="32"/>
          <w:szCs w:val="32"/>
          <w:shd w:val="clear" w:color="auto" w:fill="FFFFFF"/>
          <w:lang w:val="zh-CN"/>
        </w:rPr>
        <w:t>根据</w:t>
      </w:r>
      <w:r>
        <w:rPr>
          <w:rFonts w:hint="eastAsia" w:ascii="仿宋_GB2312" w:hAnsi="仿宋_GB2312" w:eastAsia="仿宋_GB2312" w:cs="仿宋_GB2312"/>
          <w:sz w:val="32"/>
          <w:szCs w:val="32"/>
          <w:shd w:val="clear" w:color="auto" w:fill="FFFFFF"/>
        </w:rPr>
        <w:t>市</w:t>
      </w:r>
      <w:r>
        <w:rPr>
          <w:rFonts w:hint="eastAsia" w:ascii="仿宋_GB2312" w:hAnsi="仿宋_GB2312" w:eastAsia="仿宋_GB2312" w:cs="仿宋_GB2312"/>
          <w:sz w:val="32"/>
          <w:szCs w:val="32"/>
          <w:shd w:val="clear" w:color="auto" w:fill="FFFFFF"/>
          <w:lang w:val="zh-CN"/>
        </w:rPr>
        <w:t>财政下达的预算控制数和局预算年度的收支预测，在收支平衡的基础上，编制</w:t>
      </w:r>
      <w:r>
        <w:rPr>
          <w:rFonts w:hint="eastAsia" w:ascii="仿宋_GB2312" w:hAnsi="仿宋_GB2312" w:eastAsia="仿宋_GB2312" w:cs="仿宋_GB2312"/>
          <w:sz w:val="32"/>
          <w:szCs w:val="32"/>
          <w:shd w:val="clear" w:color="auto" w:fill="FFFFFF"/>
        </w:rPr>
        <w:t>单位</w:t>
      </w:r>
      <w:r>
        <w:rPr>
          <w:rFonts w:hint="eastAsia" w:ascii="仿宋_GB2312" w:hAnsi="仿宋_GB2312" w:eastAsia="仿宋_GB2312" w:cs="仿宋_GB2312"/>
          <w:sz w:val="32"/>
          <w:szCs w:val="32"/>
          <w:shd w:val="clear" w:color="auto" w:fill="FFFFFF"/>
          <w:lang w:val="zh-CN"/>
        </w:rPr>
        <w:t>下一年度预算草案，形成预算建议数，经</w:t>
      </w:r>
      <w:r>
        <w:rPr>
          <w:rFonts w:hint="eastAsia" w:ascii="仿宋_GB2312" w:hAnsi="仿宋_GB2312" w:eastAsia="仿宋_GB2312" w:cs="仿宋_GB2312"/>
          <w:sz w:val="32"/>
          <w:szCs w:val="32"/>
          <w:shd w:val="clear" w:color="auto" w:fill="FFFFFF"/>
        </w:rPr>
        <w:t>集体</w:t>
      </w:r>
      <w:r>
        <w:rPr>
          <w:rFonts w:hint="eastAsia" w:ascii="仿宋_GB2312" w:hAnsi="仿宋_GB2312" w:eastAsia="仿宋_GB2312" w:cs="仿宋_GB2312"/>
          <w:sz w:val="32"/>
          <w:szCs w:val="32"/>
          <w:shd w:val="clear" w:color="auto" w:fill="FFFFFF"/>
          <w:lang w:val="zh-CN"/>
        </w:rPr>
        <w:t>讨论后上报</w:t>
      </w:r>
      <w:r>
        <w:rPr>
          <w:rFonts w:hint="eastAsia" w:ascii="仿宋_GB2312" w:hAnsi="仿宋_GB2312" w:eastAsia="仿宋_GB2312" w:cs="仿宋_GB2312"/>
          <w:sz w:val="32"/>
          <w:szCs w:val="32"/>
          <w:shd w:val="clear" w:color="auto" w:fill="FFFFFF"/>
        </w:rPr>
        <w:t>市</w:t>
      </w:r>
      <w:r>
        <w:rPr>
          <w:rFonts w:hint="eastAsia" w:ascii="仿宋_GB2312" w:hAnsi="仿宋_GB2312" w:eastAsia="仿宋_GB2312" w:cs="仿宋_GB2312"/>
          <w:sz w:val="32"/>
          <w:szCs w:val="32"/>
          <w:shd w:val="clear" w:color="auto" w:fill="FFFFFF"/>
          <w:lang w:val="zh-CN"/>
        </w:rPr>
        <w:t>财政局。</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 项目主要内容。</w:t>
      </w:r>
    </w:p>
    <w:p>
      <w:pPr>
        <w:spacing w:after="120"/>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完成G</w:t>
      </w:r>
      <w:r>
        <w:rPr>
          <w:rFonts w:hint="eastAsia" w:ascii="仿宋_GB2312" w:hAnsi="仿宋_GB2312" w:eastAsia="仿宋_GB2312" w:cs="仿宋_GB2312"/>
          <w:sz w:val="32"/>
          <w:szCs w:val="32"/>
        </w:rPr>
        <w:t>227东区（渡口桥南）至仁和区（南山花园）段大修工程</w:t>
      </w:r>
      <w:r>
        <w:rPr>
          <w:rFonts w:hint="eastAsia" w:ascii="仿宋_GB2312" w:hAnsi="仿宋_GB2312" w:eastAsia="仿宋_GB2312" w:cs="仿宋_GB2312"/>
          <w:sz w:val="32"/>
          <w:szCs w:val="32"/>
          <w:lang w:val="zh-CN"/>
        </w:rPr>
        <w:t>，切实解决群众安全出行问题，保障人民群众生命财产，公路安全水平显著提升。</w:t>
      </w:r>
    </w:p>
    <w:p>
      <w:pPr>
        <w:adjustRightInd w:val="0"/>
        <w:snapToGrid w:val="0"/>
        <w:spacing w:line="60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zh-CN"/>
        </w:rPr>
        <w:t>项目应实现的具体绩效目标，包括目标的量化、细化情况以及项目实施进度计划等。</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）产出指标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数量指标：共计一个项目，完成率</w:t>
      </w:r>
      <w:r>
        <w:rPr>
          <w:rFonts w:hint="eastAsia" w:ascii="仿宋_GB2312" w:hAnsi="仿宋_GB2312" w:eastAsia="仿宋_GB2312" w:cs="仿宋_GB2312"/>
          <w:sz w:val="32"/>
          <w:szCs w:val="32"/>
        </w:rPr>
        <w:t>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质量指标：建设项目完成验收，工程质量合格率达到100%。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时效指标：工期按工完成，资金完成拨付。</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）成本指标</w:t>
      </w:r>
    </w:p>
    <w:p>
      <w:pPr>
        <w:spacing w:after="120"/>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资金支付</w:t>
      </w:r>
      <w:r>
        <w:rPr>
          <w:rFonts w:hint="eastAsia" w:ascii="仿宋_GB2312" w:hAnsi="仿宋_GB2312" w:eastAsia="仿宋_GB2312" w:cs="仿宋_GB2312"/>
          <w:sz w:val="32"/>
          <w:szCs w:val="32"/>
        </w:rPr>
        <w:t>566.4万元，其中中央资金466.4万元，一般债券100万元。</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）效益指标</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社会效益指标：提高公路安全水平，促进我市交通运输高质量发展。</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）满意度指标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服务对象满意度指标：社会对象满意度</w:t>
      </w:r>
      <w:r>
        <w:rPr>
          <w:rFonts w:hint="eastAsia" w:ascii="仿宋_GB2312" w:hAnsi="仿宋_GB2312" w:eastAsia="仿宋_GB2312" w:cs="仿宋_GB2312"/>
          <w:sz w:val="32"/>
          <w:szCs w:val="32"/>
        </w:rPr>
        <w:t>85%以上。</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分析评价申报内容是否与实际相符，申报目标是否合理可行。</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结合项目2025年实际需求、相关费用标准及市场价格水平，重点对数量是否合理、投入是否经济、预算测算是否准确、测算过程是否详细、测算依据是否充分等方面进行了评估。评估认为，该项目任务数量基本合理、预算测算过程较为详细、测算依据基本充分、有一定的经济性。</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rPr>
      </w:pPr>
      <w:r>
        <w:rPr>
          <w:rFonts w:eastAsia="仿宋_GB2312"/>
          <w:sz w:val="32"/>
          <w:szCs w:val="32"/>
        </w:rPr>
        <w:t>结合项目实际需求、</w:t>
      </w:r>
      <w:r>
        <w:rPr>
          <w:rFonts w:hint="eastAsia" w:eastAsia="仿宋_GB2312"/>
          <w:sz w:val="32"/>
          <w:szCs w:val="32"/>
        </w:rPr>
        <w:t>完工验收情况等开展自评。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项目设立按固定履行评估论证、申报程序。绩效目标设置于计划期内的任务量、预算安排的资金量基本匹配，绩效目标设置基本科学合理、规范完成。预算项目在规定时间内完成项目入库。</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1．资金计划。</w:t>
      </w:r>
      <w:r>
        <w:rPr>
          <w:rFonts w:hint="eastAsia" w:ascii="仿宋_GB2312" w:hAnsi="仿宋_GB2312" w:eastAsia="仿宋_GB2312" w:cs="仿宋_GB2312"/>
          <w:color w:val="000000"/>
          <w:kern w:val="0"/>
          <w:sz w:val="32"/>
          <w:szCs w:val="32"/>
          <w:shd w:val="clear" w:color="auto" w:fill="FFFFFF"/>
          <w:lang w:val="zh-CN"/>
        </w:rPr>
        <w:t>该项目资金计划</w:t>
      </w:r>
      <w:r>
        <w:rPr>
          <w:rFonts w:hint="eastAsia" w:ascii="仿宋_GB2312" w:hAnsi="仿宋_GB2312" w:eastAsia="仿宋_GB2312" w:cs="仿宋_GB2312"/>
          <w:sz w:val="32"/>
          <w:szCs w:val="32"/>
        </w:rPr>
        <w:t>566.4万元，其中中央资金466.4万元，一般债券100万元。</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2．资金到位。</w:t>
      </w:r>
      <w:r>
        <w:rPr>
          <w:rFonts w:hint="eastAsia" w:ascii="仿宋_GB2312" w:hAnsi="仿宋_GB2312" w:eastAsia="仿宋_GB2312" w:cs="仿宋_GB2312"/>
          <w:color w:val="000000"/>
          <w:kern w:val="0"/>
          <w:sz w:val="32"/>
          <w:szCs w:val="32"/>
          <w:shd w:val="clear" w:color="auto" w:fill="FFFFFF"/>
          <w:lang w:val="zh-CN"/>
        </w:rPr>
        <w:t>该项目资金实际到位</w:t>
      </w:r>
      <w:r>
        <w:rPr>
          <w:rFonts w:hint="eastAsia" w:ascii="仿宋_GB2312" w:hAnsi="仿宋_GB2312" w:eastAsia="仿宋_GB2312" w:cs="仿宋_GB2312"/>
          <w:color w:val="000000"/>
          <w:kern w:val="0"/>
          <w:sz w:val="32"/>
          <w:szCs w:val="32"/>
          <w:shd w:val="clear" w:color="auto" w:fill="FFFFFF"/>
        </w:rPr>
        <w:t>566.4万元。</w:t>
      </w:r>
    </w:p>
    <w:p>
      <w:pPr>
        <w:adjustRightInd w:val="0"/>
        <w:snapToGrid w:val="0"/>
        <w:spacing w:line="600" w:lineRule="exact"/>
        <w:ind w:firstLine="72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lang w:val="zh-CN"/>
        </w:rPr>
        <w:t>3．资金使用。</w:t>
      </w:r>
      <w:r>
        <w:rPr>
          <w:rFonts w:hint="eastAsia" w:ascii="仿宋_GB2312" w:hAnsi="仿宋_GB2312" w:eastAsia="仿宋_GB2312" w:cs="仿宋_GB2312"/>
          <w:color w:val="000000"/>
          <w:kern w:val="0"/>
          <w:sz w:val="32"/>
          <w:szCs w:val="32"/>
          <w:shd w:val="clear" w:color="auto" w:fill="FFFFFF"/>
          <w:lang w:val="zh-CN"/>
        </w:rPr>
        <w:t>该项目资金实际支付</w:t>
      </w:r>
      <w:r>
        <w:rPr>
          <w:rFonts w:hint="eastAsia" w:ascii="仿宋_GB2312" w:hAnsi="仿宋_GB2312" w:eastAsia="仿宋_GB2312" w:cs="仿宋_GB2312"/>
          <w:color w:val="000000"/>
          <w:kern w:val="0"/>
          <w:sz w:val="32"/>
          <w:szCs w:val="32"/>
          <w:shd w:val="clear" w:color="auto" w:fill="FFFFFF"/>
        </w:rPr>
        <w:t>566.4万元，</w:t>
      </w:r>
      <w:r>
        <w:rPr>
          <w:rFonts w:hint="eastAsia" w:ascii="仿宋_GB2312" w:hAnsi="仿宋_GB2312" w:eastAsia="仿宋_GB2312" w:cs="仿宋_GB2312"/>
          <w:color w:val="000000"/>
          <w:kern w:val="0"/>
          <w:sz w:val="32"/>
          <w:szCs w:val="32"/>
          <w:shd w:val="clear" w:color="auto" w:fill="FFFFFF"/>
          <w:lang w:val="zh-CN"/>
        </w:rPr>
        <w:t>支付标准、支付进度、支付依据合规合法、与预算相符，</w:t>
      </w:r>
      <w:r>
        <w:rPr>
          <w:rFonts w:hint="eastAsia" w:ascii="仿宋_GB2312" w:hAnsi="仿宋_GB2312" w:eastAsia="仿宋_GB2312" w:cs="仿宋_GB2312"/>
          <w:color w:val="000000"/>
          <w:kern w:val="0"/>
          <w:sz w:val="32"/>
          <w:szCs w:val="32"/>
          <w:shd w:val="clear" w:color="auto" w:fill="FFFFFF"/>
        </w:rPr>
        <w:t>完成率100%。</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结合项目组织实施管理办法，重点围绕以下内容进行分析评价，并对自评中发现的问题分析说明。</w:t>
      </w:r>
    </w:p>
    <w:p>
      <w:pPr>
        <w:adjustRightInd w:val="0"/>
        <w:snapToGrid w:val="0"/>
        <w:spacing w:line="600" w:lineRule="exact"/>
        <w:ind w:firstLine="642" w:firstLineChars="200"/>
        <w:rPr>
          <w:rFonts w:eastAsia="楷体_GB2312"/>
          <w:b/>
          <w:sz w:val="32"/>
          <w:szCs w:val="32"/>
          <w:lang w:val="zh-CN"/>
        </w:rPr>
      </w:pPr>
      <w:r>
        <w:rPr>
          <w:rFonts w:hint="eastAsia" w:eastAsia="楷体_GB2312"/>
          <w:b/>
          <w:sz w:val="32"/>
          <w:szCs w:val="32"/>
          <w:lang w:val="zh-CN"/>
        </w:rPr>
        <w:t>（一）</w:t>
      </w:r>
      <w:r>
        <w:rPr>
          <w:rFonts w:eastAsia="楷体_GB2312"/>
          <w:b/>
          <w:sz w:val="32"/>
          <w:szCs w:val="32"/>
          <w:lang w:val="zh-CN"/>
        </w:rPr>
        <w:t>项目组织架构及实施流程。</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加强我市交通行业监督管理，提升科技兴安水平，通过监测手段，有效的减少一般事故，坚决防范遏制重特大事故发生，确保攀枝花市交通运输行业安全。</w:t>
      </w:r>
    </w:p>
    <w:p>
      <w:pPr>
        <w:adjustRightInd w:val="0"/>
        <w:snapToGrid w:val="0"/>
        <w:spacing w:line="600" w:lineRule="exact"/>
        <w:ind w:firstLine="642" w:firstLineChars="200"/>
        <w:rPr>
          <w:rFonts w:ascii="楷体" w:hAnsi="楷体" w:eastAsia="楷体" w:cs="楷体"/>
          <w:b/>
          <w:bCs/>
          <w:sz w:val="32"/>
          <w:szCs w:val="32"/>
          <w:lang w:val="zh-CN"/>
        </w:rPr>
      </w:pPr>
      <w:r>
        <w:rPr>
          <w:rFonts w:hint="eastAsia" w:ascii="楷体" w:hAnsi="楷体" w:eastAsia="楷体" w:cs="楷体"/>
          <w:b/>
          <w:bCs/>
          <w:sz w:val="32"/>
          <w:szCs w:val="32"/>
          <w:lang w:val="zh-CN"/>
        </w:rPr>
        <w:t>（二）项目管理情况。</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项目实施遵守相关法律法规；项目调整手续完备；项目合同、验收报告、技术鉴定等资料齐全并及时归档；项目实施的人员条件、场地设备、信息支撑等落实到位</w:t>
      </w:r>
    </w:p>
    <w:p>
      <w:pPr>
        <w:adjustRightInd w:val="0"/>
        <w:snapToGrid w:val="0"/>
        <w:spacing w:line="600" w:lineRule="exact"/>
        <w:ind w:left="720"/>
        <w:rPr>
          <w:rFonts w:eastAsia="楷体_GB2312"/>
          <w:b/>
          <w:sz w:val="32"/>
          <w:szCs w:val="32"/>
          <w:lang w:val="zh-CN"/>
        </w:rPr>
      </w:pPr>
      <w:r>
        <w:rPr>
          <w:rFonts w:hint="eastAsia" w:eastAsia="楷体_GB2312"/>
          <w:b/>
          <w:sz w:val="32"/>
          <w:szCs w:val="32"/>
          <w:lang w:val="zh-CN"/>
        </w:rPr>
        <w:t>（三）</w:t>
      </w:r>
      <w:r>
        <w:rPr>
          <w:rFonts w:eastAsia="楷体_GB2312"/>
          <w:b/>
          <w:sz w:val="32"/>
          <w:szCs w:val="32"/>
          <w:lang w:val="zh-CN"/>
        </w:rPr>
        <w:t>项目监管情况。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项目工期按时完成验收通过，资金完成拨付，</w:t>
      </w:r>
      <w:r>
        <w:rPr>
          <w:rFonts w:hint="eastAsia" w:ascii="仿宋_GB2312" w:hAnsi="仿宋_GB2312" w:eastAsia="仿宋_GB2312" w:cs="仿宋_GB2312"/>
          <w:sz w:val="32"/>
          <w:szCs w:val="32"/>
        </w:rPr>
        <w:t>工程质量合格率达到100%。</w:t>
      </w:r>
      <w:r>
        <w:rPr>
          <w:rFonts w:hint="eastAsia" w:ascii="仿宋_GB2312" w:hAnsi="仿宋_GB2312" w:eastAsia="仿宋_GB2312" w:cs="仿宋_GB2312"/>
          <w:sz w:val="32"/>
          <w:szCs w:val="32"/>
          <w:lang w:val="zh-CN"/>
        </w:rPr>
        <w:t>无资金结余情况，无违规记录，对照项目计划完成目标。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极大提升公路安全水平，提升人民出行便捷性及人民满意度。</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w:t>
      </w: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spacing w:line="560" w:lineRule="exact"/>
        <w:ind w:firstLine="640" w:firstLineChars="200"/>
        <w:rPr>
          <w:rFonts w:eastAsia="仿宋_GB2312"/>
          <w:kern w:val="0"/>
          <w:sz w:val="32"/>
          <w:szCs w:val="32"/>
        </w:rPr>
      </w:pPr>
      <w:r>
        <w:rPr>
          <w:rFonts w:hint="eastAsia" w:eastAsia="仿宋_GB2312"/>
          <w:kern w:val="0"/>
          <w:sz w:val="32"/>
          <w:szCs w:val="32"/>
        </w:rPr>
        <w:t>交通部门作为行政管理机构，专业技术人员有限，机电运行能力不足，也难以保障本工程庞大系统的长期稳定运行。因此，建议工程实施过程中，积极引导社会第三方力量的积极参与，统筹解决工程建设和运行问题。</w:t>
      </w:r>
    </w:p>
    <w:p>
      <w:pPr>
        <w:pStyle w:val="3"/>
        <w:ind w:left="420"/>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spacing w:line="600" w:lineRule="exact"/>
        <w:ind w:firstLine="640"/>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（农村公路管护）</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为有效支持农村公路发展，确保农村公路路况安全，为我市高质量发展建设共同富裕试验区打下坚实交通基础，按照交通运输厅和市政府要求，根据市级和各县（区）管养的农村公路里程和农村公路2025年路况抽检计划测算，对年初预算预留农村公路日常养护资金552万元进行二次分配，东区14.56万元，西区20万元，仁和区102万元，钒钛高新区2万元，米易县115.28万元，盐边县229.16万元，市公路事业发展中心69万元。</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 项目主要内容。</w:t>
      </w:r>
    </w:p>
    <w:p>
      <w:pPr>
        <w:adjustRightInd w:val="0"/>
        <w:snapToGrid w:val="0"/>
        <w:spacing w:line="600" w:lineRule="exact"/>
        <w:ind w:firstLine="720"/>
        <w:rPr>
          <w:rFonts w:ascii="仿宋_GB2312" w:hAnsi="仿宋_GB2312" w:eastAsia="仿宋_GB2312" w:cs="仿宋_GB2312"/>
          <w:color w:val="000000"/>
          <w:sz w:val="32"/>
          <w:szCs w:val="32"/>
          <w:lang w:val="zh-CN"/>
        </w:rPr>
      </w:pPr>
      <w:r>
        <w:rPr>
          <w:rFonts w:hint="eastAsia" w:ascii="仿宋_GB2312" w:hAnsi="仿宋_GB2312" w:eastAsia="仿宋_GB2312" w:cs="仿宋_GB2312"/>
          <w:sz w:val="32"/>
          <w:szCs w:val="32"/>
          <w:lang w:val="zh-CN"/>
        </w:rPr>
        <w:t>为推进攀枝花市农村公路高质量发展，改善农村交通条件，促进农民增收，助力脱贫攻坚，提升群众幸福感，继续全力打造好“四好农村路”。用于农村公路日常养护经费、农村</w:t>
      </w:r>
      <w:r>
        <w:rPr>
          <w:rFonts w:hint="eastAsia" w:ascii="仿宋_GB2312" w:hAnsi="仿宋_GB2312" w:eastAsia="仿宋_GB2312" w:cs="仿宋_GB2312"/>
          <w:color w:val="000000"/>
          <w:sz w:val="32"/>
          <w:szCs w:val="32"/>
          <w:lang w:val="zh-CN"/>
        </w:rPr>
        <w:t>公路PQI自动化检测经费、农村公路试验抽检。</w:t>
      </w:r>
    </w:p>
    <w:p>
      <w:pPr>
        <w:adjustRightInd w:val="0"/>
        <w:snapToGrid w:val="0"/>
        <w:spacing w:line="60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zh-CN"/>
        </w:rPr>
        <w:t>项目应实现的具体绩效目标，包括目标的量化、细化情况以及项目实施进度计划等。</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）产出指标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数量指标：</w:t>
      </w:r>
      <w:r>
        <w:rPr>
          <w:rFonts w:hint="eastAsia" w:ascii="仿宋_GB2312" w:hAnsi="仿宋_GB2312" w:eastAsia="仿宋_GB2312" w:cs="仿宋_GB2312"/>
          <w:sz w:val="32"/>
          <w:szCs w:val="32"/>
        </w:rPr>
        <w:t>农村公路管护</w:t>
      </w:r>
      <w:r>
        <w:rPr>
          <w:rFonts w:hint="eastAsia" w:ascii="仿宋_GB2312" w:hAnsi="仿宋_GB2312" w:eastAsia="仿宋_GB2312" w:cs="仿宋_GB2312"/>
          <w:sz w:val="32"/>
          <w:szCs w:val="32"/>
          <w:lang w:val="zh-CN"/>
        </w:rPr>
        <w:t>项目，完成率</w:t>
      </w:r>
      <w:r>
        <w:rPr>
          <w:rFonts w:hint="eastAsia" w:ascii="仿宋_GB2312" w:hAnsi="仿宋_GB2312" w:eastAsia="仿宋_GB2312" w:cs="仿宋_GB2312"/>
          <w:sz w:val="32"/>
          <w:szCs w:val="32"/>
        </w:rPr>
        <w:t>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质量指标：建设项目完成验收，工程质量合格率达到100%。</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时效指标：工期按工完成，资金完成拨付。</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）成本指标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安排市级养护工程资金552万元</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）效益指标</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社会效益指标：</w:t>
      </w:r>
      <w:r>
        <w:rPr>
          <w:rFonts w:hint="eastAsia" w:ascii="仿宋_GB2312" w:hAnsi="仿宋_GB2312" w:eastAsia="仿宋_GB2312" w:cs="仿宋_GB2312"/>
          <w:sz w:val="32"/>
          <w:szCs w:val="32"/>
        </w:rPr>
        <w:t>为推进攀枝花市农村公路高质量发展，改善农村交通条件，促进农民增收，助力脱贫攻坚，提升群众幸福感</w:t>
      </w:r>
      <w:r>
        <w:rPr>
          <w:rFonts w:hint="eastAsia" w:ascii="仿宋_GB2312" w:hAnsi="仿宋_GB2312" w:eastAsia="仿宋_GB2312" w:cs="仿宋_GB2312"/>
          <w:sz w:val="32"/>
          <w:szCs w:val="32"/>
          <w:lang w:val="zh-CN"/>
        </w:rPr>
        <w:t>。</w:t>
      </w:r>
    </w:p>
    <w:p>
      <w:pPr>
        <w:adjustRightInd w:val="0"/>
        <w:snapToGrid w:val="0"/>
        <w:spacing w:line="600" w:lineRule="exact"/>
        <w:ind w:left="420" w:left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）满意度指标</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服务对象满意度指标：社会对象满意度</w:t>
      </w:r>
      <w:r>
        <w:rPr>
          <w:rFonts w:hint="eastAsia" w:ascii="仿宋_GB2312" w:hAnsi="仿宋_GB2312" w:eastAsia="仿宋_GB2312" w:cs="仿宋_GB2312"/>
          <w:sz w:val="32"/>
          <w:szCs w:val="32"/>
        </w:rPr>
        <w:t>85%以上。</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分析评价申报内容是否与实际相符，申报目标是否合理可行。</w:t>
      </w:r>
    </w:p>
    <w:p>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结合项目2025年实际需求、相关费用标准及市场价格水平，重点对数量是否合理、投入是否经济、预算测算是否准确、测算过程是否详细、测算依据是否充分等方面进行了评估。评估认为，该项目任务数量基本合理、预算测算过程较为详细、测算依据基本充分、有一定的经济性。</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rPr>
      </w:pPr>
      <w:r>
        <w:rPr>
          <w:rFonts w:eastAsia="仿宋_GB2312"/>
          <w:sz w:val="32"/>
          <w:szCs w:val="32"/>
        </w:rPr>
        <w:t>结合项目实际需求、</w:t>
      </w:r>
      <w:r>
        <w:rPr>
          <w:rFonts w:hint="eastAsia" w:eastAsia="仿宋_GB2312"/>
          <w:sz w:val="32"/>
          <w:szCs w:val="32"/>
        </w:rPr>
        <w:t>完工验收情况等开展自评。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项目设立按固定履行评估论证、申报程序。绩效目标设置于计划期内的任务量、预算安排的资金量基本匹配，绩效目标设置基本科学合理、规范完成。预算项目在规定时间内完成项目入库。</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lang w:val="zh-CN"/>
        </w:rPr>
        <w:t>1．资金计划。</w:t>
      </w:r>
      <w:r>
        <w:rPr>
          <w:rFonts w:hint="eastAsia" w:ascii="仿宋_GB2312" w:hAnsi="仿宋_GB2312" w:eastAsia="仿宋_GB2312" w:cs="仿宋_GB2312"/>
          <w:color w:val="000000"/>
          <w:kern w:val="0"/>
          <w:sz w:val="32"/>
          <w:szCs w:val="32"/>
          <w:shd w:val="clear" w:color="auto" w:fill="FFFFFF"/>
          <w:lang w:val="zh-CN"/>
        </w:rPr>
        <w:t>该项目资金计划</w:t>
      </w:r>
      <w:r>
        <w:rPr>
          <w:rFonts w:hint="eastAsia" w:ascii="仿宋_GB2312" w:hAnsi="仿宋_GB2312" w:eastAsia="仿宋_GB2312" w:cs="仿宋_GB2312"/>
          <w:color w:val="000000"/>
          <w:kern w:val="0"/>
          <w:sz w:val="32"/>
          <w:szCs w:val="32"/>
          <w:shd w:val="clear" w:color="auto" w:fill="FFFFFF"/>
        </w:rPr>
        <w:t>552万元，</w:t>
      </w:r>
      <w:r>
        <w:rPr>
          <w:rFonts w:hint="eastAsia" w:ascii="仿宋_GB2312" w:hAnsi="仿宋_GB2312" w:eastAsia="仿宋_GB2312" w:cs="仿宋_GB2312"/>
          <w:color w:val="000000"/>
          <w:kern w:val="0"/>
          <w:sz w:val="32"/>
          <w:szCs w:val="32"/>
          <w:shd w:val="clear" w:color="auto" w:fill="FFFFFF"/>
          <w:lang w:val="zh-CN"/>
        </w:rPr>
        <w:t>属于市级一般公共预算资金。</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2．资金到位。</w:t>
      </w:r>
      <w:r>
        <w:rPr>
          <w:rFonts w:hint="eastAsia" w:ascii="仿宋_GB2312" w:hAnsi="仿宋_GB2312" w:eastAsia="仿宋_GB2312" w:cs="仿宋_GB2312"/>
          <w:color w:val="000000"/>
          <w:kern w:val="0"/>
          <w:sz w:val="32"/>
          <w:szCs w:val="32"/>
          <w:shd w:val="clear" w:color="auto" w:fill="FFFFFF"/>
          <w:lang w:val="zh-CN"/>
        </w:rPr>
        <w:t>该项目资金实际到位</w:t>
      </w:r>
      <w:r>
        <w:rPr>
          <w:rFonts w:hint="eastAsia" w:ascii="仿宋_GB2312" w:hAnsi="仿宋_GB2312" w:eastAsia="仿宋_GB2312" w:cs="仿宋_GB2312"/>
          <w:color w:val="000000"/>
          <w:kern w:val="0"/>
          <w:sz w:val="32"/>
          <w:szCs w:val="32"/>
          <w:shd w:val="clear" w:color="auto" w:fill="FFFFFF"/>
        </w:rPr>
        <w:t>552万元。</w:t>
      </w:r>
    </w:p>
    <w:p>
      <w:pPr>
        <w:adjustRightInd w:val="0"/>
        <w:snapToGrid w:val="0"/>
        <w:spacing w:line="600" w:lineRule="exact"/>
        <w:ind w:firstLine="72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lang w:val="zh-CN"/>
        </w:rPr>
        <w:t>3．资金使用。</w:t>
      </w:r>
      <w:r>
        <w:rPr>
          <w:rFonts w:hint="eastAsia" w:ascii="仿宋_GB2312" w:hAnsi="仿宋_GB2312" w:eastAsia="仿宋_GB2312" w:cs="仿宋_GB2312"/>
          <w:color w:val="000000"/>
          <w:kern w:val="0"/>
          <w:sz w:val="32"/>
          <w:szCs w:val="32"/>
          <w:shd w:val="clear" w:color="auto" w:fill="FFFFFF"/>
          <w:lang w:val="zh-CN"/>
        </w:rPr>
        <w:t>该项目资金实际支付</w:t>
      </w:r>
      <w:r>
        <w:rPr>
          <w:rFonts w:hint="eastAsia" w:ascii="仿宋_GB2312" w:hAnsi="仿宋_GB2312" w:eastAsia="仿宋_GB2312" w:cs="仿宋_GB2312"/>
          <w:color w:val="000000"/>
          <w:kern w:val="0"/>
          <w:sz w:val="32"/>
          <w:szCs w:val="32"/>
          <w:shd w:val="clear" w:color="auto" w:fill="FFFFFF"/>
        </w:rPr>
        <w:t>552万元，</w:t>
      </w:r>
      <w:r>
        <w:rPr>
          <w:rFonts w:hint="eastAsia" w:ascii="仿宋_GB2312" w:hAnsi="仿宋_GB2312" w:eastAsia="仿宋_GB2312" w:cs="仿宋_GB2312"/>
          <w:color w:val="000000"/>
          <w:kern w:val="0"/>
          <w:sz w:val="32"/>
          <w:szCs w:val="32"/>
          <w:shd w:val="clear" w:color="auto" w:fill="FFFFFF"/>
          <w:lang w:val="zh-CN"/>
        </w:rPr>
        <w:t>支付标准、支付进度、支付依据合规合法、与预算相符，</w:t>
      </w:r>
      <w:r>
        <w:rPr>
          <w:rFonts w:hint="eastAsia" w:ascii="仿宋_GB2312" w:hAnsi="仿宋_GB2312" w:eastAsia="仿宋_GB2312" w:cs="仿宋_GB2312"/>
          <w:color w:val="000000"/>
          <w:kern w:val="0"/>
          <w:sz w:val="32"/>
          <w:szCs w:val="32"/>
          <w:shd w:val="clear" w:color="auto" w:fill="FFFFFF"/>
        </w:rPr>
        <w:t>完成率100%。</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结合项目组织实施管理办法，重点围绕以下内容进行分析评价，并对自评中发现的问题分析说明。</w:t>
      </w:r>
    </w:p>
    <w:p>
      <w:pPr>
        <w:adjustRightInd w:val="0"/>
        <w:snapToGrid w:val="0"/>
        <w:spacing w:line="600" w:lineRule="exact"/>
        <w:ind w:firstLine="321" w:firstLineChars="100"/>
        <w:rPr>
          <w:rFonts w:eastAsia="楷体_GB2312"/>
          <w:b/>
          <w:sz w:val="32"/>
          <w:szCs w:val="32"/>
          <w:lang w:val="zh-CN"/>
        </w:rPr>
      </w:pPr>
      <w:r>
        <w:rPr>
          <w:rFonts w:hint="eastAsia" w:eastAsia="楷体_GB2312"/>
          <w:b/>
          <w:sz w:val="32"/>
          <w:szCs w:val="32"/>
          <w:lang w:val="zh-CN"/>
        </w:rPr>
        <w:t>（一）</w:t>
      </w:r>
      <w:r>
        <w:rPr>
          <w:rFonts w:eastAsia="楷体_GB2312"/>
          <w:b/>
          <w:sz w:val="32"/>
          <w:szCs w:val="32"/>
          <w:lang w:val="zh-CN"/>
        </w:rPr>
        <w:t>项目组织架构及实施流程。</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符合农村公路建设标准符合农村公路建设标准，达到四好农村路省级示范县评定标准和示范乡镇评定标准。</w:t>
      </w:r>
    </w:p>
    <w:p>
      <w:pPr>
        <w:adjustRightInd w:val="0"/>
        <w:snapToGrid w:val="0"/>
        <w:spacing w:line="600" w:lineRule="exact"/>
        <w:ind w:firstLine="642" w:firstLineChars="200"/>
        <w:rPr>
          <w:rFonts w:ascii="楷体" w:hAnsi="楷体" w:eastAsia="楷体" w:cs="楷体"/>
          <w:b/>
          <w:bCs/>
          <w:sz w:val="32"/>
          <w:szCs w:val="32"/>
          <w:lang w:val="zh-CN"/>
        </w:rPr>
      </w:pPr>
      <w:r>
        <w:rPr>
          <w:rFonts w:hint="eastAsia" w:ascii="楷体" w:hAnsi="楷体" w:eastAsia="楷体" w:cs="楷体"/>
          <w:b/>
          <w:bCs/>
          <w:sz w:val="32"/>
          <w:szCs w:val="32"/>
          <w:lang w:val="zh-CN"/>
        </w:rPr>
        <w:t>（二）项目管理情况。</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项目实施遵守相关法律法规；项目调整手续完备；项目合同、验收报告、技术鉴定等资料齐全并及时归档；项目实施的人员条件、场地设备、信息支撑等落实到位</w:t>
      </w:r>
    </w:p>
    <w:p>
      <w:pPr>
        <w:adjustRightInd w:val="0"/>
        <w:snapToGrid w:val="0"/>
        <w:spacing w:line="600" w:lineRule="exact"/>
        <w:ind w:left="720"/>
        <w:rPr>
          <w:rFonts w:eastAsia="楷体_GB2312"/>
          <w:b/>
          <w:sz w:val="32"/>
          <w:szCs w:val="32"/>
          <w:lang w:val="zh-CN"/>
        </w:rPr>
      </w:pPr>
      <w:r>
        <w:rPr>
          <w:rFonts w:hint="eastAsia" w:eastAsia="楷体_GB2312"/>
          <w:b/>
          <w:sz w:val="32"/>
          <w:szCs w:val="32"/>
          <w:lang w:val="zh-CN"/>
        </w:rPr>
        <w:t>（三）</w:t>
      </w:r>
      <w:r>
        <w:rPr>
          <w:rFonts w:eastAsia="楷体_GB2312"/>
          <w:b/>
          <w:sz w:val="32"/>
          <w:szCs w:val="32"/>
          <w:lang w:val="zh-CN"/>
        </w:rPr>
        <w:t>项目监管情况。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640" w:firstLineChars="20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项目工期按时完成验收通过，资金完成拨付，</w:t>
      </w:r>
      <w:r>
        <w:rPr>
          <w:rFonts w:hint="eastAsia" w:ascii="仿宋_GB2312" w:hAnsi="仿宋_GB2312" w:eastAsia="仿宋_GB2312" w:cs="仿宋_GB2312"/>
          <w:sz w:val="32"/>
          <w:szCs w:val="32"/>
        </w:rPr>
        <w:t>工程质量合格率达到100%。</w:t>
      </w:r>
      <w:r>
        <w:rPr>
          <w:rFonts w:hint="eastAsia" w:ascii="仿宋_GB2312" w:hAnsi="仿宋_GB2312" w:eastAsia="仿宋_GB2312" w:cs="仿宋_GB2312"/>
          <w:sz w:val="32"/>
          <w:szCs w:val="32"/>
          <w:lang w:val="zh-CN"/>
        </w:rPr>
        <w:t>无资金结余情况，无违规记录，对照项目计划完成目标。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极大提升公路安全水平，提升人民出行便捷性及人民满意度。</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color w:val="000000"/>
          <w:kern w:val="0"/>
          <w:sz w:val="32"/>
          <w:szCs w:val="32"/>
          <w:shd w:val="clear" w:color="auto" w:fill="FFFFFF"/>
        </w:rPr>
        <w:t>项目设立按固定履行评估论证、申报程序。绩效目标设置于计划期内的任务量、预算安排的资金量基本匹配，绩效目标设置基本科学合理。</w:t>
      </w:r>
      <w:r>
        <w:rPr>
          <w:rFonts w:hint="eastAsia" w:eastAsia="仿宋_GB2312"/>
          <w:sz w:val="32"/>
          <w:szCs w:val="32"/>
          <w:lang w:val="zh-CN"/>
        </w:rPr>
        <w:t>项目的相关管理制度机制健全完善，在项目执行过程中，不存在管理制度有悖于实际的情况，不存在难以操作、无法落地、执行不畅的情况，不存在不能满足实际需求，未及时动态调整的情况。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spacing w:line="560" w:lineRule="exact"/>
        <w:ind w:firstLine="640" w:firstLineChars="200"/>
        <w:rPr>
          <w:rFonts w:eastAsia="仿宋_GB2312"/>
          <w:kern w:val="0"/>
          <w:sz w:val="32"/>
          <w:szCs w:val="32"/>
        </w:rPr>
      </w:pPr>
      <w:r>
        <w:rPr>
          <w:rFonts w:hint="eastAsia" w:eastAsia="仿宋_GB2312"/>
          <w:kern w:val="0"/>
          <w:sz w:val="32"/>
          <w:szCs w:val="32"/>
        </w:rPr>
        <w:t>交通部门作为行政管理机构，专业技术人员有限，机电运行能力不足，也难以保障本工程庞大系统的长期稳定运行。因此，建议工程实施过程中，积极引导社会第三方力量的积极参与，统筹解决工程建设和运行问题。</w:t>
      </w:r>
    </w:p>
    <w:p>
      <w:pPr>
        <w:pStyle w:val="2"/>
        <w:rPr>
          <w:rFonts w:eastAsia="仿宋_GB2312"/>
          <w:kern w:val="0"/>
          <w:sz w:val="32"/>
          <w:szCs w:val="32"/>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spacing w:line="600" w:lineRule="exact"/>
        <w:ind w:firstLine="883"/>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普通国省道养护资金</w:t>
      </w:r>
      <w:r>
        <w:rPr>
          <w:rFonts w:eastAsia="仿宋_GB2312"/>
          <w:sz w:val="32"/>
          <w:szCs w:val="32"/>
          <w:lang w:val="zh-CN"/>
        </w:rPr>
        <w:t>）</w:t>
      </w:r>
    </w:p>
    <w:p>
      <w:pPr>
        <w:spacing w:line="600" w:lineRule="exact"/>
        <w:ind w:firstLine="640"/>
        <w:jc w:val="center"/>
        <w:rPr>
          <w:sz w:val="32"/>
          <w:szCs w:val="32"/>
          <w:lang w:val="zh-CN"/>
        </w:rPr>
      </w:pPr>
    </w:p>
    <w:p>
      <w:pPr>
        <w:adjustRightInd w:val="0"/>
        <w:snapToGrid w:val="0"/>
        <w:spacing w:line="600" w:lineRule="exact"/>
        <w:ind w:firstLine="720"/>
        <w:rPr>
          <w:rFonts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（一）项目基本情况。</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w:t>
      </w:r>
      <w:r>
        <w:rPr>
          <w:rFonts w:hint="eastAsia" w:ascii="仿宋_GB2312" w:hAnsi="仿宋_GB2312" w:eastAsia="仿宋_GB2312" w:cs="仿宋_GB2312"/>
          <w:kern w:val="0"/>
          <w:sz w:val="32"/>
          <w:szCs w:val="32"/>
          <w:shd w:val="clear" w:color="auto" w:fill="FFFFFF"/>
        </w:rPr>
        <w:t>总段作为主管部门，职能职责为：贯彻执行国家、四川省关于公路养护管理的相关法律法规和政策要求；负责日常养护项目立项、资金申报、预算审核、统筹协调等工作；制定项目实施计划和养护标准，指导、监督项目实施单位开展日常养护工作；对项目资金使用、养护质量、实施进度进行全过程监管；组织开展项目绩效评价、验收及成果总结工作。</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2. </w:t>
      </w:r>
      <w:r>
        <w:rPr>
          <w:rFonts w:hint="eastAsia" w:ascii="仿宋_GB2312" w:hAnsi="仿宋_GB2312" w:eastAsia="仿宋_GB2312" w:cs="仿宋_GB2312"/>
          <w:kern w:val="0"/>
          <w:sz w:val="32"/>
          <w:szCs w:val="32"/>
          <w:shd w:val="clear" w:color="auto" w:fill="FFFFFF"/>
        </w:rPr>
        <w:t>依据《中华人民共和国公路法》、《四川省普通国省道日常养护管理办法》及《四川省普通国省道养护预算编制办法》的相关规定，结合全省普通国省道路网现状、养护需求及上年度项目实施情况，开展项目立项及资金申报工作，确保立项合规、资金申报有据可依。</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明确资金使用范围、审批流程、监督检查等要求，确保资金专款专用。资金支持条件为纳入总段管养范围的普通国省道及附属设施，且符合养护技术规范要求的养护项目；支持范围涵盖路基、路面、桥梁、涵洞、隧道、交通安全设施、机电设施等的日常保养、维修及应急养护工作；支持方式采用 “预算切块、专款专用、据实报销” 模式，根据各养护单位管养里程、养护难度及年度养护计划分配资金。</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 资金分配遵循 “公平公正、按需分配、突出重点、注重效益” 原则。</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考虑因素包括：一是管养里程，按各养护单位实际管养的国省道里程进行基础分配；二是养护难度，结合道路技术等级、地形地貌、交通流量、病害发生率等因素调整分配比例；三是年度重点任务，对灾害多发路段、桥梁隧道等关键设施养护及应急保通工作给予倾斜；四是上年度绩效评价结果，将绩效评价等级与资金分配挂钩，激励养护单位提升养护质量和资金使用效益。</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（二）项目绩效目标。</w:t>
      </w:r>
    </w:p>
    <w:p>
      <w:pPr>
        <w:adjustRightInd w:val="0"/>
        <w:snapToGrid w:val="0"/>
        <w:spacing w:line="600"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 项目主要内容。</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kern w:val="0"/>
          <w:sz w:val="32"/>
          <w:szCs w:val="32"/>
          <w:shd w:val="clear" w:color="auto" w:fill="FFFFFF"/>
        </w:rPr>
        <w:t>总段管养公路总里程417.634公里，其中，国道3条（G108、G227、G353），共计292.73公里，省道4条（S218、S221、S465、S471）共计123.904公里；管养桥梁8834.2延米/113座；管养隧道4164延米/3道。项目内容包括：路基、路面、桥梁、涵洞、隧道、交通安全设施、机电设施、管理服务设施、绿化与环境保护设施的日常保养和日常维修；应急养护（暴雨、冰雪等恶劣天气下的道路抢通保通、小型灾害处置）；养护巡查信息化保障及养护档案整理等。</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 完成417.634公里公路日常养护、对</w:t>
      </w:r>
      <w:r>
        <w:rPr>
          <w:rFonts w:hint="eastAsia" w:ascii="仿宋_GB2312" w:hAnsi="仿宋_GB2312" w:eastAsia="仿宋_GB2312" w:cs="仿宋_GB2312"/>
          <w:sz w:val="32"/>
          <w:szCs w:val="32"/>
        </w:rPr>
        <w:t>42.155公里的普通国省道进行公路病害自治，加铺沥青混凝土路面，更换安防设施，施划路面标线等，</w:t>
      </w:r>
      <w:r>
        <w:rPr>
          <w:rFonts w:hint="eastAsia" w:ascii="仿宋_GB2312" w:hAnsi="仿宋_GB2312" w:eastAsia="仿宋_GB2312" w:cs="仿宋_GB2312"/>
          <w:sz w:val="32"/>
          <w:szCs w:val="32"/>
          <w:lang w:val="zh-CN"/>
        </w:rPr>
        <w:t>实现养护覆盖率100%；完成113座桥梁、3道隧道定期检查及养护，确保普通国道PQI值达到90，普通国省道一、二类桥梁占比90%以上。</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 申报内容与实际管养需求相符，全面覆盖了总段管养范围内的公路、桥梁、隧道及附属设施的养护需求，应急养护等内容贴合区域内暴雨、冰雪等恶劣天气多发的实际情况。申报目标基于管养里程、技术标准及历年养护数据制定，量化指标明确，质量、时效、成本等目标均符合行业规范及实际执行能力，具有较强的合理性和可行性。</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（三）项目自评步骤及方法。</w:t>
      </w:r>
    </w:p>
    <w:p>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自评步骤：一是成立自评工作小组，由总段财务科、养护科、实验室等部门人员组成，明确职责分工；二是收集整理资料，包括项目立项文件、预算批复、资金使用凭证、养护合同、验收报告、巡查记录等；三是对照绩效目标，逐项核查项目完成情况、资金使用情况及效益实现情况；四是分析存在的问题，形成初步自评结论；五是撰写自评报告，征求相关科室及养护单位意见后修改完善，最终定稿上报。</w:t>
      </w:r>
    </w:p>
    <w:p>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自评方法：采用“定量与定性相结合、资料核查与实地抽查相结合”的方法。定量分析主要针对养护里程、资金使用率等可量化指标，通过数据对比评价目标完成度；定性分析主要围绕项目管理、社会效益、公众满意度等方面，结合实地检查进行综合评价。同时，参照《四川省财政支出绩效评价管理办法》及行业相关标准，确保自评结果客观公正。</w:t>
      </w:r>
    </w:p>
    <w:p>
      <w:pPr>
        <w:adjustRightInd w:val="0"/>
        <w:snapToGrid w:val="0"/>
        <w:spacing w:line="600" w:lineRule="exact"/>
        <w:ind w:firstLine="720"/>
        <w:rPr>
          <w:rFonts w:ascii="黑体" w:hAnsi="黑体" w:eastAsia="黑体" w:cs="黑体"/>
          <w:sz w:val="32"/>
          <w:szCs w:val="32"/>
        </w:rPr>
      </w:pPr>
      <w:r>
        <w:rPr>
          <w:rFonts w:hint="eastAsia" w:ascii="黑体" w:hAnsi="黑体" w:eastAsia="黑体" w:cs="黑体"/>
          <w:sz w:val="32"/>
          <w:szCs w:val="32"/>
        </w:rPr>
        <w:t>二、项目资金申报及使用情况</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（一）项目资金申报及批复情况。</w:t>
      </w:r>
    </w:p>
    <w:p>
      <w:pPr>
        <w:ind w:firstLine="640" w:firstLineChars="200"/>
        <w:rPr>
          <w:rFonts w:ascii="仿宋_GB2312" w:eastAsia="仿宋_GB2312"/>
          <w:sz w:val="32"/>
          <w:szCs w:val="32"/>
        </w:rPr>
      </w:pPr>
      <w:r>
        <w:rPr>
          <w:rFonts w:hint="eastAsia" w:ascii="仿宋_GB2312" w:eastAsia="仿宋_GB2312"/>
          <w:sz w:val="32"/>
          <w:szCs w:val="32"/>
          <w:lang w:val="zh-CN"/>
        </w:rPr>
        <w:t>申报项目预算金额为</w:t>
      </w:r>
      <w:r>
        <w:rPr>
          <w:rFonts w:hint="eastAsia" w:ascii="仿宋_GB2312" w:hAnsi="宋体" w:eastAsia="仿宋_GB2312"/>
          <w:sz w:val="32"/>
          <w:szCs w:val="32"/>
        </w:rPr>
        <w:t>4400</w:t>
      </w:r>
      <w:r>
        <w:rPr>
          <w:rFonts w:hint="eastAsia" w:ascii="仿宋_GB2312" w:eastAsia="仿宋_GB2312"/>
          <w:sz w:val="32"/>
          <w:szCs w:val="32"/>
          <w:lang w:val="zh-CN"/>
        </w:rPr>
        <w:t>万元，其中</w:t>
      </w:r>
      <w:r>
        <w:rPr>
          <w:rFonts w:hint="eastAsia" w:ascii="仿宋_GB2312" w:eastAsia="仿宋_GB2312"/>
          <w:sz w:val="32"/>
          <w:szCs w:val="32"/>
        </w:rPr>
        <w:t>3600万元</w:t>
      </w:r>
      <w:r>
        <w:rPr>
          <w:rFonts w:hint="eastAsia" w:ascii="仿宋_GB2312" w:eastAsia="仿宋_GB2312"/>
          <w:sz w:val="32"/>
          <w:szCs w:val="32"/>
          <w:lang w:val="zh-CN"/>
        </w:rPr>
        <w:t>资金来源为市级财政资金，</w:t>
      </w:r>
      <w:r>
        <w:rPr>
          <w:rFonts w:hint="eastAsia" w:ascii="仿宋_GB2312" w:eastAsia="仿宋_GB2312"/>
          <w:sz w:val="32"/>
          <w:szCs w:val="32"/>
        </w:rPr>
        <w:t>800万元资金来源为省级财政资金</w:t>
      </w:r>
      <w:r>
        <w:rPr>
          <w:rFonts w:hint="eastAsia" w:ascii="仿宋_GB2312" w:eastAsia="仿宋_GB2312"/>
          <w:sz w:val="32"/>
          <w:szCs w:val="32"/>
          <w:lang w:val="zh-CN"/>
        </w:rPr>
        <w:t>。财政批复金额为</w:t>
      </w:r>
      <w:r>
        <w:rPr>
          <w:rFonts w:hint="eastAsia" w:ascii="仿宋_GB2312" w:hAnsi="宋体" w:eastAsia="仿宋_GB2312"/>
          <w:sz w:val="32"/>
          <w:szCs w:val="32"/>
        </w:rPr>
        <w:t>4400</w:t>
      </w:r>
      <w:r>
        <w:rPr>
          <w:rFonts w:hint="eastAsia" w:ascii="仿宋_GB2312" w:eastAsia="仿宋_GB2312"/>
          <w:sz w:val="32"/>
          <w:szCs w:val="32"/>
        </w:rPr>
        <w:t>万元,</w:t>
      </w:r>
      <w:r>
        <w:rPr>
          <w:rFonts w:hint="eastAsia" w:ascii="仿宋_GB2312" w:eastAsia="仿宋_GB2312"/>
          <w:sz w:val="32"/>
          <w:szCs w:val="32"/>
          <w:lang w:val="zh-CN"/>
        </w:rPr>
        <w:t>符合资金管理办法等相关规定。</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（二）资金计划、到位及使用情况（可用表格形式反映）。</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根据财政下达预算，资金的实际支出与预算一致，资金开支范围符合项目申报范围、支付进度及时，支付依据合规合法，资金支付与预算相符。</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（三）项目财务管理情况。</w:t>
      </w:r>
    </w:p>
    <w:p>
      <w:pPr>
        <w:widowControl/>
        <w:adjustRightInd w:val="0"/>
        <w:snapToGrid w:val="0"/>
        <w:spacing w:line="580" w:lineRule="exact"/>
        <w:ind w:firstLine="640" w:firstLineChars="200"/>
        <w:contextualSpacing/>
        <w:jc w:val="left"/>
        <w:rPr>
          <w:rFonts w:ascii="仿宋_GB2312" w:hAnsi="宋体" w:eastAsia="仿宋_GB2312"/>
          <w:sz w:val="32"/>
          <w:szCs w:val="32"/>
          <w:lang w:val="zh-CN"/>
        </w:rPr>
      </w:pPr>
      <w:r>
        <w:rPr>
          <w:rFonts w:hint="eastAsia" w:ascii="仿宋_GB2312" w:hAnsi="宋体" w:eastAsia="仿宋_GB2312"/>
          <w:sz w:val="32"/>
          <w:szCs w:val="32"/>
          <w:lang w:val="zh-CN"/>
        </w:rPr>
        <w:t>我单位财务管理制度健全，人员配置满足工作需求，账务处理及时，会计核算严格按照法律法规、行业规定、单位规章制度等执行。</w:t>
      </w:r>
    </w:p>
    <w:p>
      <w:pPr>
        <w:adjustRightInd w:val="0"/>
        <w:snapToGrid w:val="0"/>
        <w:spacing w:line="600" w:lineRule="exact"/>
        <w:ind w:firstLine="720"/>
        <w:rPr>
          <w:rFonts w:ascii="黑体" w:hAnsi="黑体" w:eastAsia="黑体" w:cs="黑体"/>
          <w:sz w:val="32"/>
          <w:szCs w:val="32"/>
        </w:rPr>
      </w:pPr>
      <w:r>
        <w:rPr>
          <w:rFonts w:hint="eastAsia" w:ascii="黑体" w:hAnsi="黑体" w:eastAsia="黑体" w:cs="黑体"/>
          <w:sz w:val="32"/>
          <w:szCs w:val="32"/>
        </w:rPr>
        <w:t>三、项目实施及管理情况</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（一）项目组织架构及实施流程。</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组织架构：“总段统筹、科室监管、养护单位具体实施”的三级组织架构，职责分工明确，协作高效。</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实施流程：严格遵循“立项审批→招投标→施工准备→现场施工→质量监督→竣工验收→资料归档” 的项目建设基本程序，各环节衔接有序，流程规范。</w:t>
      </w:r>
    </w:p>
    <w:p>
      <w:pPr>
        <w:adjustRightInd w:val="0"/>
        <w:snapToGrid w:val="0"/>
        <w:spacing w:line="600" w:lineRule="exact"/>
        <w:ind w:firstLine="720"/>
        <w:rPr>
          <w:rFonts w:ascii="楷体" w:hAnsi="楷体" w:eastAsia="楷体" w:cs="楷体"/>
          <w:sz w:val="32"/>
          <w:szCs w:val="32"/>
          <w:lang w:val="zh-CN"/>
        </w:rPr>
      </w:pPr>
      <w:r>
        <w:rPr>
          <w:rFonts w:hint="eastAsia" w:ascii="楷体" w:hAnsi="楷体" w:eastAsia="楷体" w:cs="楷体"/>
          <w:b/>
          <w:sz w:val="32"/>
          <w:szCs w:val="32"/>
          <w:lang w:val="zh-CN"/>
        </w:rPr>
        <w:t>（二）项目管理情况。</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对于金额达到招投标标准的养护工程，均采取公开招标方式确定施工单位，招标过程公开、公平、公正，全程接受监督；对于小额零星工程，采用竞争性谈判等方式选择施工单位，确保选择优质高效的合作方。项目实施过程中，严格执行合同管理制，明确双方权利义务，规范工程质量、进度、价款支付等条款；建立健全质量管理制度，养护单位进行过程监督，总段开展不定期抽查，确保工程质量符合标准。</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（三）项目监管情况。</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为加强项目管理，总段采取“日常巡查+专项检查+半年、年终考核”的全方位监管模式。日常巡查方面，总段采取不定期开展现场巡查，重点检查养护质量、安全管理等情况，发现问题及时下达整改通知书，限期整改并跟踪复查；专项检查方面，针对桥梁隧道养护、应急处置等重点工作，开展专项检查，确保关键环节监管到位；半年、年终考核方面，结合日常巡查结果及绩效目标完成情况，对各养护单位进行考核，考核结果与资金分配、评优评先挂钩。同时，建立投诉举报机制，公布监督电话及邮箱，接受社会公众对公路养护工作的监督。通过多层次、多维度的监管手段，有效保障了项目养护质量和资金使用效益，全年未出现重大质量安全事故及违规使用资金情况。</w:t>
      </w:r>
    </w:p>
    <w:p>
      <w:pPr>
        <w:adjustRightInd w:val="0"/>
        <w:snapToGrid w:val="0"/>
        <w:spacing w:line="600" w:lineRule="exact"/>
        <w:ind w:firstLine="720"/>
        <w:rPr>
          <w:rFonts w:ascii="黑体" w:hAnsi="黑体" w:eastAsia="黑体" w:cs="黑体"/>
          <w:sz w:val="32"/>
          <w:szCs w:val="32"/>
        </w:rPr>
      </w:pPr>
      <w:r>
        <w:rPr>
          <w:rFonts w:hint="eastAsia" w:ascii="黑体" w:hAnsi="黑体" w:eastAsia="黑体" w:cs="黑体"/>
          <w:sz w:val="32"/>
          <w:szCs w:val="32"/>
        </w:rPr>
        <w:t>四、项目绩效情况</w:t>
      </w:r>
      <w:r>
        <w:rPr>
          <w:rFonts w:hint="eastAsia" w:ascii="黑体" w:hAnsi="黑体" w:eastAsia="黑体" w:cs="黑体"/>
          <w:sz w:val="32"/>
          <w:szCs w:val="32"/>
        </w:rPr>
        <w:tab/>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（一）项目完成情况。</w:t>
      </w:r>
    </w:p>
    <w:p>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sz w:val="32"/>
          <w:szCs w:val="32"/>
        </w:rPr>
        <w:t>本年度完成417.634公里公路日常养护，</w:t>
      </w:r>
      <w:r>
        <w:rPr>
          <w:rFonts w:hint="eastAsia" w:ascii="仿宋_GB2312" w:hAnsi="仿宋_GB2312" w:eastAsia="仿宋_GB2312" w:cs="仿宋_GB2312"/>
          <w:sz w:val="32"/>
          <w:szCs w:val="32"/>
          <w:lang w:val="zh-CN"/>
        </w:rPr>
        <w:t>对</w:t>
      </w:r>
      <w:r>
        <w:rPr>
          <w:rFonts w:hint="eastAsia" w:ascii="仿宋_GB2312" w:hAnsi="仿宋_GB2312" w:eastAsia="仿宋_GB2312" w:cs="仿宋_GB2312"/>
          <w:sz w:val="32"/>
          <w:szCs w:val="32"/>
        </w:rPr>
        <w:t>42.155公里的普通国省道进行公路病害自治，加铺沥青混凝土路面，更换安防设施，施划路面标线等，养护覆盖率100%；项目整体绩效目标基本达成，普通国道PQI值达到90.649，路面优良率达到100%，</w:t>
      </w:r>
      <w:r>
        <w:rPr>
          <w:rFonts w:hint="eastAsia" w:ascii="仿宋_GB2312" w:hAnsi="仿宋_GB2312" w:eastAsia="仿宋_GB2312" w:cs="仿宋_GB2312"/>
          <w:sz w:val="32"/>
          <w:szCs w:val="32"/>
          <w:lang w:val="zh-CN"/>
        </w:rPr>
        <w:t>普通国省道一、二类桥梁占比达到97.34%，</w:t>
      </w:r>
      <w:r>
        <w:rPr>
          <w:rFonts w:hint="eastAsia" w:ascii="仿宋_GB2312" w:hAnsi="仿宋_GB2312" w:eastAsia="仿宋_GB2312" w:cs="仿宋_GB2312"/>
          <w:sz w:val="32"/>
          <w:szCs w:val="32"/>
        </w:rPr>
        <w:t>完成了既定的目标任务。大部分养护任务能够按照年度计划按时完成，应急处置任务响应及时、处置高效，无超时完成情况。</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（二）项目效益情况。</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经济效益：通过日常养护及应急保通，有效提升了道路通行能力和通行效率，减少了因道路病害、交通拥堵造成的运输成本增加。</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社会效益：养护后的道路通行条件显著改善，有效保障了人民群众生命财产安全；应急养护的及时开展，在暴雨、冰雪等灾害天气中保障了道路畅通，维护了社会正常秩序。</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生态效益：养护过程中严格落实环保要求，采用环保型养护材料，减少了对周边土壤、水源的污染；对道路沿线绿化设施进行补植和养护，提升了道路生态景观效果，改善了区域生态环境；</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可持续效益：建立了“巡查-养护-验收-考核”的长效养护机制，定期对道路及附属设施进行养护维修，延长了公路使用寿命，保障了公路网的可持续运行；养护信息化建设的推进，提升了养护管理的科学化、精细化水平，为后续养护工作提供了数据支撑和经验借鉴；通过开展养护技术培训，提升了养护人员专业能力，为公路养护事业可持续发展储备了人才。</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服务对象满意度：社会公众认可或预期服务对象受益，对道路通行安全的认可度显著提高。</w:t>
      </w:r>
    </w:p>
    <w:p>
      <w:pPr>
        <w:adjustRightInd w:val="0"/>
        <w:snapToGrid w:val="0"/>
        <w:spacing w:line="600" w:lineRule="exact"/>
        <w:ind w:firstLine="720"/>
        <w:rPr>
          <w:rFonts w:ascii="黑体" w:hAnsi="黑体" w:eastAsia="黑体" w:cs="黑体"/>
          <w:sz w:val="32"/>
          <w:szCs w:val="32"/>
        </w:rPr>
      </w:pPr>
      <w:r>
        <w:rPr>
          <w:rFonts w:hint="eastAsia" w:ascii="黑体" w:hAnsi="黑体" w:eastAsia="黑体" w:cs="黑体"/>
          <w:sz w:val="32"/>
          <w:szCs w:val="32"/>
        </w:rPr>
        <w:t>五、评价结论及建议</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（一）评价结论。</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本项目严格按照立项要求及预算安排组织实施，项目管理规范有序，资金使用安全高效，各项绩效目标均已完成或超额完成。项目的实施有效提升了普通国省道的通行能力和服务水平，取得了显著的经济效益、社会效益、生态效益及可持续效益，服务对象满意度较高。综合评价，该项目绩效等级为 “优秀”。</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（二）存在的问题。</w:t>
      </w:r>
    </w:p>
    <w:p>
      <w:pPr>
        <w:adjustRightInd w:val="0"/>
        <w:snapToGrid w:val="0"/>
        <w:spacing w:line="600" w:lineRule="exact"/>
        <w:ind w:firstLine="640" w:firstLineChars="200"/>
        <w:rPr>
          <w:rFonts w:hint="eastAsia" w:ascii="仿宋_GB2312" w:hAnsi="宋体" w:eastAsia="仿宋_GB2312"/>
          <w:sz w:val="32"/>
          <w:szCs w:val="32"/>
          <w:lang w:val="zh-CN"/>
        </w:rPr>
      </w:pPr>
      <w:r>
        <w:rPr>
          <w:rFonts w:hint="eastAsia" w:ascii="仿宋" w:hAnsi="仿宋" w:eastAsia="仿宋" w:cs="仿宋"/>
          <w:sz w:val="32"/>
          <w:szCs w:val="32"/>
          <w:lang w:val="zh-CN"/>
        </w:rPr>
        <w:tab/>
      </w:r>
      <w:r>
        <w:rPr>
          <w:rFonts w:hint="eastAsia" w:ascii="仿宋_GB2312" w:hAnsi="宋体" w:eastAsia="仿宋_GB2312"/>
          <w:sz w:val="32"/>
          <w:szCs w:val="32"/>
          <w:lang w:val="zh-CN"/>
        </w:rPr>
        <w:t>养护信息化水平有待提升：目前养护巡查仍部分依赖人工记录，信息化监测设备覆盖率不足，数据收集、分析及共享效率不高，难以实现养护工作的精准化管理；应急养护物资储备种类单一，在应对突发灾害时，影响应急处置效率。</w:t>
      </w:r>
    </w:p>
    <w:p>
      <w:pPr>
        <w:adjustRightInd w:val="0"/>
        <w:snapToGrid w:val="0"/>
        <w:spacing w:line="600" w:lineRule="exact"/>
        <w:ind w:firstLine="720"/>
        <w:rPr>
          <w:rFonts w:ascii="楷体" w:hAnsi="楷体" w:eastAsia="楷体" w:cs="楷体"/>
          <w:b/>
          <w:sz w:val="32"/>
          <w:szCs w:val="32"/>
          <w:lang w:val="zh-CN"/>
        </w:rPr>
      </w:pPr>
      <w:r>
        <w:rPr>
          <w:rFonts w:hint="eastAsia" w:ascii="楷体" w:hAnsi="楷体" w:eastAsia="楷体" w:cs="楷体"/>
          <w:b/>
          <w:sz w:val="32"/>
          <w:szCs w:val="32"/>
          <w:lang w:val="zh-CN"/>
        </w:rPr>
        <w:t>（三）相关建议。</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提升养护信息化水平：加大信息化建设投入，购置无人机巡查设备、路面状况监测传感器等硬件设施，搭建公路养护信息化管理平台，实现养护巡查、病害上报、任务派发、进度跟踪、数据统计等全流程信息化管理，提升养护决策的科学性和精准性。同时，加强信息化技术培训，提升养护人员操作能力。</w:t>
      </w:r>
    </w:p>
    <w:p>
      <w:pPr>
        <w:widowControl/>
        <w:adjustRightInd w:val="0"/>
        <w:snapToGrid w:val="0"/>
        <w:spacing w:line="580" w:lineRule="exact"/>
        <w:ind w:firstLine="640" w:firstLineChars="200"/>
        <w:contextualSpacing/>
        <w:jc w:val="left"/>
        <w:rPr>
          <w:rFonts w:hint="eastAsia" w:ascii="仿宋_GB2312" w:hAnsi="宋体" w:eastAsia="仿宋_GB2312"/>
          <w:sz w:val="32"/>
          <w:szCs w:val="32"/>
          <w:lang w:val="zh-CN"/>
        </w:rPr>
      </w:pPr>
      <w:r>
        <w:rPr>
          <w:rFonts w:hint="eastAsia" w:ascii="仿宋_GB2312" w:hAnsi="宋体" w:eastAsia="仿宋_GB2312"/>
          <w:sz w:val="32"/>
          <w:szCs w:val="32"/>
          <w:lang w:val="zh-CN"/>
        </w:rPr>
        <w:t>优化应急养护物资储备：结合区域灾害特点及道路分布情况，充实储备物资种类和数量，建立物资动态管理机制，定期检查更新物资，确保应急时能够快速调配。</w:t>
      </w:r>
    </w:p>
    <w:p>
      <w:pPr>
        <w:rPr>
          <w:rFonts w:eastAsia="仿宋_GB2312"/>
          <w:sz w:val="32"/>
          <w:szCs w:val="32"/>
        </w:rPr>
      </w:pPr>
      <w:r>
        <w:rPr>
          <w:rFonts w:eastAsia="仿宋_GB2312"/>
          <w:sz w:val="32"/>
          <w:szCs w:val="32"/>
        </w:rPr>
        <w:t xml:space="preserve">  </w:t>
      </w: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adjustRightInd w:val="0"/>
        <w:snapToGrid w:val="0"/>
        <w:spacing w:line="600" w:lineRule="exact"/>
        <w:ind w:firstLine="720"/>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(普通公路及其附属设施养护维修）</w:t>
      </w: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总段职能职责为：公路（含桥梁与隧道）日常养护、养护工程管理、公路灾害抢修与应急抢险保通、灾后恢复工程建设、公路养护质量监督检查与路况评定、公路绿化、公路行业统计、公路行业普查、公路数据库建设与维护、公路交通量调查、四新技术运用、公路信息化建设、公路养护节能减排及环保工作监督指导、国省干线战备保障、国省干线公路迎接上级政府目标绩效考核工作和上级临时安排的任务。</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2.项目立项、资金申报的依据：我单位按照市交通运输局《关于批复</w:t>
      </w:r>
      <w:r>
        <w:rPr>
          <w:rFonts w:hint="eastAsia" w:ascii="仿宋_GB2312" w:hAnsi="仿宋_GB2312" w:eastAsia="仿宋_GB2312" w:cs="仿宋_GB2312"/>
          <w:sz w:val="32"/>
          <w:szCs w:val="32"/>
        </w:rPr>
        <w:t>G353盐边县红格镇（烂田河桥烂坝）段中修工程的通知</w:t>
      </w:r>
      <w:r>
        <w:rPr>
          <w:rFonts w:hint="eastAsia" w:ascii="仿宋_GB2312" w:hAnsi="仿宋_GB2312" w:eastAsia="仿宋_GB2312" w:cs="仿宋_GB2312"/>
          <w:sz w:val="32"/>
          <w:szCs w:val="32"/>
          <w:lang w:val="zh-CN"/>
        </w:rPr>
        <w:t>》（攀交函〔</w:t>
      </w:r>
      <w:r>
        <w:rPr>
          <w:rFonts w:hint="eastAsia" w:ascii="仿宋_GB2312" w:hAnsi="仿宋_GB2312" w:eastAsia="仿宋_GB2312" w:cs="仿宋_GB2312"/>
          <w:sz w:val="32"/>
          <w:szCs w:val="32"/>
        </w:rPr>
        <w:t>2023〕217号</w:t>
      </w:r>
      <w:r>
        <w:rPr>
          <w:rFonts w:hint="eastAsia" w:ascii="仿宋_GB2312" w:hAnsi="仿宋_GB2312" w:eastAsia="仿宋_GB2312" w:cs="仿宋_GB2312"/>
          <w:sz w:val="32"/>
          <w:szCs w:val="32"/>
          <w:lang w:val="zh-CN"/>
        </w:rPr>
        <w:t>）等文件</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val="zh-CN"/>
        </w:rPr>
        <w:t>对</w:t>
      </w:r>
      <w:r>
        <w:rPr>
          <w:rFonts w:hint="eastAsia" w:ascii="仿宋_GB2312" w:hAnsi="仿宋_GB2312" w:eastAsia="仿宋_GB2312" w:cs="仿宋_GB2312"/>
          <w:sz w:val="32"/>
          <w:szCs w:val="32"/>
        </w:rPr>
        <w:t>G353盐边县红格镇（烂田河桥烂坝）段等工程项目建设工作。</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资金支持条件为纳入总段管养范围的普通道路及附属设施，且符合养护技术规范要求的养护项目。支持范围涵盖路基、路面、桥梁、涵洞、隧道、交通安全设施、机电设施等的日常保养、维修及应急养护工作；支持方式采用 “预算切块、专款专用、据实报销” 模式。</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4.资金分配遵循 “公平公正、按需分配、突出重点、注重效益” 原则。</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考虑因素包括：一是管养里程；二是养护难度，结合道路技术等级、地形地貌、交通流量、病害发生率等因素调整分配比例；三是年度重点任务，对灾害多发路段、桥梁隧道等关键设施养护及应急保通工作给予倾斜；四是上年度绩效评价结果，将绩效评价等级与资金分配挂钩。</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项目实施后，既定目标能够按期实现，并产生较好的效益。能够极大提升我市综合交通枢纽水平，恢复公路通行能力，确保公路运输安全，较大程度有助于提升城市形象，改善区域环境，提升交通运输服务水平。</w:t>
      </w:r>
    </w:p>
    <w:p>
      <w:pPr>
        <w:adjustRightInd w:val="0"/>
        <w:snapToGrid w:val="0"/>
        <w:spacing w:line="600" w:lineRule="exact"/>
        <w:ind w:firstLine="720"/>
        <w:rPr>
          <w:rFonts w:eastAsia="仿宋_GB2312"/>
          <w:sz w:val="32"/>
          <w:szCs w:val="32"/>
          <w:lang w:val="zh-CN"/>
        </w:rPr>
      </w:pPr>
      <w:r>
        <w:rPr>
          <w:rFonts w:eastAsia="仿宋_GB2312"/>
          <w:sz w:val="32"/>
          <w:szCs w:val="32"/>
          <w:lang w:val="zh-CN"/>
        </w:rPr>
        <w:t>经核实，</w:t>
      </w:r>
      <w:r>
        <w:rPr>
          <w:rFonts w:hint="eastAsia" w:eastAsia="仿宋_GB2312"/>
          <w:sz w:val="32"/>
          <w:szCs w:val="32"/>
          <w:lang w:val="zh-CN"/>
        </w:rPr>
        <w:t>项目申报内容与具体实施内容相符、申报目标合理可行</w:t>
      </w:r>
      <w:r>
        <w:rPr>
          <w:rFonts w:eastAsia="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结合项目推动工作实际情况，我单位成立了绩效自评工作组，明确工作组职责，制定自评工作方案，明确自评范围、内容、流程、时间节点及工作要求，确保自评工作有序推进。</w:t>
      </w:r>
    </w:p>
    <w:p>
      <w:pPr>
        <w:adjustRightInd w:val="0"/>
        <w:snapToGrid w:val="0"/>
        <w:spacing w:line="60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2.评价方法：查阅立项文件、预算资料、财务凭证、工作总结等，对项目实施现场、成果开展实地查验，对比预算与实际、目标与完成情况，核算绩效指标完成率，与项目实施人员、受益对象、相关单位开展座谈，了解项目实施成效及存在问题。形成自评报告，征求相关意见并修改完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ind w:firstLine="640" w:firstLineChars="200"/>
        <w:rPr>
          <w:rFonts w:ascii="仿宋_GB2312" w:eastAsia="仿宋_GB2312"/>
          <w:sz w:val="32"/>
          <w:szCs w:val="32"/>
        </w:rPr>
      </w:pPr>
      <w:r>
        <w:rPr>
          <w:rFonts w:hint="eastAsia" w:ascii="仿宋_GB2312" w:hAnsi="仿宋_GB2312" w:eastAsia="仿宋_GB2312" w:cs="仿宋_GB2312"/>
          <w:sz w:val="32"/>
          <w:szCs w:val="32"/>
          <w:lang w:val="zh-CN"/>
        </w:rPr>
        <w:t>申报项目预算金额为</w:t>
      </w:r>
      <w:r>
        <w:rPr>
          <w:rFonts w:hint="eastAsia" w:ascii="仿宋_GB2312" w:hAnsi="仿宋_GB2312" w:eastAsia="仿宋_GB2312" w:cs="仿宋_GB2312"/>
          <w:sz w:val="32"/>
          <w:szCs w:val="32"/>
        </w:rPr>
        <w:t>4197.46</w:t>
      </w:r>
      <w:r>
        <w:rPr>
          <w:rFonts w:hint="eastAsia" w:ascii="仿宋_GB2312" w:hAnsi="仿宋_GB2312" w:eastAsia="仿宋_GB2312" w:cs="仿宋_GB2312"/>
          <w:sz w:val="32"/>
          <w:szCs w:val="32"/>
          <w:lang w:val="zh-CN"/>
        </w:rPr>
        <w:t>万元，资金来源为</w:t>
      </w:r>
      <w:r>
        <w:rPr>
          <w:rFonts w:hint="eastAsia" w:ascii="仿宋_GB2312" w:hAnsi="仿宋_GB2312" w:eastAsia="仿宋_GB2312" w:cs="仿宋_GB2312"/>
          <w:sz w:val="32"/>
          <w:szCs w:val="32"/>
        </w:rPr>
        <w:t>中央补助</w:t>
      </w:r>
      <w:r>
        <w:rPr>
          <w:rFonts w:hint="eastAsia" w:ascii="仿宋_GB2312" w:hAnsi="仿宋_GB2312" w:eastAsia="仿宋_GB2312" w:cs="仿宋_GB2312"/>
          <w:sz w:val="32"/>
          <w:szCs w:val="32"/>
          <w:lang w:val="zh-CN"/>
        </w:rPr>
        <w:t>和地方财政资金，</w:t>
      </w:r>
      <w:r>
        <w:rPr>
          <w:rFonts w:hint="eastAsia" w:ascii="仿宋_GB2312" w:eastAsia="仿宋_GB2312"/>
          <w:sz w:val="32"/>
          <w:szCs w:val="32"/>
          <w:lang w:val="zh-CN"/>
        </w:rPr>
        <w:t>财政批复金额为</w:t>
      </w:r>
      <w:r>
        <w:rPr>
          <w:rFonts w:hint="eastAsia" w:ascii="仿宋_GB2312" w:hAnsi="仿宋_GB2312" w:eastAsia="仿宋_GB2312" w:cs="仿宋_GB2312"/>
          <w:sz w:val="32"/>
          <w:szCs w:val="32"/>
        </w:rPr>
        <w:t>4197.46</w:t>
      </w:r>
      <w:r>
        <w:rPr>
          <w:rFonts w:hint="eastAsia" w:ascii="仿宋_GB2312" w:eastAsia="仿宋_GB2312"/>
          <w:sz w:val="32"/>
          <w:szCs w:val="32"/>
        </w:rPr>
        <w:t>万元,</w:t>
      </w:r>
      <w:r>
        <w:rPr>
          <w:rFonts w:hint="eastAsia" w:ascii="仿宋_GB2312" w:eastAsia="仿宋_GB2312"/>
          <w:sz w:val="32"/>
          <w:szCs w:val="32"/>
          <w:lang w:val="zh-CN"/>
        </w:rPr>
        <w:t>符合资金管理办法等相关规定。</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1.资金计划。该项目资金计划</w:t>
      </w:r>
      <w:r>
        <w:rPr>
          <w:rFonts w:hint="eastAsia" w:ascii="仿宋_GB2312" w:hAnsi="仿宋_GB2312" w:eastAsia="仿宋_GB2312" w:cs="仿宋_GB2312"/>
          <w:sz w:val="32"/>
          <w:szCs w:val="32"/>
        </w:rPr>
        <w:t>4197.46万元，资金来源为中央补助资金</w:t>
      </w:r>
      <w:r>
        <w:rPr>
          <w:rFonts w:hint="eastAsia" w:ascii="仿宋_GB2312" w:hAnsi="仿宋_GB2312" w:eastAsia="仿宋_GB2312" w:cs="仿宋_GB2312"/>
          <w:sz w:val="32"/>
          <w:szCs w:val="32"/>
          <w:lang w:val="zh-CN"/>
        </w:rPr>
        <w:t>和地方财政资金。</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2.资金到位。截至评价时点该项目实际到位</w:t>
      </w:r>
      <w:r>
        <w:rPr>
          <w:rFonts w:hint="eastAsia" w:ascii="仿宋_GB2312" w:hAnsi="仿宋_GB2312" w:eastAsia="仿宋_GB2312" w:cs="仿宋_GB2312"/>
          <w:sz w:val="32"/>
          <w:szCs w:val="32"/>
        </w:rPr>
        <w:t>4197.46</w:t>
      </w:r>
      <w:r>
        <w:rPr>
          <w:rFonts w:hint="eastAsia" w:ascii="仿宋_GB2312" w:hAnsi="仿宋_GB2312" w:eastAsia="仿宋_GB2312" w:cs="仿宋_GB2312"/>
          <w:sz w:val="32"/>
          <w:szCs w:val="32"/>
          <w:lang w:val="zh-CN"/>
        </w:rPr>
        <w:t>万元，资金到位率</w:t>
      </w:r>
      <w:r>
        <w:rPr>
          <w:rFonts w:hint="eastAsia" w:ascii="仿宋_GB2312" w:hAnsi="仿宋_GB2312" w:eastAsia="仿宋_GB2312" w:cs="仿宋_GB2312"/>
          <w:sz w:val="32"/>
          <w:szCs w:val="32"/>
        </w:rPr>
        <w:t>100%</w:t>
      </w:r>
      <w:r>
        <w:rPr>
          <w:rFonts w:hint="eastAsia" w:ascii="仿宋_GB2312" w:hAnsi="仿宋_GB2312" w:eastAsia="仿宋_GB2312" w:cs="仿宋_GB2312"/>
          <w:sz w:val="32"/>
          <w:szCs w:val="32"/>
          <w:lang w:val="zh-CN"/>
        </w:rPr>
        <w:t>。</w:t>
      </w:r>
    </w:p>
    <w:p>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3.资金使用。截至自评日，项目实际支出资金</w:t>
      </w:r>
      <w:r>
        <w:rPr>
          <w:rFonts w:hint="eastAsia" w:ascii="仿宋_GB2312" w:hAnsi="仿宋_GB2312" w:eastAsia="仿宋_GB2312" w:cs="仿宋_GB2312"/>
          <w:sz w:val="32"/>
          <w:szCs w:val="32"/>
        </w:rPr>
        <w:t>3086.67</w:t>
      </w:r>
      <w:r>
        <w:rPr>
          <w:rFonts w:hint="eastAsia" w:ascii="仿宋_GB2312" w:hAnsi="仿宋_GB2312" w:eastAsia="仿宋_GB2312" w:cs="仿宋_GB2312"/>
          <w:sz w:val="32"/>
          <w:szCs w:val="32"/>
          <w:lang w:val="zh-CN"/>
        </w:rPr>
        <w:t>万元，支出率</w:t>
      </w:r>
      <w:r>
        <w:rPr>
          <w:rFonts w:hint="eastAsia" w:ascii="仿宋_GB2312" w:hAnsi="仿宋_GB2312" w:eastAsia="仿宋_GB2312" w:cs="仿宋_GB2312"/>
          <w:sz w:val="32"/>
          <w:szCs w:val="32"/>
        </w:rPr>
        <w:t>73.54</w:t>
      </w:r>
      <w:r>
        <w:rPr>
          <w:rFonts w:hint="eastAsia" w:ascii="仿宋_GB2312" w:hAnsi="仿宋_GB2312" w:eastAsia="仿宋_GB2312" w:cs="仿宋_GB2312"/>
          <w:sz w:val="32"/>
          <w:szCs w:val="32"/>
          <w:lang w:val="zh-CN"/>
        </w:rPr>
        <w:t>%，资金使用的安全性、规范性及有效性，资金支付范围、支付标准、支付进度、支付依据等合规合法、与预算相符。</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djustRightInd w:val="0"/>
        <w:snapToGrid w:val="0"/>
        <w:spacing w:line="600" w:lineRule="exact"/>
        <w:ind w:firstLine="720"/>
        <w:rPr>
          <w:rFonts w:eastAsia="仿宋_GB2312"/>
          <w:sz w:val="32"/>
          <w:szCs w:val="32"/>
          <w:lang w:val="zh-CN"/>
        </w:rPr>
      </w:pPr>
      <w:r>
        <w:rPr>
          <w:rFonts w:hint="eastAsia" w:ascii="仿宋_GB2312" w:hAnsi="宋体" w:eastAsia="仿宋_GB2312"/>
          <w:sz w:val="32"/>
          <w:szCs w:val="32"/>
          <w:lang w:val="zh-CN"/>
        </w:rPr>
        <w:t>我单位财务管理制度健全，人员配置满足工作需求，账务处理及时，会计核算严格按照法律法规、行业规定、单位规章制度等执行</w:t>
      </w:r>
      <w:r>
        <w:rPr>
          <w:rFonts w:eastAsia="仿宋_GB2312"/>
          <w:sz w:val="32"/>
          <w:szCs w:val="32"/>
          <w:lang w:val="zh-CN"/>
        </w:rPr>
        <w:t>，资金支出实行“专款专用、分级审批”，做到账证相符、账实相符，无截留、挤占、挪用、虚列支出等违规违纪行为。</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numPr>
          <w:ilvl w:val="0"/>
          <w:numId w:val="15"/>
        </w:numPr>
        <w:adjustRightInd w:val="0"/>
        <w:snapToGrid w:val="0"/>
        <w:spacing w:line="600" w:lineRule="exact"/>
        <w:rPr>
          <w:rFonts w:eastAsia="楷体_GB2312"/>
          <w:b/>
          <w:sz w:val="32"/>
          <w:szCs w:val="32"/>
          <w:lang w:val="zh-CN"/>
        </w:rPr>
      </w:pPr>
      <w:r>
        <w:rPr>
          <w:rFonts w:eastAsia="楷体_GB2312"/>
          <w:b/>
          <w:sz w:val="32"/>
          <w:szCs w:val="32"/>
          <w:lang w:val="zh-CN"/>
        </w:rPr>
        <w:t>项目组织架构及实施流程。</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市交通运输局是项目的行业主管部门，市公路养护总段是项目的建设单位，市交通运输综合行政执法支队是项目的质量监督部门，施工单位是</w:t>
      </w:r>
      <w:bookmarkStart w:id="80" w:name="OLE_LINK4"/>
      <w:bookmarkStart w:id="81" w:name="OLE_LINK3"/>
      <w:r>
        <w:rPr>
          <w:rFonts w:hint="eastAsia" w:eastAsia="仿宋_GB2312"/>
          <w:sz w:val="32"/>
          <w:szCs w:val="32"/>
          <w:lang w:val="zh-CN"/>
        </w:rPr>
        <w:t>通过招标选取的项目</w:t>
      </w:r>
      <w:bookmarkEnd w:id="80"/>
      <w:bookmarkEnd w:id="81"/>
      <w:r>
        <w:rPr>
          <w:rFonts w:hint="eastAsia" w:eastAsia="仿宋_GB2312"/>
          <w:sz w:val="32"/>
          <w:szCs w:val="32"/>
          <w:lang w:val="zh-CN"/>
        </w:rPr>
        <w:t>具体实施单位，监理单位是通过招标选取的第三方社会监理机构。</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实施流程：接到上级任务后，通过招标选取设计单位，开展施工图设计及咨询审查工作。完成施工图设计后，报上级行业主管部门审批并核准实施。获得上级批复后通过招标选取施工单位和监理单位，各参建单位按照合同约定完成项目建设。项目完工后，按照相关规定开展项目审计和决算，最后进行项目交（竣）工验收、竣工资料归档和完成养护移交工作。</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（二）项目管理情况。</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公路实验室作为项目管理部门，负责项目实施的各项管理工作，包括完成项目前期工作、实施过程管理、交（竣）工验收和养护移交等。项目实施过程中，成立了项目管理组，配备了项目负责人、技术负责人、安全负责人、计量工程师等专职人员对项目进行全过程管理，确保项目顺利实施。</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（三）项目监管情况。</w:t>
      </w:r>
    </w:p>
    <w:p>
      <w:pPr>
        <w:adjustRightInd w:val="0"/>
        <w:snapToGrid w:val="0"/>
        <w:spacing w:line="600" w:lineRule="exact"/>
        <w:ind w:firstLine="720"/>
        <w:rPr>
          <w:rFonts w:eastAsia="仿宋_GB2312"/>
          <w:sz w:val="32"/>
          <w:szCs w:val="32"/>
          <w:lang w:val="zh-CN"/>
        </w:rPr>
      </w:pPr>
      <w:r>
        <w:rPr>
          <w:rFonts w:hint="eastAsia" w:eastAsia="仿宋_GB2312"/>
          <w:sz w:val="32"/>
          <w:szCs w:val="32"/>
        </w:rPr>
        <w:t>上级</w:t>
      </w:r>
      <w:r>
        <w:rPr>
          <w:rFonts w:eastAsia="仿宋_GB2312"/>
          <w:sz w:val="32"/>
          <w:szCs w:val="32"/>
          <w:lang w:val="zh-CN"/>
        </w:rPr>
        <w:t>主管部门</w:t>
      </w:r>
      <w:r>
        <w:rPr>
          <w:rFonts w:hint="eastAsia" w:eastAsia="仿宋_GB2312"/>
          <w:sz w:val="32"/>
          <w:szCs w:val="32"/>
          <w:lang w:val="zh-CN"/>
        </w:rPr>
        <w:t>对项目进行监管，</w:t>
      </w:r>
      <w:bookmarkStart w:id="82" w:name="OLE_LINK1"/>
      <w:bookmarkStart w:id="83" w:name="OLE_LINK2"/>
      <w:r>
        <w:rPr>
          <w:rFonts w:hint="eastAsia" w:eastAsia="仿宋_GB2312"/>
          <w:sz w:val="32"/>
          <w:szCs w:val="32"/>
          <w:lang w:val="zh-CN"/>
        </w:rPr>
        <w:t>市交通运输综合行政执法支队</w:t>
      </w:r>
      <w:bookmarkEnd w:id="82"/>
      <w:bookmarkEnd w:id="83"/>
      <w:r>
        <w:rPr>
          <w:rFonts w:hint="eastAsia" w:eastAsia="仿宋_GB2312"/>
          <w:sz w:val="32"/>
          <w:szCs w:val="32"/>
          <w:lang w:val="zh-CN"/>
        </w:rPr>
        <w:t>开展工程项目质量监督，</w:t>
      </w:r>
      <w:r>
        <w:rPr>
          <w:rFonts w:eastAsia="仿宋_GB2312"/>
          <w:sz w:val="32"/>
          <w:szCs w:val="32"/>
          <w:lang w:val="zh-CN"/>
        </w:rPr>
        <w:t>项目管理</w:t>
      </w:r>
      <w:r>
        <w:rPr>
          <w:rFonts w:hint="eastAsia" w:eastAsia="仿宋_GB2312"/>
          <w:sz w:val="32"/>
          <w:szCs w:val="32"/>
        </w:rPr>
        <w:t>组</w:t>
      </w:r>
      <w:r>
        <w:rPr>
          <w:rFonts w:eastAsia="仿宋_GB2312"/>
          <w:sz w:val="32"/>
          <w:szCs w:val="32"/>
          <w:lang w:val="zh-CN"/>
        </w:rPr>
        <w:t>加强项目实施过程监管，定期开展实地核查和进度调度</w:t>
      </w:r>
      <w:r>
        <w:rPr>
          <w:rFonts w:hint="eastAsia" w:eastAsia="仿宋_GB2312"/>
          <w:sz w:val="32"/>
          <w:szCs w:val="32"/>
          <w:lang w:val="zh-CN"/>
        </w:rPr>
        <w:t>，</w:t>
      </w:r>
      <w:r>
        <w:rPr>
          <w:rFonts w:eastAsia="仿宋_GB2312"/>
          <w:sz w:val="32"/>
          <w:szCs w:val="32"/>
          <w:lang w:val="zh-CN"/>
        </w:rPr>
        <w:t>完善质量管控体系，确保产出成果达标。</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utoSpaceDE w:val="0"/>
        <w:autoSpaceDN w:val="0"/>
        <w:adjustRightInd w:val="0"/>
        <w:spacing w:line="60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数量指标：完成</w:t>
      </w:r>
      <w:r>
        <w:rPr>
          <w:rFonts w:hint="eastAsia" w:ascii="仿宋_GB2312" w:hAnsi="仿宋_GB2312" w:eastAsia="仿宋_GB2312" w:cs="仿宋_GB2312"/>
          <w:sz w:val="32"/>
          <w:szCs w:val="32"/>
        </w:rPr>
        <w:t>G353盐边县红格镇（烂田河桥烂坝）段等工程项目工程建设，</w:t>
      </w:r>
      <w:r>
        <w:rPr>
          <w:rFonts w:hint="eastAsia" w:ascii="仿宋_GB2312" w:hAnsi="仿宋_GB2312" w:eastAsia="仿宋_GB2312" w:cs="仿宋_GB2312"/>
          <w:kern w:val="0"/>
          <w:sz w:val="32"/>
          <w:szCs w:val="32"/>
        </w:rPr>
        <w:t>完成率100%。</w:t>
      </w:r>
    </w:p>
    <w:p>
      <w:pPr>
        <w:autoSpaceDE w:val="0"/>
        <w:autoSpaceDN w:val="0"/>
        <w:adjustRightInd w:val="0"/>
        <w:spacing w:line="60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质量指标：满足现行规范要求，完成率100%。</w:t>
      </w:r>
    </w:p>
    <w:p>
      <w:pPr>
        <w:autoSpaceDE w:val="0"/>
        <w:autoSpaceDN w:val="0"/>
        <w:adjustRightInd w:val="0"/>
        <w:spacing w:line="60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时效指标：按期完工，完成率100%。</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成本指标：建设费用3086.67万元</w:t>
      </w:r>
      <w:r>
        <w:rPr>
          <w:rFonts w:hint="eastAsia" w:ascii="仿宋_GB2312" w:hAnsi="仿宋_GB2312" w:eastAsia="仿宋_GB2312" w:cs="仿宋_GB2312"/>
          <w:sz w:val="32"/>
          <w:szCs w:val="32"/>
          <w:lang w:val="zh-CN"/>
        </w:rPr>
        <w:t>，</w:t>
      </w:r>
      <w:r>
        <w:rPr>
          <w:rFonts w:hint="eastAsia" w:ascii="仿宋_GB2312" w:hAnsi="仿宋_GB2312" w:eastAsia="仿宋_GB2312" w:cs="仿宋_GB2312"/>
          <w:kern w:val="0"/>
          <w:sz w:val="32"/>
          <w:szCs w:val="32"/>
        </w:rPr>
        <w:t>完成率73.54%，未完成原因是经费未及时下拨。</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utoSpaceDE w:val="0"/>
        <w:autoSpaceDN w:val="0"/>
        <w:adjustRightInd w:val="0"/>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经济效益指标：</w:t>
      </w:r>
      <w:r>
        <w:rPr>
          <w:rFonts w:hint="eastAsia" w:ascii="仿宋_GB2312" w:hAnsi="宋体" w:eastAsia="仿宋_GB2312"/>
          <w:sz w:val="32"/>
          <w:szCs w:val="32"/>
          <w:lang w:val="zh-CN"/>
        </w:rPr>
        <w:t>改善交通通行环境，城市面貌、促进区域经济发展，为交通强市打下基础</w:t>
      </w:r>
      <w:r>
        <w:rPr>
          <w:rFonts w:hint="eastAsia" w:ascii="仿宋_GB2312" w:eastAsia="仿宋_GB2312" w:cs="仿宋_GB2312"/>
          <w:kern w:val="0"/>
          <w:sz w:val="32"/>
          <w:szCs w:val="32"/>
        </w:rPr>
        <w:t>，完成率100%。</w:t>
      </w:r>
    </w:p>
    <w:p>
      <w:pPr>
        <w:autoSpaceDE w:val="0"/>
        <w:autoSpaceDN w:val="0"/>
        <w:adjustRightInd w:val="0"/>
        <w:ind w:firstLine="640" w:firstLineChars="200"/>
        <w:jc w:val="left"/>
        <w:rPr>
          <w:rFonts w:ascii="仿宋_GB2312" w:eastAsia="仿宋_GB2312"/>
          <w:kern w:val="0"/>
          <w:sz w:val="32"/>
          <w:szCs w:val="32"/>
        </w:rPr>
      </w:pPr>
      <w:r>
        <w:rPr>
          <w:rFonts w:hint="eastAsia" w:ascii="仿宋_GB2312" w:eastAsia="仿宋_GB2312" w:cs="仿宋_GB2312"/>
          <w:kern w:val="0"/>
          <w:sz w:val="32"/>
          <w:szCs w:val="32"/>
        </w:rPr>
        <w:t>社会效益指标：</w:t>
      </w:r>
      <w:r>
        <w:rPr>
          <w:rFonts w:hint="eastAsia" w:ascii="仿宋_GB2312" w:hAnsi="宋体" w:eastAsia="仿宋_GB2312"/>
          <w:sz w:val="32"/>
          <w:szCs w:val="32"/>
          <w:lang w:val="zh-CN"/>
        </w:rPr>
        <w:t>满足公众出行需求</w:t>
      </w:r>
      <w:r>
        <w:rPr>
          <w:rFonts w:hint="eastAsia" w:ascii="仿宋_GB2312" w:eastAsia="仿宋_GB2312" w:cs="仿宋_GB2312"/>
          <w:kern w:val="0"/>
          <w:sz w:val="32"/>
          <w:szCs w:val="32"/>
        </w:rPr>
        <w:t>，完成率100%。</w:t>
      </w:r>
    </w:p>
    <w:p>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cs="仿宋_GB2312"/>
          <w:kern w:val="0"/>
          <w:sz w:val="32"/>
          <w:szCs w:val="32"/>
        </w:rPr>
        <w:t>生态效益指标：</w:t>
      </w:r>
      <w:r>
        <w:rPr>
          <w:rFonts w:hint="eastAsia" w:ascii="仿宋_GB2312" w:hAnsi="宋体" w:eastAsia="仿宋_GB2312"/>
          <w:sz w:val="32"/>
          <w:szCs w:val="32"/>
          <w:lang w:val="zh-CN"/>
        </w:rPr>
        <w:t>改善交通通行环境，一定程度促进交通节能减排工作推进</w:t>
      </w:r>
      <w:r>
        <w:rPr>
          <w:rFonts w:hint="eastAsia" w:ascii="仿宋_GB2312" w:eastAsia="仿宋_GB2312" w:cs="仿宋_GB2312"/>
          <w:kern w:val="0"/>
          <w:sz w:val="32"/>
          <w:szCs w:val="32"/>
        </w:rPr>
        <w:t>，</w:t>
      </w:r>
      <w:r>
        <w:rPr>
          <w:rFonts w:hint="eastAsia" w:ascii="仿宋_GB2312" w:hAnsi="宋体" w:eastAsia="仿宋_GB2312" w:cs="仿宋_GB2312"/>
          <w:kern w:val="0"/>
          <w:sz w:val="32"/>
          <w:szCs w:val="32"/>
        </w:rPr>
        <w:t>完成率100%。</w:t>
      </w:r>
    </w:p>
    <w:p>
      <w:pPr>
        <w:ind w:firstLine="640" w:firstLineChars="200"/>
        <w:rPr>
          <w:rFonts w:ascii="仿宋_GB2312" w:hAnsi="宋体" w:eastAsia="仿宋_GB2312"/>
          <w:kern w:val="0"/>
          <w:sz w:val="32"/>
          <w:szCs w:val="32"/>
        </w:rPr>
      </w:pPr>
      <w:r>
        <w:rPr>
          <w:rFonts w:hint="eastAsia" w:ascii="仿宋_GB2312" w:hAnsi="宋体" w:eastAsia="仿宋_GB2312" w:cs="仿宋_GB2312"/>
          <w:kern w:val="0"/>
          <w:sz w:val="32"/>
          <w:szCs w:val="32"/>
        </w:rPr>
        <w:t>可持续影响指标：</w:t>
      </w:r>
      <w:r>
        <w:rPr>
          <w:rFonts w:hint="eastAsia" w:ascii="仿宋_GB2312" w:hAnsi="宋体" w:eastAsia="仿宋_GB2312"/>
          <w:sz w:val="32"/>
          <w:szCs w:val="32"/>
          <w:lang w:val="zh-CN"/>
        </w:rPr>
        <w:t>提升交通形象、城市面貌</w:t>
      </w:r>
      <w:r>
        <w:rPr>
          <w:rFonts w:hint="eastAsia" w:ascii="仿宋_GB2312" w:hAnsi="方正楷体_GBK" w:eastAsia="仿宋_GB2312" w:cs="仿宋_GB2312"/>
          <w:sz w:val="32"/>
          <w:szCs w:val="32"/>
        </w:rPr>
        <w:t>，</w:t>
      </w:r>
      <w:r>
        <w:rPr>
          <w:rFonts w:hint="eastAsia" w:ascii="仿宋_GB2312" w:hAnsi="宋体" w:eastAsia="仿宋_GB2312" w:cs="仿宋_GB2312"/>
          <w:kern w:val="0"/>
          <w:sz w:val="32"/>
          <w:szCs w:val="32"/>
        </w:rPr>
        <w:t>完成率100%。</w:t>
      </w:r>
    </w:p>
    <w:p>
      <w:pPr>
        <w:adjustRightInd w:val="0"/>
        <w:snapToGrid w:val="0"/>
        <w:spacing w:line="560" w:lineRule="exact"/>
        <w:ind w:firstLine="720"/>
        <w:rPr>
          <w:rFonts w:ascii="楷体_GB2312" w:hAnsi="宋体" w:eastAsia="仿宋_GB2312"/>
          <w:b/>
          <w:sz w:val="32"/>
          <w:szCs w:val="32"/>
          <w:lang w:val="zh-CN"/>
        </w:rPr>
      </w:pPr>
      <w:r>
        <w:rPr>
          <w:rFonts w:hint="eastAsia" w:ascii="仿宋_GB2312" w:hAnsi="宋体" w:eastAsia="仿宋_GB2312" w:cs="仿宋_GB2312"/>
          <w:kern w:val="0"/>
          <w:sz w:val="32"/>
          <w:szCs w:val="32"/>
        </w:rPr>
        <w:t>满意度指标：社会公众认可度90%.</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640" w:firstLineChars="200"/>
        <w:rPr>
          <w:rFonts w:eastAsia="仿宋_GB2312"/>
          <w:sz w:val="32"/>
          <w:szCs w:val="32"/>
          <w:bdr w:val="single" w:color="auto" w:sz="4" w:space="0"/>
          <w:lang w:val="zh-CN"/>
        </w:rPr>
      </w:pPr>
      <w:r>
        <w:rPr>
          <w:rFonts w:eastAsia="仿宋_GB2312"/>
          <w:sz w:val="32"/>
          <w:szCs w:val="32"/>
          <w:lang w:val="zh-CN"/>
        </w:rPr>
        <w:t>本次专项预算项目支出绩效自评工作，全面梳理了项目决策、管理、实施及成效等情况。总体来看，该项目立项依据充分、目标明确，资金管理规范，项目实施基本顺利，能够按照预期完成主要实施内容，取得了一定的经济效益、社会效益和可持续影响，基本达到了项目设定的绩效目标。</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2" w:firstLineChars="200"/>
        <w:rPr>
          <w:rFonts w:eastAsia="仿宋_GB2312"/>
          <w:sz w:val="32"/>
          <w:szCs w:val="32"/>
          <w:lang w:val="zh-CN"/>
        </w:rPr>
      </w:pPr>
      <w:r>
        <w:rPr>
          <w:rFonts w:hint="eastAsia" w:ascii="楷体_GB2312" w:hAnsi="宋体" w:eastAsia="楷体_GB2312"/>
          <w:b/>
          <w:sz w:val="32"/>
          <w:szCs w:val="32"/>
        </w:rPr>
        <w:t xml:space="preserve"> </w:t>
      </w:r>
      <w:r>
        <w:rPr>
          <w:rFonts w:hint="eastAsia" w:ascii="仿宋_GB2312" w:eastAsia="仿宋_GB2312"/>
          <w:kern w:val="0"/>
          <w:sz w:val="32"/>
          <w:szCs w:val="32"/>
        </w:rPr>
        <w:t>存在的问题主要是经费未及时下拨</w:t>
      </w:r>
      <w:r>
        <w:rPr>
          <w:rFonts w:eastAsia="仿宋_GB2312"/>
          <w:sz w:val="32"/>
          <w:szCs w:val="32"/>
          <w:lang w:val="zh-CN"/>
        </w:rPr>
        <w:t>。</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adjustRightInd w:val="0"/>
        <w:snapToGrid w:val="0"/>
        <w:spacing w:line="600" w:lineRule="exact"/>
        <w:ind w:firstLine="640" w:firstLineChars="200"/>
        <w:rPr>
          <w:rFonts w:eastAsia="仿宋_GB2312"/>
          <w:sz w:val="32"/>
          <w:szCs w:val="32"/>
          <w:lang w:val="zh-CN"/>
        </w:rPr>
      </w:pPr>
      <w:r>
        <w:rPr>
          <w:rFonts w:hint="eastAsia" w:ascii="仿宋_GB2312" w:eastAsia="仿宋_GB2312"/>
          <w:kern w:val="0"/>
          <w:sz w:val="32"/>
          <w:szCs w:val="32"/>
        </w:rPr>
        <w:t>建议及时拨付项目经费</w:t>
      </w:r>
      <w:r>
        <w:rPr>
          <w:rFonts w:hint="eastAsia" w:eastAsia="仿宋_GB2312"/>
          <w:sz w:val="32"/>
          <w:szCs w:val="32"/>
        </w:rPr>
        <w:t>。</w:t>
      </w:r>
    </w:p>
    <w:p>
      <w:pPr>
        <w:pStyle w:val="3"/>
        <w:ind w:left="420"/>
      </w:pPr>
    </w:p>
    <w:p>
      <w:pPr>
        <w:rPr>
          <w:rFonts w:eastAsia="仿宋_GB2312"/>
          <w:sz w:val="32"/>
          <w:szCs w:val="32"/>
        </w:rPr>
      </w:pPr>
    </w:p>
    <w:p>
      <w:pPr>
        <w:spacing w:line="600" w:lineRule="exact"/>
        <w:jc w:val="center"/>
        <w:outlineLvl w:val="0"/>
        <w:rPr>
          <w:rFonts w:ascii="黑体" w:hAnsi="黑体" w:eastAsia="黑体"/>
          <w:sz w:val="44"/>
          <w:szCs w:val="44"/>
        </w:rPr>
      </w:pPr>
      <w:bookmarkStart w:id="84" w:name="_Toc19940"/>
    </w:p>
    <w:p>
      <w:pPr>
        <w:pStyle w:val="2"/>
        <w:rPr>
          <w:rFonts w:ascii="黑体" w:hAnsi="黑体" w:eastAsia="黑体"/>
          <w:sz w:val="44"/>
          <w:szCs w:val="44"/>
        </w:rPr>
      </w:pPr>
    </w:p>
    <w:p>
      <w:pPr>
        <w:pStyle w:val="3"/>
        <w:rPr>
          <w:rFonts w:ascii="黑体" w:hAnsi="黑体" w:eastAsia="黑体"/>
          <w:sz w:val="44"/>
          <w:szCs w:val="44"/>
        </w:rPr>
      </w:pPr>
    </w:p>
    <w:p>
      <w:pPr>
        <w:rPr>
          <w:rFonts w:ascii="黑体" w:hAnsi="黑体" w:eastAsia="黑体"/>
          <w:sz w:val="44"/>
          <w:szCs w:val="44"/>
        </w:rPr>
      </w:pPr>
    </w:p>
    <w:p>
      <w:pPr>
        <w:pStyle w:val="2"/>
        <w:rPr>
          <w:rFonts w:ascii="黑体" w:hAnsi="黑体" w:eastAsia="黑体"/>
          <w:sz w:val="44"/>
          <w:szCs w:val="44"/>
        </w:rPr>
      </w:pPr>
    </w:p>
    <w:p>
      <w:pPr>
        <w:pStyle w:val="3"/>
        <w:rPr>
          <w:rFonts w:ascii="黑体" w:hAnsi="黑体" w:eastAsia="黑体"/>
          <w:sz w:val="44"/>
          <w:szCs w:val="44"/>
        </w:rPr>
      </w:pPr>
    </w:p>
    <w:p>
      <w:pPr>
        <w:rPr>
          <w:rFonts w:ascii="黑体" w:hAnsi="黑体" w:eastAsia="黑体"/>
          <w:sz w:val="44"/>
          <w:szCs w:val="44"/>
        </w:rPr>
      </w:pPr>
    </w:p>
    <w:p>
      <w:pPr>
        <w:pStyle w:val="2"/>
        <w:rPr>
          <w:rFonts w:ascii="黑体" w:hAnsi="黑体" w:eastAsia="黑体"/>
          <w:sz w:val="44"/>
          <w:szCs w:val="44"/>
        </w:rPr>
      </w:pPr>
    </w:p>
    <w:p>
      <w:pPr>
        <w:pStyle w:val="3"/>
        <w:rPr>
          <w:rFonts w:ascii="黑体" w:hAnsi="黑体" w:eastAsia="黑体"/>
          <w:sz w:val="44"/>
          <w:szCs w:val="44"/>
        </w:rPr>
      </w:pPr>
    </w:p>
    <w:p>
      <w:pPr>
        <w:rPr>
          <w:rFonts w:ascii="黑体" w:hAnsi="黑体" w:eastAsia="黑体"/>
          <w:sz w:val="44"/>
          <w:szCs w:val="44"/>
        </w:rPr>
      </w:pPr>
    </w:p>
    <w:p>
      <w:pPr>
        <w:pStyle w:val="2"/>
        <w:rPr>
          <w:rFonts w:ascii="黑体" w:hAnsi="黑体" w:eastAsia="黑体"/>
          <w:sz w:val="44"/>
          <w:szCs w:val="44"/>
        </w:rPr>
      </w:pPr>
    </w:p>
    <w:p>
      <w:pPr>
        <w:pStyle w:val="3"/>
        <w:rPr>
          <w:rFonts w:ascii="黑体" w:hAnsi="黑体" w:eastAsia="黑体"/>
          <w:sz w:val="44"/>
          <w:szCs w:val="44"/>
        </w:rPr>
      </w:pPr>
    </w:p>
    <w:p>
      <w:pPr>
        <w:rPr>
          <w:rFonts w:ascii="黑体" w:hAnsi="黑体" w:eastAsia="黑体"/>
          <w:sz w:val="44"/>
          <w:szCs w:val="44"/>
        </w:rPr>
      </w:pPr>
    </w:p>
    <w:p>
      <w:pPr>
        <w:pStyle w:val="2"/>
        <w:rPr>
          <w:rFonts w:ascii="黑体" w:hAnsi="黑体" w:eastAsia="黑体"/>
          <w:sz w:val="44"/>
          <w:szCs w:val="44"/>
        </w:rPr>
      </w:pPr>
    </w:p>
    <w:p>
      <w:pPr>
        <w:pStyle w:val="3"/>
        <w:rPr>
          <w:rFonts w:ascii="黑体" w:hAnsi="黑体" w:eastAsia="黑体"/>
          <w:sz w:val="44"/>
          <w:szCs w:val="44"/>
        </w:rPr>
      </w:pPr>
    </w:p>
    <w:p>
      <w:pPr>
        <w:rPr>
          <w:rFonts w:ascii="黑体" w:hAnsi="黑体" w:eastAsia="黑体"/>
          <w:sz w:val="44"/>
          <w:szCs w:val="44"/>
        </w:rPr>
      </w:pPr>
    </w:p>
    <w:p>
      <w:pPr>
        <w:pStyle w:val="2"/>
        <w:rPr>
          <w:rFonts w:ascii="黑体" w:hAnsi="黑体" w:eastAsia="黑体"/>
          <w:sz w:val="44"/>
          <w:szCs w:val="44"/>
        </w:rPr>
      </w:pPr>
    </w:p>
    <w:p>
      <w:pPr>
        <w:pStyle w:val="3"/>
      </w:pPr>
    </w:p>
    <w:p>
      <w:pPr>
        <w:pStyle w:val="2"/>
        <w:rPr>
          <w:rFonts w:ascii="黑体" w:hAnsi="黑体" w:eastAsia="黑体"/>
          <w:sz w:val="44"/>
          <w:szCs w:val="44"/>
        </w:rPr>
      </w:pPr>
    </w:p>
    <w:p>
      <w:pPr>
        <w:pStyle w:val="3"/>
        <w:ind w:left="420"/>
      </w:pPr>
    </w:p>
    <w:p>
      <w:pPr>
        <w:spacing w:line="600" w:lineRule="exact"/>
        <w:jc w:val="center"/>
        <w:outlineLvl w:val="0"/>
        <w:rPr>
          <w:rFonts w:ascii="仿宋" w:hAnsi="仿宋" w:eastAsia="仿宋"/>
        </w:rPr>
      </w:pPr>
      <w:r>
        <w:rPr>
          <w:rFonts w:hint="eastAsia" w:ascii="黑体" w:hAnsi="黑体" w:eastAsia="黑体"/>
          <w:sz w:val="44"/>
          <w:szCs w:val="44"/>
        </w:rPr>
        <w:t>第</w:t>
      </w:r>
      <w:r>
        <w:rPr>
          <w:rStyle w:val="35"/>
          <w:rFonts w:hint="eastAsia" w:ascii="黑体" w:hAnsi="黑体" w:eastAsia="黑体"/>
          <w:b w:val="0"/>
        </w:rPr>
        <w:t>五部分 附表</w:t>
      </w:r>
      <w:bookmarkEnd w:id="77"/>
      <w:bookmarkEnd w:id="78"/>
      <w:bookmarkEnd w:id="84"/>
      <w:bookmarkStart w:id="85" w:name="_Toc15396619"/>
    </w:p>
    <w:p>
      <w:pPr>
        <w:pStyle w:val="6"/>
        <w:rPr>
          <w:rFonts w:ascii="仿宋" w:hAnsi="仿宋" w:eastAsia="仿宋"/>
        </w:rPr>
      </w:pPr>
      <w:bookmarkStart w:id="86" w:name="_Toc10480"/>
      <w:r>
        <w:rPr>
          <w:rFonts w:hint="eastAsia" w:ascii="仿宋" w:hAnsi="仿宋" w:eastAsia="仿宋"/>
          <w:b w:val="0"/>
        </w:rPr>
        <w:t>一、收</w:t>
      </w:r>
      <w:r>
        <w:rPr>
          <w:rStyle w:val="36"/>
          <w:rFonts w:hint="eastAsia" w:ascii="仿宋" w:hAnsi="仿宋" w:eastAsia="仿宋"/>
          <w:b w:val="0"/>
          <w:bCs w:val="0"/>
        </w:rPr>
        <w:t>入支出决算总表</w:t>
      </w:r>
      <w:bookmarkEnd w:id="85"/>
      <w:bookmarkEnd w:id="86"/>
    </w:p>
    <w:p>
      <w:pPr>
        <w:pStyle w:val="6"/>
        <w:rPr>
          <w:rFonts w:ascii="仿宋" w:hAnsi="仿宋" w:eastAsia="仿宋"/>
        </w:rPr>
      </w:pPr>
      <w:bookmarkStart w:id="87" w:name="_Toc15396620"/>
      <w:bookmarkStart w:id="88" w:name="_Toc8821"/>
      <w:r>
        <w:rPr>
          <w:rFonts w:hint="eastAsia" w:ascii="仿宋" w:hAnsi="仿宋" w:eastAsia="仿宋"/>
          <w:b w:val="0"/>
        </w:rPr>
        <w:t>二、收</w:t>
      </w:r>
      <w:r>
        <w:rPr>
          <w:rStyle w:val="36"/>
          <w:rFonts w:hint="eastAsia" w:ascii="仿宋" w:hAnsi="仿宋" w:eastAsia="仿宋"/>
          <w:b w:val="0"/>
          <w:bCs w:val="0"/>
        </w:rPr>
        <w:t>入决算表</w:t>
      </w:r>
      <w:bookmarkEnd w:id="87"/>
      <w:bookmarkEnd w:id="88"/>
    </w:p>
    <w:p>
      <w:pPr>
        <w:pStyle w:val="6"/>
        <w:rPr>
          <w:rFonts w:ascii="仿宋" w:hAnsi="仿宋" w:eastAsia="仿宋"/>
        </w:rPr>
      </w:pPr>
      <w:bookmarkStart w:id="89" w:name="_Toc26579"/>
      <w:bookmarkStart w:id="90" w:name="_Toc15396621"/>
      <w:r>
        <w:rPr>
          <w:rStyle w:val="36"/>
          <w:rFonts w:hint="eastAsia" w:ascii="仿宋" w:hAnsi="仿宋" w:eastAsia="仿宋"/>
          <w:b w:val="0"/>
          <w:bCs w:val="0"/>
        </w:rPr>
        <w:t>三、</w:t>
      </w:r>
      <w:r>
        <w:rPr>
          <w:rFonts w:hint="eastAsia" w:ascii="仿宋" w:hAnsi="仿宋" w:eastAsia="仿宋"/>
          <w:b w:val="0"/>
        </w:rPr>
        <w:t>支</w:t>
      </w:r>
      <w:r>
        <w:rPr>
          <w:rStyle w:val="36"/>
          <w:rFonts w:hint="eastAsia" w:ascii="仿宋" w:hAnsi="仿宋" w:eastAsia="仿宋"/>
          <w:b w:val="0"/>
          <w:bCs w:val="0"/>
        </w:rPr>
        <w:t>出决算表</w:t>
      </w:r>
      <w:bookmarkEnd w:id="89"/>
      <w:bookmarkEnd w:id="90"/>
    </w:p>
    <w:p>
      <w:pPr>
        <w:pStyle w:val="6"/>
        <w:rPr>
          <w:rFonts w:ascii="仿宋" w:hAnsi="仿宋" w:eastAsia="仿宋"/>
          <w:b w:val="0"/>
        </w:rPr>
      </w:pPr>
      <w:bookmarkStart w:id="91" w:name="_Toc15396622"/>
      <w:bookmarkStart w:id="92" w:name="_Toc19492"/>
      <w:r>
        <w:rPr>
          <w:rStyle w:val="36"/>
          <w:rFonts w:hint="eastAsia" w:ascii="仿宋" w:hAnsi="仿宋" w:eastAsia="仿宋"/>
          <w:b w:val="0"/>
          <w:bCs w:val="0"/>
        </w:rPr>
        <w:t>四、</w:t>
      </w:r>
      <w:r>
        <w:rPr>
          <w:rFonts w:hint="eastAsia" w:ascii="仿宋" w:hAnsi="仿宋" w:eastAsia="仿宋"/>
          <w:b w:val="0"/>
        </w:rPr>
        <w:t>财</w:t>
      </w:r>
      <w:r>
        <w:rPr>
          <w:rStyle w:val="36"/>
          <w:rFonts w:hint="eastAsia" w:ascii="仿宋" w:hAnsi="仿宋" w:eastAsia="仿宋"/>
          <w:b w:val="0"/>
          <w:bCs w:val="0"/>
        </w:rPr>
        <w:t>政拨款收入支出决算总表</w:t>
      </w:r>
      <w:bookmarkEnd w:id="91"/>
      <w:bookmarkEnd w:id="92"/>
    </w:p>
    <w:p>
      <w:pPr>
        <w:pStyle w:val="6"/>
        <w:rPr>
          <w:rStyle w:val="36"/>
          <w:rFonts w:ascii="仿宋" w:hAnsi="仿宋" w:eastAsia="仿宋"/>
          <w:b w:val="0"/>
          <w:bCs w:val="0"/>
        </w:rPr>
      </w:pPr>
      <w:bookmarkStart w:id="93" w:name="_Toc15396623"/>
      <w:bookmarkStart w:id="94" w:name="_Toc25444"/>
      <w:r>
        <w:rPr>
          <w:rStyle w:val="36"/>
          <w:rFonts w:hint="eastAsia" w:ascii="仿宋" w:hAnsi="仿宋" w:eastAsia="仿宋"/>
          <w:b w:val="0"/>
          <w:bCs w:val="0"/>
        </w:rPr>
        <w:t>五、</w:t>
      </w:r>
      <w:r>
        <w:rPr>
          <w:rFonts w:hint="eastAsia" w:ascii="仿宋" w:hAnsi="仿宋" w:eastAsia="仿宋"/>
          <w:b w:val="0"/>
        </w:rPr>
        <w:t>财</w:t>
      </w:r>
      <w:r>
        <w:rPr>
          <w:rStyle w:val="36"/>
          <w:rFonts w:hint="eastAsia" w:ascii="仿宋" w:hAnsi="仿宋" w:eastAsia="仿宋"/>
          <w:b w:val="0"/>
          <w:bCs w:val="0"/>
        </w:rPr>
        <w:t>政拨款支出决算明细表</w:t>
      </w:r>
      <w:bookmarkEnd w:id="93"/>
      <w:bookmarkEnd w:id="94"/>
      <w:bookmarkStart w:id="95" w:name="_Toc15396624"/>
    </w:p>
    <w:p>
      <w:pPr>
        <w:pStyle w:val="6"/>
        <w:rPr>
          <w:rFonts w:ascii="仿宋" w:hAnsi="仿宋" w:eastAsia="仿宋"/>
        </w:rPr>
      </w:pPr>
      <w:bookmarkStart w:id="96" w:name="_Toc27836"/>
      <w:r>
        <w:rPr>
          <w:rStyle w:val="36"/>
          <w:rFonts w:hint="eastAsia" w:ascii="仿宋" w:hAnsi="仿宋" w:eastAsia="仿宋"/>
          <w:b w:val="0"/>
          <w:bCs w:val="0"/>
        </w:rPr>
        <w:t>六、</w:t>
      </w:r>
      <w:r>
        <w:rPr>
          <w:rFonts w:hint="eastAsia" w:ascii="仿宋" w:hAnsi="仿宋" w:eastAsia="仿宋"/>
          <w:b w:val="0"/>
        </w:rPr>
        <w:t>一</w:t>
      </w:r>
      <w:r>
        <w:rPr>
          <w:rStyle w:val="36"/>
          <w:rFonts w:hint="eastAsia" w:ascii="仿宋" w:hAnsi="仿宋" w:eastAsia="仿宋"/>
          <w:b w:val="0"/>
          <w:bCs w:val="0"/>
        </w:rPr>
        <w:t>般公共预算财政拨款支出决算表</w:t>
      </w:r>
      <w:bookmarkEnd w:id="95"/>
      <w:bookmarkEnd w:id="96"/>
    </w:p>
    <w:p>
      <w:pPr>
        <w:pStyle w:val="6"/>
        <w:rPr>
          <w:rFonts w:ascii="仿宋" w:hAnsi="仿宋" w:eastAsia="仿宋"/>
        </w:rPr>
      </w:pPr>
      <w:bookmarkStart w:id="97" w:name="_Toc15396625"/>
      <w:bookmarkStart w:id="98" w:name="_Toc20576"/>
      <w:r>
        <w:rPr>
          <w:rStyle w:val="36"/>
          <w:rFonts w:hint="eastAsia" w:ascii="仿宋" w:hAnsi="仿宋" w:eastAsia="仿宋"/>
          <w:b w:val="0"/>
          <w:bCs w:val="0"/>
        </w:rPr>
        <w:t>七、</w:t>
      </w:r>
      <w:r>
        <w:rPr>
          <w:rFonts w:hint="eastAsia" w:ascii="仿宋" w:hAnsi="仿宋" w:eastAsia="仿宋"/>
          <w:b w:val="0"/>
        </w:rPr>
        <w:t>一</w:t>
      </w:r>
      <w:r>
        <w:rPr>
          <w:rStyle w:val="36"/>
          <w:rFonts w:hint="eastAsia" w:ascii="仿宋" w:hAnsi="仿宋" w:eastAsia="仿宋"/>
          <w:b w:val="0"/>
          <w:bCs w:val="0"/>
        </w:rPr>
        <w:t>般公共预算财政拨款支出决算明细表</w:t>
      </w:r>
      <w:bookmarkEnd w:id="97"/>
      <w:bookmarkEnd w:id="98"/>
    </w:p>
    <w:p>
      <w:pPr>
        <w:pStyle w:val="6"/>
        <w:rPr>
          <w:rFonts w:ascii="仿宋" w:hAnsi="仿宋" w:eastAsia="仿宋"/>
        </w:rPr>
      </w:pPr>
      <w:bookmarkStart w:id="99" w:name="_Toc8093"/>
      <w:bookmarkStart w:id="100" w:name="_Toc15396626"/>
      <w:r>
        <w:rPr>
          <w:rStyle w:val="36"/>
          <w:rFonts w:hint="eastAsia" w:ascii="仿宋" w:hAnsi="仿宋" w:eastAsia="仿宋"/>
          <w:b w:val="0"/>
          <w:bCs w:val="0"/>
        </w:rPr>
        <w:t>八、</w:t>
      </w:r>
      <w:r>
        <w:rPr>
          <w:rFonts w:hint="eastAsia" w:ascii="仿宋" w:hAnsi="仿宋" w:eastAsia="仿宋"/>
          <w:b w:val="0"/>
        </w:rPr>
        <w:t>一</w:t>
      </w:r>
      <w:r>
        <w:rPr>
          <w:rStyle w:val="36"/>
          <w:rFonts w:hint="eastAsia" w:ascii="仿宋" w:hAnsi="仿宋" w:eastAsia="仿宋"/>
          <w:b w:val="0"/>
          <w:bCs w:val="0"/>
        </w:rPr>
        <w:t>般公共预算财政拨款基本支出决算表</w:t>
      </w:r>
      <w:bookmarkEnd w:id="99"/>
      <w:bookmarkEnd w:id="100"/>
    </w:p>
    <w:p>
      <w:pPr>
        <w:pStyle w:val="6"/>
        <w:rPr>
          <w:rFonts w:ascii="仿宋" w:hAnsi="仿宋" w:eastAsia="仿宋"/>
        </w:rPr>
      </w:pPr>
      <w:bookmarkStart w:id="101" w:name="_Toc6103"/>
      <w:bookmarkStart w:id="102" w:name="_Toc15396627"/>
      <w:r>
        <w:rPr>
          <w:rStyle w:val="36"/>
          <w:rFonts w:hint="eastAsia" w:ascii="仿宋" w:hAnsi="仿宋" w:eastAsia="仿宋"/>
          <w:b w:val="0"/>
          <w:bCs w:val="0"/>
        </w:rPr>
        <w:t>九、</w:t>
      </w:r>
      <w:r>
        <w:rPr>
          <w:rFonts w:hint="eastAsia" w:ascii="仿宋" w:hAnsi="仿宋" w:eastAsia="仿宋"/>
          <w:b w:val="0"/>
        </w:rPr>
        <w:t>一</w:t>
      </w:r>
      <w:r>
        <w:rPr>
          <w:rStyle w:val="36"/>
          <w:rFonts w:hint="eastAsia" w:ascii="仿宋" w:hAnsi="仿宋" w:eastAsia="仿宋"/>
          <w:b w:val="0"/>
          <w:bCs w:val="0"/>
        </w:rPr>
        <w:t>般公共预算财政拨款项目支出决算表</w:t>
      </w:r>
      <w:bookmarkEnd w:id="101"/>
      <w:bookmarkEnd w:id="102"/>
    </w:p>
    <w:p>
      <w:pPr>
        <w:pStyle w:val="6"/>
        <w:rPr>
          <w:rFonts w:ascii="仿宋" w:hAnsi="仿宋" w:eastAsia="仿宋"/>
        </w:rPr>
      </w:pPr>
      <w:bookmarkStart w:id="103" w:name="_Toc15396628"/>
      <w:bookmarkStart w:id="104" w:name="_Toc16391"/>
      <w:r>
        <w:rPr>
          <w:rStyle w:val="36"/>
          <w:rFonts w:hint="eastAsia" w:ascii="仿宋" w:hAnsi="仿宋" w:eastAsia="仿宋"/>
          <w:b w:val="0"/>
          <w:bCs w:val="0"/>
        </w:rPr>
        <w:t>十、</w:t>
      </w:r>
      <w:bookmarkEnd w:id="103"/>
      <w:r>
        <w:rPr>
          <w:rFonts w:hint="eastAsia" w:ascii="仿宋" w:hAnsi="仿宋" w:eastAsia="仿宋"/>
          <w:b w:val="0"/>
        </w:rPr>
        <w:t>政</w:t>
      </w:r>
      <w:r>
        <w:rPr>
          <w:rStyle w:val="36"/>
          <w:rFonts w:hint="eastAsia" w:ascii="仿宋" w:hAnsi="仿宋" w:eastAsia="仿宋"/>
          <w:b w:val="0"/>
          <w:bCs w:val="0"/>
        </w:rPr>
        <w:t>府性基金预算财政拨款收入支出决算表</w:t>
      </w:r>
      <w:bookmarkEnd w:id="104"/>
    </w:p>
    <w:p>
      <w:pPr>
        <w:pStyle w:val="6"/>
        <w:rPr>
          <w:rFonts w:ascii="仿宋" w:hAnsi="仿宋" w:eastAsia="仿宋"/>
        </w:rPr>
      </w:pPr>
      <w:bookmarkStart w:id="105" w:name="_Toc15396629"/>
      <w:bookmarkStart w:id="106" w:name="_Toc3279"/>
      <w:r>
        <w:rPr>
          <w:rStyle w:val="36"/>
          <w:rFonts w:hint="eastAsia" w:ascii="仿宋" w:hAnsi="仿宋" w:eastAsia="仿宋"/>
          <w:b w:val="0"/>
          <w:bCs w:val="0"/>
        </w:rPr>
        <w:t>十一、</w:t>
      </w:r>
      <w:bookmarkEnd w:id="105"/>
      <w:r>
        <w:rPr>
          <w:rFonts w:hint="eastAsia" w:ascii="仿宋" w:hAnsi="仿宋" w:eastAsia="仿宋"/>
          <w:b w:val="0"/>
        </w:rPr>
        <w:t>国</w:t>
      </w:r>
      <w:r>
        <w:rPr>
          <w:rStyle w:val="36"/>
          <w:rFonts w:hint="eastAsia" w:ascii="仿宋" w:hAnsi="仿宋" w:eastAsia="仿宋"/>
          <w:b w:val="0"/>
          <w:bCs w:val="0"/>
        </w:rPr>
        <w:t>有资本经营预算财政拨款收入支出决算表</w:t>
      </w:r>
      <w:bookmarkEnd w:id="106"/>
      <w:r>
        <w:rPr>
          <w:rStyle w:val="36"/>
          <w:rFonts w:hint="eastAsia" w:ascii="仿宋" w:hAnsi="仿宋" w:eastAsia="仿宋"/>
          <w:b w:val="0"/>
          <w:bCs w:val="0"/>
        </w:rPr>
        <w:t>（此表无数据）</w:t>
      </w:r>
    </w:p>
    <w:p>
      <w:pPr>
        <w:pStyle w:val="6"/>
        <w:rPr>
          <w:rFonts w:ascii="仿宋" w:hAnsi="仿宋" w:eastAsia="仿宋"/>
        </w:rPr>
      </w:pPr>
      <w:bookmarkStart w:id="107" w:name="_Toc15396630"/>
      <w:bookmarkStart w:id="108" w:name="_Toc11933"/>
      <w:r>
        <w:rPr>
          <w:rStyle w:val="36"/>
          <w:rFonts w:hint="eastAsia" w:ascii="仿宋" w:hAnsi="仿宋" w:eastAsia="仿宋"/>
          <w:b w:val="0"/>
          <w:bCs w:val="0"/>
        </w:rPr>
        <w:t>十二、</w:t>
      </w:r>
      <w:bookmarkEnd w:id="107"/>
      <w:r>
        <w:rPr>
          <w:rStyle w:val="36"/>
          <w:rFonts w:hint="eastAsia" w:ascii="仿宋" w:hAnsi="仿宋" w:eastAsia="仿宋"/>
          <w:b w:val="0"/>
          <w:bCs w:val="0"/>
        </w:rPr>
        <w:t>国有资本经营预算财政拨款支出决算表</w:t>
      </w:r>
      <w:bookmarkEnd w:id="108"/>
      <w:r>
        <w:rPr>
          <w:rStyle w:val="36"/>
          <w:rFonts w:hint="eastAsia" w:ascii="仿宋" w:hAnsi="仿宋" w:eastAsia="仿宋"/>
          <w:b w:val="0"/>
          <w:bCs w:val="0"/>
        </w:rPr>
        <w:t>（此表无数据）</w:t>
      </w:r>
    </w:p>
    <w:p>
      <w:pPr>
        <w:pStyle w:val="6"/>
        <w:rPr>
          <w:rFonts w:eastAsia="仿宋"/>
        </w:rPr>
      </w:pPr>
      <w:bookmarkStart w:id="109" w:name="_Toc15396631"/>
      <w:bookmarkStart w:id="110" w:name="_Toc26669"/>
      <w:r>
        <w:rPr>
          <w:rStyle w:val="36"/>
          <w:rFonts w:hint="eastAsia" w:ascii="仿宋" w:hAnsi="仿宋" w:eastAsia="仿宋"/>
          <w:b w:val="0"/>
          <w:bCs w:val="0"/>
        </w:rPr>
        <w:t>十三、</w:t>
      </w:r>
      <w:bookmarkEnd w:id="109"/>
      <w:r>
        <w:rPr>
          <w:rStyle w:val="36"/>
          <w:rFonts w:hint="eastAsia" w:ascii="仿宋" w:hAnsi="仿宋" w:eastAsia="仿宋"/>
          <w:b w:val="0"/>
          <w:bCs w:val="0"/>
        </w:rPr>
        <w:t>财政拨款“三公”经费支出决算表</w:t>
      </w:r>
      <w:bookmarkEnd w:id="110"/>
    </w:p>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方正仿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Times_New_Roman">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pPr>
                                <w:pStyle w:val="13"/>
                                <w:jc w:val="center"/>
                              </w:pPr>
                              <w:r>
                                <w:fldChar w:fldCharType="begin"/>
                              </w:r>
                              <w:r>
                                <w:instrText xml:space="preserve">PAGE   \* MERGEFORMAT</w:instrText>
                              </w:r>
                              <w:r>
                                <w:fldChar w:fldCharType="separate"/>
                              </w:r>
                              <w:r>
                                <w:rPr>
                                  <w:lang w:val="zh-CN"/>
                                </w:rPr>
                                <w:t>2</w:t>
                              </w:r>
                              <w:r>
                                <w:fldChar w:fldCharType="end"/>
                              </w:r>
                            </w:p>
                          </w:sdtContent>
                        </w:sdt>
                        <w:p>
                          <w:pPr>
                            <w:pStyle w:val="9"/>
                            <w:spacing w:before="72"/>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CAZkJBYCAAAZBAAADgAAAAAAAAABACAAAAA1AQAAZHJzL2Uyb0RvYy54bWxQSwUGAAAAAAYA&#10;BgBZAQAAvQUAAAAA&#10;">
              <v:fill on="f" focussize="0,0"/>
              <v:stroke on="f" weight="0.5pt"/>
              <v:imagedata o:title=""/>
              <o:lock v:ext="edit" aspectratio="f"/>
              <v:textbox inset="0mm,0mm,0mm,0mm" style="mso-fit-shape-to-text:t;">
                <w:txbxContent>
                  <w:sdt>
                    <w:sdtPr>
                      <w:id w:val="-1994781956"/>
                    </w:sdtPr>
                    <w:sdtContent>
                      <w:p>
                        <w:pPr>
                          <w:pStyle w:val="13"/>
                          <w:jc w:val="center"/>
                        </w:pPr>
                        <w:r>
                          <w:fldChar w:fldCharType="begin"/>
                        </w:r>
                        <w:r>
                          <w:instrText xml:space="preserve">PAGE   \* MERGEFORMAT</w:instrText>
                        </w:r>
                        <w:r>
                          <w:fldChar w:fldCharType="separate"/>
                        </w:r>
                        <w:r>
                          <w:rPr>
                            <w:lang w:val="zh-CN"/>
                          </w:rPr>
                          <w:t>2</w:t>
                        </w:r>
                        <w:r>
                          <w:fldChar w:fldCharType="end"/>
                        </w:r>
                      </w:p>
                    </w:sdtContent>
                  </w:sdt>
                  <w:p>
                    <w:pPr>
                      <w:pStyle w:val="9"/>
                      <w:spacing w:before="72"/>
                    </w:pPr>
                  </w:p>
                </w:txbxContent>
              </v:textbox>
            </v:shape>
          </w:pict>
        </mc:Fallback>
      </mc:AlternateContent>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p>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xMgtGFA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LEyC0YUAgAAGQQAAA4AAAAAAAAAAQAgAAAANQEAAGRycy9lMm9Eb2MueG1sUEsFBgAAAAAGAAYA&#10;WQEAALsFAAAAAA==&#10;">
              <v:fill on="f" focussize="0,0"/>
              <v:stroke on="f" weight="0.5pt"/>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CEE51"/>
    <w:multiLevelType w:val="singleLevel"/>
    <w:tmpl w:val="84FCEE51"/>
    <w:lvl w:ilvl="0" w:tentative="0">
      <w:start w:val="2"/>
      <w:numFmt w:val="chineseCounting"/>
      <w:suff w:val="nothing"/>
      <w:lvlText w:val="（%1）"/>
      <w:lvlJc w:val="left"/>
      <w:rPr>
        <w:rFonts w:hint="eastAsia"/>
      </w:rPr>
    </w:lvl>
  </w:abstractNum>
  <w:abstractNum w:abstractNumId="1">
    <w:nsid w:val="95BB619C"/>
    <w:multiLevelType w:val="singleLevel"/>
    <w:tmpl w:val="95BB619C"/>
    <w:lvl w:ilvl="0" w:tentative="0">
      <w:start w:val="1"/>
      <w:numFmt w:val="chineseCounting"/>
      <w:suff w:val="nothing"/>
      <w:lvlText w:val="（%1）"/>
      <w:lvlJc w:val="left"/>
      <w:rPr>
        <w:rFonts w:hint="eastAsia"/>
      </w:rPr>
    </w:lvl>
  </w:abstractNum>
  <w:abstractNum w:abstractNumId="2">
    <w:nsid w:val="9D1B014D"/>
    <w:multiLevelType w:val="singleLevel"/>
    <w:tmpl w:val="9D1B014D"/>
    <w:lvl w:ilvl="0" w:tentative="0">
      <w:start w:val="2"/>
      <w:numFmt w:val="decimal"/>
      <w:suff w:val="space"/>
      <w:lvlText w:val="%1."/>
      <w:lvlJc w:val="left"/>
    </w:lvl>
  </w:abstractNum>
  <w:abstractNum w:abstractNumId="3">
    <w:nsid w:val="A2B505F9"/>
    <w:multiLevelType w:val="singleLevel"/>
    <w:tmpl w:val="A2B505F9"/>
    <w:lvl w:ilvl="0" w:tentative="0">
      <w:start w:val="2"/>
      <w:numFmt w:val="decimal"/>
      <w:suff w:val="space"/>
      <w:lvlText w:val="%1."/>
      <w:lvlJc w:val="left"/>
    </w:lvl>
  </w:abstractNum>
  <w:abstractNum w:abstractNumId="4">
    <w:nsid w:val="B0D79640"/>
    <w:multiLevelType w:val="singleLevel"/>
    <w:tmpl w:val="B0D79640"/>
    <w:lvl w:ilvl="0" w:tentative="0">
      <w:start w:val="2"/>
      <w:numFmt w:val="decimal"/>
      <w:suff w:val="space"/>
      <w:lvlText w:val="%1."/>
      <w:lvlJc w:val="left"/>
    </w:lvl>
  </w:abstractNum>
  <w:abstractNum w:abstractNumId="5">
    <w:nsid w:val="B6FBF48D"/>
    <w:multiLevelType w:val="singleLevel"/>
    <w:tmpl w:val="B6FBF48D"/>
    <w:lvl w:ilvl="0" w:tentative="0">
      <w:start w:val="1"/>
      <w:numFmt w:val="decimal"/>
      <w:suff w:val="nothing"/>
      <w:lvlText w:val="（%1）"/>
      <w:lvlJc w:val="left"/>
      <w:pPr>
        <w:ind w:left="-10"/>
      </w:pPr>
    </w:lvl>
  </w:abstractNum>
  <w:abstractNum w:abstractNumId="6">
    <w:nsid w:val="CF652CEC"/>
    <w:multiLevelType w:val="singleLevel"/>
    <w:tmpl w:val="CF652CEC"/>
    <w:lvl w:ilvl="0" w:tentative="0">
      <w:start w:val="9"/>
      <w:numFmt w:val="chineseCounting"/>
      <w:suff w:val="nothing"/>
      <w:lvlText w:val="%1、"/>
      <w:lvlJc w:val="left"/>
      <w:rPr>
        <w:rFonts w:hint="eastAsia"/>
      </w:rPr>
    </w:lvl>
  </w:abstractNum>
  <w:abstractNum w:abstractNumId="7">
    <w:nsid w:val="DF076C2A"/>
    <w:multiLevelType w:val="singleLevel"/>
    <w:tmpl w:val="DF076C2A"/>
    <w:lvl w:ilvl="0" w:tentative="0">
      <w:start w:val="2"/>
      <w:numFmt w:val="decimal"/>
      <w:suff w:val="space"/>
      <w:lvlText w:val="%1."/>
      <w:lvlJc w:val="left"/>
      <w:pPr>
        <w:ind w:left="-90"/>
      </w:pPr>
    </w:lvl>
  </w:abstractNum>
  <w:abstractNum w:abstractNumId="8">
    <w:nsid w:val="E2FA047D"/>
    <w:multiLevelType w:val="singleLevel"/>
    <w:tmpl w:val="E2FA047D"/>
    <w:lvl w:ilvl="0" w:tentative="0">
      <w:start w:val="3"/>
      <w:numFmt w:val="chineseCounting"/>
      <w:suff w:val="space"/>
      <w:lvlText w:val="第%1部分"/>
      <w:lvlJc w:val="left"/>
      <w:rPr>
        <w:rFonts w:hint="eastAsia"/>
      </w:rPr>
    </w:lvl>
  </w:abstractNum>
  <w:abstractNum w:abstractNumId="9">
    <w:nsid w:val="FF224B9E"/>
    <w:multiLevelType w:val="singleLevel"/>
    <w:tmpl w:val="FF224B9E"/>
    <w:lvl w:ilvl="0" w:tentative="0">
      <w:start w:val="2"/>
      <w:numFmt w:val="chineseCounting"/>
      <w:suff w:val="nothing"/>
      <w:lvlText w:val="（%1）"/>
      <w:lvlJc w:val="left"/>
      <w:rPr>
        <w:rFonts w:hint="eastAsia"/>
      </w:rPr>
    </w:lvl>
  </w:abstractNum>
  <w:abstractNum w:abstractNumId="10">
    <w:nsid w:val="0FD16D87"/>
    <w:multiLevelType w:val="multilevel"/>
    <w:tmpl w:val="0FD16D87"/>
    <w:lvl w:ilvl="0" w:tentative="0">
      <w:start w:val="1"/>
      <w:numFmt w:val="japaneseCounting"/>
      <w:lvlText w:val="%1、"/>
      <w:lvlJc w:val="left"/>
      <w:pPr>
        <w:ind w:left="630" w:hanging="6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2">
    <w:nsid w:val="443EE317"/>
    <w:multiLevelType w:val="multilevel"/>
    <w:tmpl w:val="443EE317"/>
    <w:lvl w:ilvl="0" w:tentative="0">
      <w:start w:val="2"/>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60F0163D"/>
    <w:multiLevelType w:val="multilevel"/>
    <w:tmpl w:val="60F0163D"/>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4">
    <w:nsid w:val="700B4B46"/>
    <w:multiLevelType w:val="singleLevel"/>
    <w:tmpl w:val="700B4B46"/>
    <w:lvl w:ilvl="0" w:tentative="0">
      <w:start w:val="2"/>
      <w:numFmt w:val="decimal"/>
      <w:suff w:val="space"/>
      <w:lvlText w:val="%1."/>
      <w:lvlJc w:val="left"/>
    </w:lvl>
  </w:abstractNum>
  <w:num w:numId="1">
    <w:abstractNumId w:val="10"/>
  </w:num>
  <w:num w:numId="2">
    <w:abstractNumId w:val="11"/>
  </w:num>
  <w:num w:numId="3">
    <w:abstractNumId w:val="6"/>
  </w:num>
  <w:num w:numId="4">
    <w:abstractNumId w:val="8"/>
  </w:num>
  <w:num w:numId="5">
    <w:abstractNumId w:val="12"/>
  </w:num>
  <w:num w:numId="6">
    <w:abstractNumId w:val="9"/>
  </w:num>
  <w:num w:numId="7">
    <w:abstractNumId w:val="4"/>
  </w:num>
  <w:num w:numId="8">
    <w:abstractNumId w:val="5"/>
  </w:num>
  <w:num w:numId="9">
    <w:abstractNumId w:val="7"/>
  </w:num>
  <w:num w:numId="10">
    <w:abstractNumId w:val="1"/>
  </w:num>
  <w:num w:numId="11">
    <w:abstractNumId w:val="14"/>
  </w:num>
  <w:num w:numId="12">
    <w:abstractNumId w:val="3"/>
  </w:num>
  <w:num w:numId="13">
    <w:abstractNumId w:val="2"/>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2OGFjMzE0ODBhNzFjM2NhYWM5OWQ0OTY5MTU5Zj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6D0C"/>
    <w:rsid w:val="00142216"/>
    <w:rsid w:val="00144D6A"/>
    <w:rsid w:val="0014729F"/>
    <w:rsid w:val="00157BAB"/>
    <w:rsid w:val="001654D1"/>
    <w:rsid w:val="00174518"/>
    <w:rsid w:val="0018106D"/>
    <w:rsid w:val="001877A7"/>
    <w:rsid w:val="00191536"/>
    <w:rsid w:val="00196687"/>
    <w:rsid w:val="001C0962"/>
    <w:rsid w:val="001D7531"/>
    <w:rsid w:val="001E2FF1"/>
    <w:rsid w:val="001E737D"/>
    <w:rsid w:val="001F0592"/>
    <w:rsid w:val="001F7506"/>
    <w:rsid w:val="002006CD"/>
    <w:rsid w:val="00202B36"/>
    <w:rsid w:val="00204B7A"/>
    <w:rsid w:val="00204CDE"/>
    <w:rsid w:val="0021101A"/>
    <w:rsid w:val="00217081"/>
    <w:rsid w:val="00220536"/>
    <w:rsid w:val="00235629"/>
    <w:rsid w:val="00247B82"/>
    <w:rsid w:val="00260C38"/>
    <w:rsid w:val="002616C0"/>
    <w:rsid w:val="00265372"/>
    <w:rsid w:val="0026537A"/>
    <w:rsid w:val="002662AA"/>
    <w:rsid w:val="00280496"/>
    <w:rsid w:val="00294DC9"/>
    <w:rsid w:val="00295495"/>
    <w:rsid w:val="002A31DE"/>
    <w:rsid w:val="002B2613"/>
    <w:rsid w:val="002D6D05"/>
    <w:rsid w:val="002F1818"/>
    <w:rsid w:val="002F4742"/>
    <w:rsid w:val="002F567B"/>
    <w:rsid w:val="003216A9"/>
    <w:rsid w:val="00335A74"/>
    <w:rsid w:val="0033664A"/>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42CC"/>
    <w:rsid w:val="003E685E"/>
    <w:rsid w:val="003E6F55"/>
    <w:rsid w:val="003F35DB"/>
    <w:rsid w:val="00406254"/>
    <w:rsid w:val="004223DE"/>
    <w:rsid w:val="00425513"/>
    <w:rsid w:val="00434489"/>
    <w:rsid w:val="00437085"/>
    <w:rsid w:val="00443880"/>
    <w:rsid w:val="004464F4"/>
    <w:rsid w:val="00446E63"/>
    <w:rsid w:val="00467094"/>
    <w:rsid w:val="00471401"/>
    <w:rsid w:val="004714D0"/>
    <w:rsid w:val="00473F31"/>
    <w:rsid w:val="0048263A"/>
    <w:rsid w:val="00487E5D"/>
    <w:rsid w:val="004A711F"/>
    <w:rsid w:val="004B199D"/>
    <w:rsid w:val="004B4690"/>
    <w:rsid w:val="004E0A2D"/>
    <w:rsid w:val="004E206B"/>
    <w:rsid w:val="004E6DF7"/>
    <w:rsid w:val="004F0FBD"/>
    <w:rsid w:val="00505A47"/>
    <w:rsid w:val="00512FDA"/>
    <w:rsid w:val="00520DA0"/>
    <w:rsid w:val="00525E15"/>
    <w:rsid w:val="005664BB"/>
    <w:rsid w:val="00566FFA"/>
    <w:rsid w:val="0057481D"/>
    <w:rsid w:val="00577718"/>
    <w:rsid w:val="0058486E"/>
    <w:rsid w:val="00585B33"/>
    <w:rsid w:val="0059014D"/>
    <w:rsid w:val="005902FC"/>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280B"/>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6C2A"/>
    <w:rsid w:val="007770C3"/>
    <w:rsid w:val="0078455D"/>
    <w:rsid w:val="00784D24"/>
    <w:rsid w:val="00785FBA"/>
    <w:rsid w:val="00786E4A"/>
    <w:rsid w:val="007875EB"/>
    <w:rsid w:val="0079426B"/>
    <w:rsid w:val="007A50A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C7C9E"/>
    <w:rsid w:val="009D3447"/>
    <w:rsid w:val="009D4711"/>
    <w:rsid w:val="009E3506"/>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26ED"/>
    <w:rsid w:val="00AB64C9"/>
    <w:rsid w:val="00AB767A"/>
    <w:rsid w:val="00AC3C6A"/>
    <w:rsid w:val="00AD5620"/>
    <w:rsid w:val="00AD656B"/>
    <w:rsid w:val="00AD7C1B"/>
    <w:rsid w:val="00AE16BA"/>
    <w:rsid w:val="00AE1EBE"/>
    <w:rsid w:val="00AF0A50"/>
    <w:rsid w:val="00AF4DEB"/>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B6E09"/>
    <w:rsid w:val="00BC289F"/>
    <w:rsid w:val="00BC2D50"/>
    <w:rsid w:val="00BC5361"/>
    <w:rsid w:val="00BC5460"/>
    <w:rsid w:val="00BC6B50"/>
    <w:rsid w:val="00BD0E25"/>
    <w:rsid w:val="00BF5BD6"/>
    <w:rsid w:val="00C03E31"/>
    <w:rsid w:val="00C33E72"/>
    <w:rsid w:val="00C354B2"/>
    <w:rsid w:val="00C35554"/>
    <w:rsid w:val="00C42709"/>
    <w:rsid w:val="00C52575"/>
    <w:rsid w:val="00C533CC"/>
    <w:rsid w:val="00C5751C"/>
    <w:rsid w:val="00C61BFC"/>
    <w:rsid w:val="00C62B85"/>
    <w:rsid w:val="00C65438"/>
    <w:rsid w:val="00C87FD8"/>
    <w:rsid w:val="00C91381"/>
    <w:rsid w:val="00C91CBB"/>
    <w:rsid w:val="00CB4E70"/>
    <w:rsid w:val="00CC09B6"/>
    <w:rsid w:val="00CC666F"/>
    <w:rsid w:val="00CC6BAC"/>
    <w:rsid w:val="00CD1E3F"/>
    <w:rsid w:val="00CD6952"/>
    <w:rsid w:val="00CE44F6"/>
    <w:rsid w:val="00CE49DA"/>
    <w:rsid w:val="00CE7B61"/>
    <w:rsid w:val="00D00095"/>
    <w:rsid w:val="00D114F0"/>
    <w:rsid w:val="00D20620"/>
    <w:rsid w:val="00D254F7"/>
    <w:rsid w:val="00D26091"/>
    <w:rsid w:val="00D2685C"/>
    <w:rsid w:val="00D34E7C"/>
    <w:rsid w:val="00D34F17"/>
    <w:rsid w:val="00D35489"/>
    <w:rsid w:val="00D36AFE"/>
    <w:rsid w:val="00D51276"/>
    <w:rsid w:val="00D7035F"/>
    <w:rsid w:val="00DA634F"/>
    <w:rsid w:val="00DA65AC"/>
    <w:rsid w:val="00DB1913"/>
    <w:rsid w:val="00DC410D"/>
    <w:rsid w:val="00DC4B63"/>
    <w:rsid w:val="00DC5A81"/>
    <w:rsid w:val="00DC68CA"/>
    <w:rsid w:val="00DC7CBA"/>
    <w:rsid w:val="00DD73B7"/>
    <w:rsid w:val="00DE4E6E"/>
    <w:rsid w:val="00DF06E2"/>
    <w:rsid w:val="00DF28BC"/>
    <w:rsid w:val="00DF34B9"/>
    <w:rsid w:val="00E01053"/>
    <w:rsid w:val="00E07ACF"/>
    <w:rsid w:val="00E22135"/>
    <w:rsid w:val="00E331A1"/>
    <w:rsid w:val="00E33202"/>
    <w:rsid w:val="00E336A9"/>
    <w:rsid w:val="00E472B1"/>
    <w:rsid w:val="00E50624"/>
    <w:rsid w:val="00E5285B"/>
    <w:rsid w:val="00E568DF"/>
    <w:rsid w:val="00E610F5"/>
    <w:rsid w:val="00E64269"/>
    <w:rsid w:val="00E82267"/>
    <w:rsid w:val="00E853CE"/>
    <w:rsid w:val="00E867B6"/>
    <w:rsid w:val="00EA010F"/>
    <w:rsid w:val="00ED1B63"/>
    <w:rsid w:val="00ED3C1F"/>
    <w:rsid w:val="00ED4085"/>
    <w:rsid w:val="00ED420E"/>
    <w:rsid w:val="00ED6FBE"/>
    <w:rsid w:val="00EE2F57"/>
    <w:rsid w:val="00EF39C0"/>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738C0"/>
    <w:rsid w:val="010B1C3B"/>
    <w:rsid w:val="0125475B"/>
    <w:rsid w:val="015975B8"/>
    <w:rsid w:val="016E42A6"/>
    <w:rsid w:val="02143E91"/>
    <w:rsid w:val="023216BC"/>
    <w:rsid w:val="024B527D"/>
    <w:rsid w:val="02625AAF"/>
    <w:rsid w:val="027B6F61"/>
    <w:rsid w:val="02B76ACD"/>
    <w:rsid w:val="02B95949"/>
    <w:rsid w:val="02E97CC2"/>
    <w:rsid w:val="03045659"/>
    <w:rsid w:val="031671B9"/>
    <w:rsid w:val="0340256B"/>
    <w:rsid w:val="034334DA"/>
    <w:rsid w:val="03454F90"/>
    <w:rsid w:val="037642A1"/>
    <w:rsid w:val="037C1244"/>
    <w:rsid w:val="0393168F"/>
    <w:rsid w:val="03BD763D"/>
    <w:rsid w:val="03CC21CB"/>
    <w:rsid w:val="03D52D80"/>
    <w:rsid w:val="03E24EFF"/>
    <w:rsid w:val="043B5E8E"/>
    <w:rsid w:val="04643905"/>
    <w:rsid w:val="047363D2"/>
    <w:rsid w:val="047E4B89"/>
    <w:rsid w:val="04B30E34"/>
    <w:rsid w:val="04B4182F"/>
    <w:rsid w:val="04D32E80"/>
    <w:rsid w:val="05052EDF"/>
    <w:rsid w:val="0564481A"/>
    <w:rsid w:val="059F0FEA"/>
    <w:rsid w:val="05AE4772"/>
    <w:rsid w:val="05EA4B8A"/>
    <w:rsid w:val="0662512B"/>
    <w:rsid w:val="06640973"/>
    <w:rsid w:val="066E0107"/>
    <w:rsid w:val="06EA2C23"/>
    <w:rsid w:val="06F846D6"/>
    <w:rsid w:val="074D25EA"/>
    <w:rsid w:val="07554285"/>
    <w:rsid w:val="07996F6E"/>
    <w:rsid w:val="07A121E5"/>
    <w:rsid w:val="081B2F5F"/>
    <w:rsid w:val="086F16EF"/>
    <w:rsid w:val="094C7C01"/>
    <w:rsid w:val="096B3CA2"/>
    <w:rsid w:val="097F62C6"/>
    <w:rsid w:val="098F1CD1"/>
    <w:rsid w:val="09CB082F"/>
    <w:rsid w:val="0A2032A3"/>
    <w:rsid w:val="0A3B59B5"/>
    <w:rsid w:val="0A3C4FBB"/>
    <w:rsid w:val="0A5F5A7E"/>
    <w:rsid w:val="0A79472F"/>
    <w:rsid w:val="0A9D092A"/>
    <w:rsid w:val="0B000DD9"/>
    <w:rsid w:val="0B073AE9"/>
    <w:rsid w:val="0B257386"/>
    <w:rsid w:val="0B2941A3"/>
    <w:rsid w:val="0B7B428A"/>
    <w:rsid w:val="0BAD7051"/>
    <w:rsid w:val="0BAF3305"/>
    <w:rsid w:val="0BBF307E"/>
    <w:rsid w:val="0BCC3E23"/>
    <w:rsid w:val="0C50166C"/>
    <w:rsid w:val="0C882A07"/>
    <w:rsid w:val="0D006A41"/>
    <w:rsid w:val="0D1B32A1"/>
    <w:rsid w:val="0D3178D2"/>
    <w:rsid w:val="0D844E2A"/>
    <w:rsid w:val="0E132433"/>
    <w:rsid w:val="0E174B3D"/>
    <w:rsid w:val="0E7771D7"/>
    <w:rsid w:val="0E9B15E4"/>
    <w:rsid w:val="0F176FE8"/>
    <w:rsid w:val="0F44029C"/>
    <w:rsid w:val="0F723F3A"/>
    <w:rsid w:val="0F802F07"/>
    <w:rsid w:val="0F98263C"/>
    <w:rsid w:val="0FA81BA0"/>
    <w:rsid w:val="0FB21C58"/>
    <w:rsid w:val="0FF33AD2"/>
    <w:rsid w:val="101860EC"/>
    <w:rsid w:val="10324547"/>
    <w:rsid w:val="10A87B1C"/>
    <w:rsid w:val="10C055FF"/>
    <w:rsid w:val="10C20BDE"/>
    <w:rsid w:val="10DA3909"/>
    <w:rsid w:val="113D2012"/>
    <w:rsid w:val="118107EC"/>
    <w:rsid w:val="11EA18F5"/>
    <w:rsid w:val="123B344A"/>
    <w:rsid w:val="123D1833"/>
    <w:rsid w:val="124046F0"/>
    <w:rsid w:val="125002E9"/>
    <w:rsid w:val="127D57C5"/>
    <w:rsid w:val="129D1302"/>
    <w:rsid w:val="12A57CBA"/>
    <w:rsid w:val="13401FCB"/>
    <w:rsid w:val="13640D55"/>
    <w:rsid w:val="13824B7E"/>
    <w:rsid w:val="13D50BC4"/>
    <w:rsid w:val="13E83186"/>
    <w:rsid w:val="13EB1202"/>
    <w:rsid w:val="13EF4884"/>
    <w:rsid w:val="14106AD3"/>
    <w:rsid w:val="14162351"/>
    <w:rsid w:val="142E6319"/>
    <w:rsid w:val="145B7F50"/>
    <w:rsid w:val="147B2527"/>
    <w:rsid w:val="1488724D"/>
    <w:rsid w:val="14AC3EE3"/>
    <w:rsid w:val="14B31123"/>
    <w:rsid w:val="15757447"/>
    <w:rsid w:val="157944F9"/>
    <w:rsid w:val="15A400A6"/>
    <w:rsid w:val="15A73991"/>
    <w:rsid w:val="15B14D7D"/>
    <w:rsid w:val="15CD3DE8"/>
    <w:rsid w:val="15DB327C"/>
    <w:rsid w:val="16361726"/>
    <w:rsid w:val="163C0F59"/>
    <w:rsid w:val="163D0B60"/>
    <w:rsid w:val="16B75753"/>
    <w:rsid w:val="16BB723D"/>
    <w:rsid w:val="16FC7CD4"/>
    <w:rsid w:val="17185877"/>
    <w:rsid w:val="172872C1"/>
    <w:rsid w:val="17332628"/>
    <w:rsid w:val="17372FAA"/>
    <w:rsid w:val="173D6F65"/>
    <w:rsid w:val="175B58E8"/>
    <w:rsid w:val="17767996"/>
    <w:rsid w:val="17AE06A7"/>
    <w:rsid w:val="17B14CD6"/>
    <w:rsid w:val="17B26E58"/>
    <w:rsid w:val="17BD7A95"/>
    <w:rsid w:val="17BE1BF3"/>
    <w:rsid w:val="17F378CF"/>
    <w:rsid w:val="18160BC8"/>
    <w:rsid w:val="184F18B6"/>
    <w:rsid w:val="186947DC"/>
    <w:rsid w:val="18CE5C46"/>
    <w:rsid w:val="19792BAE"/>
    <w:rsid w:val="19972236"/>
    <w:rsid w:val="19CE1860"/>
    <w:rsid w:val="19D7775A"/>
    <w:rsid w:val="19DF1E2E"/>
    <w:rsid w:val="19E34E8C"/>
    <w:rsid w:val="19EF5A4D"/>
    <w:rsid w:val="1A0573BC"/>
    <w:rsid w:val="1A08308A"/>
    <w:rsid w:val="1A2226ED"/>
    <w:rsid w:val="1A3B7D69"/>
    <w:rsid w:val="1A4574CF"/>
    <w:rsid w:val="1A670EFC"/>
    <w:rsid w:val="1A9A2283"/>
    <w:rsid w:val="1AAB2B70"/>
    <w:rsid w:val="1AE854B9"/>
    <w:rsid w:val="1B072569"/>
    <w:rsid w:val="1B121902"/>
    <w:rsid w:val="1B297ECA"/>
    <w:rsid w:val="1B2C5F25"/>
    <w:rsid w:val="1B2F430E"/>
    <w:rsid w:val="1B721452"/>
    <w:rsid w:val="1BBD688A"/>
    <w:rsid w:val="1BD011DD"/>
    <w:rsid w:val="1BDC0AD0"/>
    <w:rsid w:val="1BE8440E"/>
    <w:rsid w:val="1BF00DEC"/>
    <w:rsid w:val="1BF11C8C"/>
    <w:rsid w:val="1C2865F4"/>
    <w:rsid w:val="1C2D0920"/>
    <w:rsid w:val="1C2F4C4D"/>
    <w:rsid w:val="1C5B0664"/>
    <w:rsid w:val="1C5C2261"/>
    <w:rsid w:val="1C7218A1"/>
    <w:rsid w:val="1CB47967"/>
    <w:rsid w:val="1CB57848"/>
    <w:rsid w:val="1D155CEE"/>
    <w:rsid w:val="1D167BBB"/>
    <w:rsid w:val="1D2101A8"/>
    <w:rsid w:val="1D3F55C1"/>
    <w:rsid w:val="1D90108D"/>
    <w:rsid w:val="1DA951BD"/>
    <w:rsid w:val="1DCF77DA"/>
    <w:rsid w:val="1DDD2FE9"/>
    <w:rsid w:val="1DE13C4F"/>
    <w:rsid w:val="1DE25E91"/>
    <w:rsid w:val="1DE57CB9"/>
    <w:rsid w:val="1DE81558"/>
    <w:rsid w:val="1DE9734A"/>
    <w:rsid w:val="1DEF5C6E"/>
    <w:rsid w:val="1E162569"/>
    <w:rsid w:val="1E177329"/>
    <w:rsid w:val="1E597394"/>
    <w:rsid w:val="1EE12B77"/>
    <w:rsid w:val="1EF04B68"/>
    <w:rsid w:val="1F046865"/>
    <w:rsid w:val="1F2B76DB"/>
    <w:rsid w:val="1F53211F"/>
    <w:rsid w:val="1F575867"/>
    <w:rsid w:val="1F735ECB"/>
    <w:rsid w:val="1F7E038B"/>
    <w:rsid w:val="1F9A0F77"/>
    <w:rsid w:val="1FA6737F"/>
    <w:rsid w:val="1FBC4A4A"/>
    <w:rsid w:val="1FCB3C54"/>
    <w:rsid w:val="1FF35744"/>
    <w:rsid w:val="205D1002"/>
    <w:rsid w:val="20864CB3"/>
    <w:rsid w:val="209E7308"/>
    <w:rsid w:val="20DE5340"/>
    <w:rsid w:val="214C2BF4"/>
    <w:rsid w:val="21640713"/>
    <w:rsid w:val="21FB24A2"/>
    <w:rsid w:val="2203065C"/>
    <w:rsid w:val="220457A4"/>
    <w:rsid w:val="22072516"/>
    <w:rsid w:val="22373C7B"/>
    <w:rsid w:val="225433E4"/>
    <w:rsid w:val="228579E1"/>
    <w:rsid w:val="22AB6497"/>
    <w:rsid w:val="22FD660D"/>
    <w:rsid w:val="23156299"/>
    <w:rsid w:val="233E0A23"/>
    <w:rsid w:val="2380344C"/>
    <w:rsid w:val="23860B96"/>
    <w:rsid w:val="238B6ABF"/>
    <w:rsid w:val="23CE3E87"/>
    <w:rsid w:val="240371BF"/>
    <w:rsid w:val="242F138B"/>
    <w:rsid w:val="24606815"/>
    <w:rsid w:val="24740FE4"/>
    <w:rsid w:val="249D7E6D"/>
    <w:rsid w:val="24D9691D"/>
    <w:rsid w:val="24F737AC"/>
    <w:rsid w:val="2550642B"/>
    <w:rsid w:val="255A34AA"/>
    <w:rsid w:val="25681626"/>
    <w:rsid w:val="25B94C89"/>
    <w:rsid w:val="25FA5003"/>
    <w:rsid w:val="2615189C"/>
    <w:rsid w:val="261E2770"/>
    <w:rsid w:val="263372E6"/>
    <w:rsid w:val="26744CB9"/>
    <w:rsid w:val="26AF5308"/>
    <w:rsid w:val="26D46B1D"/>
    <w:rsid w:val="26F30F50"/>
    <w:rsid w:val="273F6112"/>
    <w:rsid w:val="27BE7BF9"/>
    <w:rsid w:val="28144510"/>
    <w:rsid w:val="2848695C"/>
    <w:rsid w:val="28E71B98"/>
    <w:rsid w:val="29313626"/>
    <w:rsid w:val="29356DF4"/>
    <w:rsid w:val="29696C93"/>
    <w:rsid w:val="296F2808"/>
    <w:rsid w:val="297521C5"/>
    <w:rsid w:val="2987256D"/>
    <w:rsid w:val="29BB5A03"/>
    <w:rsid w:val="29C67783"/>
    <w:rsid w:val="29FD04D3"/>
    <w:rsid w:val="2A234841"/>
    <w:rsid w:val="2A3538B0"/>
    <w:rsid w:val="2A557F75"/>
    <w:rsid w:val="2A905451"/>
    <w:rsid w:val="2AEB1B7A"/>
    <w:rsid w:val="2B3161DB"/>
    <w:rsid w:val="2BA93357"/>
    <w:rsid w:val="2BB3014D"/>
    <w:rsid w:val="2BE178F5"/>
    <w:rsid w:val="2C8A61B5"/>
    <w:rsid w:val="2C974195"/>
    <w:rsid w:val="2CA27D68"/>
    <w:rsid w:val="2CB70350"/>
    <w:rsid w:val="2CBA0563"/>
    <w:rsid w:val="2CE432C4"/>
    <w:rsid w:val="2CF76A04"/>
    <w:rsid w:val="2D067C4C"/>
    <w:rsid w:val="2D2160FD"/>
    <w:rsid w:val="2D5863A7"/>
    <w:rsid w:val="2D5A5B8B"/>
    <w:rsid w:val="2D6834E6"/>
    <w:rsid w:val="2D6E2068"/>
    <w:rsid w:val="2DD36254"/>
    <w:rsid w:val="2DF04E50"/>
    <w:rsid w:val="2DFC2592"/>
    <w:rsid w:val="2E0555A7"/>
    <w:rsid w:val="2E3F183A"/>
    <w:rsid w:val="2E50153F"/>
    <w:rsid w:val="2E550871"/>
    <w:rsid w:val="2E693FEF"/>
    <w:rsid w:val="2E7847C9"/>
    <w:rsid w:val="2E797EE1"/>
    <w:rsid w:val="2E7C01C6"/>
    <w:rsid w:val="2E886C68"/>
    <w:rsid w:val="2E9568CF"/>
    <w:rsid w:val="2EB359CC"/>
    <w:rsid w:val="2ED91C44"/>
    <w:rsid w:val="2F013D57"/>
    <w:rsid w:val="2F040D46"/>
    <w:rsid w:val="2F4B5DEA"/>
    <w:rsid w:val="2F4D2CC8"/>
    <w:rsid w:val="2F501713"/>
    <w:rsid w:val="2FED0C50"/>
    <w:rsid w:val="2FF60DCD"/>
    <w:rsid w:val="30545B15"/>
    <w:rsid w:val="307416C5"/>
    <w:rsid w:val="308E65E7"/>
    <w:rsid w:val="30C21322"/>
    <w:rsid w:val="30C236AD"/>
    <w:rsid w:val="30ED2F06"/>
    <w:rsid w:val="316A5F5B"/>
    <w:rsid w:val="317038E6"/>
    <w:rsid w:val="319F7F4E"/>
    <w:rsid w:val="31A42E36"/>
    <w:rsid w:val="31C52597"/>
    <w:rsid w:val="31CD2113"/>
    <w:rsid w:val="31D03522"/>
    <w:rsid w:val="31E27BFB"/>
    <w:rsid w:val="322C1F03"/>
    <w:rsid w:val="323E7AD1"/>
    <w:rsid w:val="324E18DC"/>
    <w:rsid w:val="325624F0"/>
    <w:rsid w:val="32621B69"/>
    <w:rsid w:val="32707532"/>
    <w:rsid w:val="32791D75"/>
    <w:rsid w:val="32D012F3"/>
    <w:rsid w:val="33031DE3"/>
    <w:rsid w:val="3304709D"/>
    <w:rsid w:val="33106C1F"/>
    <w:rsid w:val="33222F04"/>
    <w:rsid w:val="33337C8F"/>
    <w:rsid w:val="334D1B34"/>
    <w:rsid w:val="3384467F"/>
    <w:rsid w:val="339B5066"/>
    <w:rsid w:val="343D54B4"/>
    <w:rsid w:val="34892759"/>
    <w:rsid w:val="349C298C"/>
    <w:rsid w:val="350528B6"/>
    <w:rsid w:val="35257C79"/>
    <w:rsid w:val="356A1A13"/>
    <w:rsid w:val="357C0AAC"/>
    <w:rsid w:val="35C11DBE"/>
    <w:rsid w:val="35E50FF6"/>
    <w:rsid w:val="35ED7BFB"/>
    <w:rsid w:val="362228B1"/>
    <w:rsid w:val="36AA5135"/>
    <w:rsid w:val="36AB2F57"/>
    <w:rsid w:val="36C61D78"/>
    <w:rsid w:val="374B0604"/>
    <w:rsid w:val="375264AD"/>
    <w:rsid w:val="376D39B2"/>
    <w:rsid w:val="37E16F03"/>
    <w:rsid w:val="38744111"/>
    <w:rsid w:val="38D434DB"/>
    <w:rsid w:val="38D469F0"/>
    <w:rsid w:val="39110B49"/>
    <w:rsid w:val="392767E6"/>
    <w:rsid w:val="39435D7D"/>
    <w:rsid w:val="395D055D"/>
    <w:rsid w:val="39F6675D"/>
    <w:rsid w:val="39FF628D"/>
    <w:rsid w:val="3A327E40"/>
    <w:rsid w:val="3A342F6B"/>
    <w:rsid w:val="3A6F1D04"/>
    <w:rsid w:val="3A9643AE"/>
    <w:rsid w:val="3ADA03AE"/>
    <w:rsid w:val="3B035A0A"/>
    <w:rsid w:val="3B2F4F46"/>
    <w:rsid w:val="3B47768F"/>
    <w:rsid w:val="3B826E66"/>
    <w:rsid w:val="3B8862F1"/>
    <w:rsid w:val="3B8B69F7"/>
    <w:rsid w:val="3B8B7C9A"/>
    <w:rsid w:val="3B8C6E52"/>
    <w:rsid w:val="3BC04D99"/>
    <w:rsid w:val="3C617AD3"/>
    <w:rsid w:val="3C8D7A42"/>
    <w:rsid w:val="3CF7310E"/>
    <w:rsid w:val="3D1670A2"/>
    <w:rsid w:val="3D354D54"/>
    <w:rsid w:val="3D413B63"/>
    <w:rsid w:val="3D491BBB"/>
    <w:rsid w:val="3D6F0E01"/>
    <w:rsid w:val="3D873579"/>
    <w:rsid w:val="3D8C5F4C"/>
    <w:rsid w:val="3D98207C"/>
    <w:rsid w:val="3DA66985"/>
    <w:rsid w:val="3DA762AC"/>
    <w:rsid w:val="3DCA2955"/>
    <w:rsid w:val="3DE62375"/>
    <w:rsid w:val="3E141C34"/>
    <w:rsid w:val="3E1B5535"/>
    <w:rsid w:val="3E293AA2"/>
    <w:rsid w:val="3E5C6967"/>
    <w:rsid w:val="3E6461C7"/>
    <w:rsid w:val="3E78745D"/>
    <w:rsid w:val="3E80785E"/>
    <w:rsid w:val="3E856DBA"/>
    <w:rsid w:val="3EB91240"/>
    <w:rsid w:val="3ECA101F"/>
    <w:rsid w:val="3F0F0BE2"/>
    <w:rsid w:val="3F11495A"/>
    <w:rsid w:val="3F4630ED"/>
    <w:rsid w:val="3F481DC9"/>
    <w:rsid w:val="3F8B74A4"/>
    <w:rsid w:val="3FB141C2"/>
    <w:rsid w:val="3FD730B5"/>
    <w:rsid w:val="40130AE3"/>
    <w:rsid w:val="40132442"/>
    <w:rsid w:val="40155ED3"/>
    <w:rsid w:val="40224E5C"/>
    <w:rsid w:val="40567F8A"/>
    <w:rsid w:val="40AE3958"/>
    <w:rsid w:val="40F167F2"/>
    <w:rsid w:val="40FA31CC"/>
    <w:rsid w:val="41006EB0"/>
    <w:rsid w:val="41026670"/>
    <w:rsid w:val="41406E31"/>
    <w:rsid w:val="414E0476"/>
    <w:rsid w:val="41AC4D9F"/>
    <w:rsid w:val="41B565DA"/>
    <w:rsid w:val="41D63506"/>
    <w:rsid w:val="423A7D24"/>
    <w:rsid w:val="42585993"/>
    <w:rsid w:val="427225A8"/>
    <w:rsid w:val="427E10DC"/>
    <w:rsid w:val="42937435"/>
    <w:rsid w:val="42984A4B"/>
    <w:rsid w:val="431523CD"/>
    <w:rsid w:val="43573D2D"/>
    <w:rsid w:val="43BD7277"/>
    <w:rsid w:val="43BF22F7"/>
    <w:rsid w:val="43F973E4"/>
    <w:rsid w:val="441B74E4"/>
    <w:rsid w:val="444C01E3"/>
    <w:rsid w:val="44535730"/>
    <w:rsid w:val="447302F0"/>
    <w:rsid w:val="44864C35"/>
    <w:rsid w:val="44CB7586"/>
    <w:rsid w:val="44D92DF8"/>
    <w:rsid w:val="44E268DA"/>
    <w:rsid w:val="453631A8"/>
    <w:rsid w:val="4547758F"/>
    <w:rsid w:val="457C2159"/>
    <w:rsid w:val="458F482B"/>
    <w:rsid w:val="45AD2F03"/>
    <w:rsid w:val="45AE25CF"/>
    <w:rsid w:val="45C60CF9"/>
    <w:rsid w:val="45E758E2"/>
    <w:rsid w:val="462B74E2"/>
    <w:rsid w:val="46AA3909"/>
    <w:rsid w:val="46D57C3B"/>
    <w:rsid w:val="46F30FA2"/>
    <w:rsid w:val="470C528A"/>
    <w:rsid w:val="47185A72"/>
    <w:rsid w:val="471974CE"/>
    <w:rsid w:val="4753375E"/>
    <w:rsid w:val="477B063E"/>
    <w:rsid w:val="479271AB"/>
    <w:rsid w:val="479621DF"/>
    <w:rsid w:val="47983D09"/>
    <w:rsid w:val="47CF1632"/>
    <w:rsid w:val="485E09FF"/>
    <w:rsid w:val="48674B88"/>
    <w:rsid w:val="48825BFD"/>
    <w:rsid w:val="48A362E3"/>
    <w:rsid w:val="48AE7A4B"/>
    <w:rsid w:val="48B37537"/>
    <w:rsid w:val="48B652F2"/>
    <w:rsid w:val="48B902FA"/>
    <w:rsid w:val="48DA7B13"/>
    <w:rsid w:val="48E203AB"/>
    <w:rsid w:val="48E478FC"/>
    <w:rsid w:val="49012AFD"/>
    <w:rsid w:val="49A51AF2"/>
    <w:rsid w:val="49D17306"/>
    <w:rsid w:val="49F040D7"/>
    <w:rsid w:val="4A0F6118"/>
    <w:rsid w:val="4A1F7A1C"/>
    <w:rsid w:val="4A2A310D"/>
    <w:rsid w:val="4A5A59B0"/>
    <w:rsid w:val="4A627F82"/>
    <w:rsid w:val="4A8C58EA"/>
    <w:rsid w:val="4AEC6504"/>
    <w:rsid w:val="4B0E749A"/>
    <w:rsid w:val="4B23271B"/>
    <w:rsid w:val="4B2C6D3A"/>
    <w:rsid w:val="4B4A4021"/>
    <w:rsid w:val="4B4F25DA"/>
    <w:rsid w:val="4B5532E5"/>
    <w:rsid w:val="4BDD2653"/>
    <w:rsid w:val="4BE068DB"/>
    <w:rsid w:val="4C1B3997"/>
    <w:rsid w:val="4C7742E6"/>
    <w:rsid w:val="4C786019"/>
    <w:rsid w:val="4C7B452F"/>
    <w:rsid w:val="4CA80D9B"/>
    <w:rsid w:val="4CB04023"/>
    <w:rsid w:val="4CBC779E"/>
    <w:rsid w:val="4D290A61"/>
    <w:rsid w:val="4D544D72"/>
    <w:rsid w:val="4D577224"/>
    <w:rsid w:val="4D88228C"/>
    <w:rsid w:val="4DA66276"/>
    <w:rsid w:val="4DB0533F"/>
    <w:rsid w:val="4DB707E9"/>
    <w:rsid w:val="4E39096F"/>
    <w:rsid w:val="4E4A6AB6"/>
    <w:rsid w:val="4E510B0B"/>
    <w:rsid w:val="4E5B59DC"/>
    <w:rsid w:val="4E5F1845"/>
    <w:rsid w:val="4E740620"/>
    <w:rsid w:val="4E830FD8"/>
    <w:rsid w:val="4E8F31A6"/>
    <w:rsid w:val="4EAB630A"/>
    <w:rsid w:val="4ECE2238"/>
    <w:rsid w:val="4EEB3A74"/>
    <w:rsid w:val="4EF116E0"/>
    <w:rsid w:val="4F1B24E9"/>
    <w:rsid w:val="4F222CC5"/>
    <w:rsid w:val="4F2A06BF"/>
    <w:rsid w:val="4F3342D7"/>
    <w:rsid w:val="50080A36"/>
    <w:rsid w:val="503E4E84"/>
    <w:rsid w:val="5051225F"/>
    <w:rsid w:val="508B34C6"/>
    <w:rsid w:val="50CD4459"/>
    <w:rsid w:val="50D55FBE"/>
    <w:rsid w:val="50F843DF"/>
    <w:rsid w:val="51023367"/>
    <w:rsid w:val="515801C7"/>
    <w:rsid w:val="51737BA7"/>
    <w:rsid w:val="51AF1A73"/>
    <w:rsid w:val="51D217E6"/>
    <w:rsid w:val="520D3941"/>
    <w:rsid w:val="527C3865"/>
    <w:rsid w:val="52960F56"/>
    <w:rsid w:val="52DB6250"/>
    <w:rsid w:val="52F63197"/>
    <w:rsid w:val="53130527"/>
    <w:rsid w:val="53281E1B"/>
    <w:rsid w:val="532A7148"/>
    <w:rsid w:val="534C5B09"/>
    <w:rsid w:val="537E6D0A"/>
    <w:rsid w:val="54527436"/>
    <w:rsid w:val="546460EB"/>
    <w:rsid w:val="54826A6F"/>
    <w:rsid w:val="54F94081"/>
    <w:rsid w:val="55085A60"/>
    <w:rsid w:val="55146D1C"/>
    <w:rsid w:val="559429E6"/>
    <w:rsid w:val="55D94803"/>
    <w:rsid w:val="56094A63"/>
    <w:rsid w:val="56360F60"/>
    <w:rsid w:val="566F703B"/>
    <w:rsid w:val="5695362B"/>
    <w:rsid w:val="5697CEE4"/>
    <w:rsid w:val="569D51BC"/>
    <w:rsid w:val="56DE70CD"/>
    <w:rsid w:val="57196780"/>
    <w:rsid w:val="575319B2"/>
    <w:rsid w:val="57CA524F"/>
    <w:rsid w:val="58011148"/>
    <w:rsid w:val="584510AF"/>
    <w:rsid w:val="58D463D9"/>
    <w:rsid w:val="58FA5664"/>
    <w:rsid w:val="590E36FD"/>
    <w:rsid w:val="597260B5"/>
    <w:rsid w:val="59796F2C"/>
    <w:rsid w:val="59836BD6"/>
    <w:rsid w:val="59BC06AF"/>
    <w:rsid w:val="59DE3B64"/>
    <w:rsid w:val="5A52535D"/>
    <w:rsid w:val="5A666D08"/>
    <w:rsid w:val="5AC65627"/>
    <w:rsid w:val="5AF92295"/>
    <w:rsid w:val="5B157129"/>
    <w:rsid w:val="5B540050"/>
    <w:rsid w:val="5B5510AE"/>
    <w:rsid w:val="5B8322E4"/>
    <w:rsid w:val="5B9E1EFF"/>
    <w:rsid w:val="5BBC5B9C"/>
    <w:rsid w:val="5BCF72D8"/>
    <w:rsid w:val="5BED58DC"/>
    <w:rsid w:val="5C244263"/>
    <w:rsid w:val="5C4633D6"/>
    <w:rsid w:val="5C4E2123"/>
    <w:rsid w:val="5C4F0418"/>
    <w:rsid w:val="5C5770AB"/>
    <w:rsid w:val="5C785C47"/>
    <w:rsid w:val="5C852F17"/>
    <w:rsid w:val="5C9C18B0"/>
    <w:rsid w:val="5C9F08E2"/>
    <w:rsid w:val="5CA50038"/>
    <w:rsid w:val="5CD71FC4"/>
    <w:rsid w:val="5CF74D38"/>
    <w:rsid w:val="5CF8285E"/>
    <w:rsid w:val="5D226C5C"/>
    <w:rsid w:val="5D7351A4"/>
    <w:rsid w:val="5D903738"/>
    <w:rsid w:val="5DAD7E44"/>
    <w:rsid w:val="5DE96273"/>
    <w:rsid w:val="5E075C9E"/>
    <w:rsid w:val="5E83071A"/>
    <w:rsid w:val="5ED87B48"/>
    <w:rsid w:val="5F1E3EF2"/>
    <w:rsid w:val="5F2B5A5A"/>
    <w:rsid w:val="5F876D50"/>
    <w:rsid w:val="5FAB005C"/>
    <w:rsid w:val="5FB94CDF"/>
    <w:rsid w:val="5FC909AE"/>
    <w:rsid w:val="605406F0"/>
    <w:rsid w:val="6063353A"/>
    <w:rsid w:val="60CD0FA1"/>
    <w:rsid w:val="611B4D6D"/>
    <w:rsid w:val="611B5D85"/>
    <w:rsid w:val="612E3FD3"/>
    <w:rsid w:val="616E4C51"/>
    <w:rsid w:val="617A5F38"/>
    <w:rsid w:val="61BD292C"/>
    <w:rsid w:val="61DA4A69"/>
    <w:rsid w:val="62126E4F"/>
    <w:rsid w:val="622B0FE0"/>
    <w:rsid w:val="622E722D"/>
    <w:rsid w:val="62357114"/>
    <w:rsid w:val="623F706A"/>
    <w:rsid w:val="62402CDD"/>
    <w:rsid w:val="62865990"/>
    <w:rsid w:val="628A41A8"/>
    <w:rsid w:val="629826C9"/>
    <w:rsid w:val="62B47227"/>
    <w:rsid w:val="62B97F4E"/>
    <w:rsid w:val="62C7086E"/>
    <w:rsid w:val="63295F4A"/>
    <w:rsid w:val="633B55BA"/>
    <w:rsid w:val="63A95B41"/>
    <w:rsid w:val="63E165CF"/>
    <w:rsid w:val="641E3425"/>
    <w:rsid w:val="647E2D29"/>
    <w:rsid w:val="64833355"/>
    <w:rsid w:val="64AF4A09"/>
    <w:rsid w:val="64B91D9B"/>
    <w:rsid w:val="65091B88"/>
    <w:rsid w:val="65715C51"/>
    <w:rsid w:val="65E81941"/>
    <w:rsid w:val="65ED7989"/>
    <w:rsid w:val="661A78BF"/>
    <w:rsid w:val="662446EB"/>
    <w:rsid w:val="663C2BA5"/>
    <w:rsid w:val="668F04E9"/>
    <w:rsid w:val="66976CCF"/>
    <w:rsid w:val="66AB7EDE"/>
    <w:rsid w:val="66CE6603"/>
    <w:rsid w:val="66FC0C8A"/>
    <w:rsid w:val="66FF70DC"/>
    <w:rsid w:val="67185F72"/>
    <w:rsid w:val="674212A6"/>
    <w:rsid w:val="675863D3"/>
    <w:rsid w:val="67911973"/>
    <w:rsid w:val="67BF0ACF"/>
    <w:rsid w:val="67CD64D9"/>
    <w:rsid w:val="67DA0843"/>
    <w:rsid w:val="68004D80"/>
    <w:rsid w:val="6804746D"/>
    <w:rsid w:val="684C6B33"/>
    <w:rsid w:val="68532A7B"/>
    <w:rsid w:val="686749D8"/>
    <w:rsid w:val="68AD5110"/>
    <w:rsid w:val="691178DA"/>
    <w:rsid w:val="695D4726"/>
    <w:rsid w:val="695D7BFB"/>
    <w:rsid w:val="695F2E63"/>
    <w:rsid w:val="6965127B"/>
    <w:rsid w:val="696857E2"/>
    <w:rsid w:val="698908EB"/>
    <w:rsid w:val="69C05F4E"/>
    <w:rsid w:val="6A25397F"/>
    <w:rsid w:val="6A3E3D8E"/>
    <w:rsid w:val="6A417F8B"/>
    <w:rsid w:val="6A570FBC"/>
    <w:rsid w:val="6AB51A05"/>
    <w:rsid w:val="6AD2649C"/>
    <w:rsid w:val="6AE4264C"/>
    <w:rsid w:val="6B800A2E"/>
    <w:rsid w:val="6B813C05"/>
    <w:rsid w:val="6B896632"/>
    <w:rsid w:val="6B9F6109"/>
    <w:rsid w:val="6C4A05C8"/>
    <w:rsid w:val="6C721C75"/>
    <w:rsid w:val="6C7D068A"/>
    <w:rsid w:val="6C9F01F0"/>
    <w:rsid w:val="6C9F63C8"/>
    <w:rsid w:val="6CAE519C"/>
    <w:rsid w:val="6CB6017E"/>
    <w:rsid w:val="6CBE5CD8"/>
    <w:rsid w:val="6CCD1DDF"/>
    <w:rsid w:val="6CF27687"/>
    <w:rsid w:val="6D4F2989"/>
    <w:rsid w:val="6E7E3605"/>
    <w:rsid w:val="6E8454BA"/>
    <w:rsid w:val="6E9838C8"/>
    <w:rsid w:val="6EF079C1"/>
    <w:rsid w:val="6EFB5ED4"/>
    <w:rsid w:val="6F445ADA"/>
    <w:rsid w:val="6F5B69FD"/>
    <w:rsid w:val="6F75691A"/>
    <w:rsid w:val="6FA05434"/>
    <w:rsid w:val="6FBD6FA1"/>
    <w:rsid w:val="6FF5CC65"/>
    <w:rsid w:val="70576201"/>
    <w:rsid w:val="70601513"/>
    <w:rsid w:val="70AD2D33"/>
    <w:rsid w:val="70F60E27"/>
    <w:rsid w:val="70FA674D"/>
    <w:rsid w:val="70FF5B11"/>
    <w:rsid w:val="71005E57"/>
    <w:rsid w:val="71254673"/>
    <w:rsid w:val="71525271"/>
    <w:rsid w:val="715C0E4B"/>
    <w:rsid w:val="71791D68"/>
    <w:rsid w:val="71B15F38"/>
    <w:rsid w:val="71B40FE6"/>
    <w:rsid w:val="71C370EA"/>
    <w:rsid w:val="71F43D9A"/>
    <w:rsid w:val="72360485"/>
    <w:rsid w:val="726916B3"/>
    <w:rsid w:val="72734D90"/>
    <w:rsid w:val="727A41E8"/>
    <w:rsid w:val="727F0EB2"/>
    <w:rsid w:val="72AF001C"/>
    <w:rsid w:val="72EA2FB6"/>
    <w:rsid w:val="72F17585"/>
    <w:rsid w:val="7387377E"/>
    <w:rsid w:val="73877FDD"/>
    <w:rsid w:val="738D0FB5"/>
    <w:rsid w:val="73AA5E88"/>
    <w:rsid w:val="73AD73D5"/>
    <w:rsid w:val="73B6EB34"/>
    <w:rsid w:val="73C13552"/>
    <w:rsid w:val="73E3796C"/>
    <w:rsid w:val="74436E00"/>
    <w:rsid w:val="744731E5"/>
    <w:rsid w:val="744B4BE5"/>
    <w:rsid w:val="746F14C6"/>
    <w:rsid w:val="74780591"/>
    <w:rsid w:val="74987F9E"/>
    <w:rsid w:val="74AB65E8"/>
    <w:rsid w:val="74BA5762"/>
    <w:rsid w:val="74C5297B"/>
    <w:rsid w:val="74E24E98"/>
    <w:rsid w:val="755C1784"/>
    <w:rsid w:val="758875FB"/>
    <w:rsid w:val="758F59CC"/>
    <w:rsid w:val="759C3FDB"/>
    <w:rsid w:val="75B01B53"/>
    <w:rsid w:val="75D73501"/>
    <w:rsid w:val="75E63744"/>
    <w:rsid w:val="75E94A71"/>
    <w:rsid w:val="75F35EDB"/>
    <w:rsid w:val="760137B3"/>
    <w:rsid w:val="76556979"/>
    <w:rsid w:val="76651B85"/>
    <w:rsid w:val="76671F65"/>
    <w:rsid w:val="7673452C"/>
    <w:rsid w:val="768A6AAD"/>
    <w:rsid w:val="76A86042"/>
    <w:rsid w:val="76CB697E"/>
    <w:rsid w:val="76E3355F"/>
    <w:rsid w:val="76FF2D0F"/>
    <w:rsid w:val="773C3FAE"/>
    <w:rsid w:val="77471FC0"/>
    <w:rsid w:val="777431F1"/>
    <w:rsid w:val="778769C8"/>
    <w:rsid w:val="779928AC"/>
    <w:rsid w:val="77B53D60"/>
    <w:rsid w:val="77C67389"/>
    <w:rsid w:val="781308F2"/>
    <w:rsid w:val="78131C4C"/>
    <w:rsid w:val="78191BAF"/>
    <w:rsid w:val="78322549"/>
    <w:rsid w:val="78741E86"/>
    <w:rsid w:val="78AC47D1"/>
    <w:rsid w:val="78F84453"/>
    <w:rsid w:val="79280E5C"/>
    <w:rsid w:val="7983459A"/>
    <w:rsid w:val="79EE5BA4"/>
    <w:rsid w:val="79F9310E"/>
    <w:rsid w:val="7A00506F"/>
    <w:rsid w:val="7A072978"/>
    <w:rsid w:val="7A124E24"/>
    <w:rsid w:val="7A3225E3"/>
    <w:rsid w:val="7A36647F"/>
    <w:rsid w:val="7A7D6C9C"/>
    <w:rsid w:val="7A804167"/>
    <w:rsid w:val="7A8417BA"/>
    <w:rsid w:val="7A894339"/>
    <w:rsid w:val="7AC83418"/>
    <w:rsid w:val="7AC96BBD"/>
    <w:rsid w:val="7AD655C1"/>
    <w:rsid w:val="7ADA3B27"/>
    <w:rsid w:val="7B2C7846"/>
    <w:rsid w:val="7B3665D4"/>
    <w:rsid w:val="7B4142CA"/>
    <w:rsid w:val="7B451C6E"/>
    <w:rsid w:val="7B5106B0"/>
    <w:rsid w:val="7B6A5B3D"/>
    <w:rsid w:val="7BEE3352"/>
    <w:rsid w:val="7C1165A0"/>
    <w:rsid w:val="7CDB5BA9"/>
    <w:rsid w:val="7CE43226"/>
    <w:rsid w:val="7CF624BE"/>
    <w:rsid w:val="7D1D3EEF"/>
    <w:rsid w:val="7D90319C"/>
    <w:rsid w:val="7D9817C8"/>
    <w:rsid w:val="7DC47C1D"/>
    <w:rsid w:val="7E1875A0"/>
    <w:rsid w:val="7E541244"/>
    <w:rsid w:val="7E8F6273"/>
    <w:rsid w:val="7E906943"/>
    <w:rsid w:val="7EAD1359"/>
    <w:rsid w:val="7EDA7725"/>
    <w:rsid w:val="7EEF11D3"/>
    <w:rsid w:val="7EF44396"/>
    <w:rsid w:val="7EFE38AC"/>
    <w:rsid w:val="7F2E6AF1"/>
    <w:rsid w:val="7F49075C"/>
    <w:rsid w:val="7F730AC1"/>
    <w:rsid w:val="7F8C0B77"/>
    <w:rsid w:val="7F953974"/>
    <w:rsid w:val="7FA30C79"/>
    <w:rsid w:val="7FB7269E"/>
    <w:rsid w:val="7FC96657"/>
    <w:rsid w:val="933772A0"/>
    <w:rsid w:val="D8D6DB89"/>
    <w:rsid w:val="DB6F4CAB"/>
    <w:rsid w:val="DF6F9789"/>
    <w:rsid w:val="FDF6BF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9"/>
    <w:unhideWhenUsed/>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annotation text"/>
    <w:basedOn w:val="1"/>
    <w:link w:val="69"/>
    <w:semiHidden/>
    <w:unhideWhenUsed/>
    <w:qFormat/>
    <w:uiPriority w:val="99"/>
    <w:pPr>
      <w:jc w:val="left"/>
    </w:pPr>
  </w:style>
  <w:style w:type="paragraph" w:styleId="9">
    <w:name w:val="Body Text"/>
    <w:basedOn w:val="1"/>
    <w:link w:val="32"/>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Plain Text"/>
    <w:basedOn w:val="1"/>
    <w:qFormat/>
    <w:uiPriority w:val="0"/>
    <w:rPr>
      <w:rFonts w:ascii="宋体" w:hAnsi="Courier New"/>
    </w:rPr>
  </w:style>
  <w:style w:type="paragraph" w:styleId="12">
    <w:name w:val="Balloon Text"/>
    <w:basedOn w:val="1"/>
    <w:link w:val="38"/>
    <w:semiHidden/>
    <w:unhideWhenUsed/>
    <w:qFormat/>
    <w:uiPriority w:val="99"/>
    <w:rPr>
      <w:sz w:val="18"/>
      <w:szCs w:val="18"/>
    </w:rPr>
  </w:style>
  <w:style w:type="paragraph" w:styleId="13">
    <w:name w:val="footer"/>
    <w:basedOn w:val="1"/>
    <w:link w:val="30"/>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annotation subject"/>
    <w:basedOn w:val="8"/>
    <w:next w:val="8"/>
    <w:link w:val="70"/>
    <w:semiHidden/>
    <w:unhideWhenUsed/>
    <w:qFormat/>
    <w:uiPriority w:val="99"/>
    <w:rPr>
      <w:b/>
      <w:bCs/>
    </w:rPr>
  </w:style>
  <w:style w:type="table" w:styleId="20">
    <w:name w:val="Table Grid"/>
    <w:basedOn w:val="19"/>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99"/>
    <w:rPr>
      <w:b/>
    </w:rPr>
  </w:style>
  <w:style w:type="character" w:styleId="23">
    <w:name w:val="FollowedHyperlink"/>
    <w:basedOn w:val="21"/>
    <w:semiHidden/>
    <w:unhideWhenUsed/>
    <w:qFormat/>
    <w:uiPriority w:val="99"/>
    <w:rPr>
      <w:color w:val="954F72"/>
      <w:u w:val="single"/>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basedOn w:val="21"/>
    <w:semiHidden/>
    <w:unhideWhenUsed/>
    <w:qFormat/>
    <w:uiPriority w:val="99"/>
    <w:rPr>
      <w:sz w:val="21"/>
      <w:szCs w:val="21"/>
    </w:rPr>
  </w:style>
  <w:style w:type="paragraph" w:customStyle="1" w:styleId="26">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7">
    <w:name w:val="Header Char"/>
    <w:basedOn w:val="21"/>
    <w:semiHidden/>
    <w:qFormat/>
    <w:uiPriority w:val="99"/>
    <w:rPr>
      <w:rFonts w:ascii="Times New Roman" w:hAnsi="Times New Roman"/>
      <w:sz w:val="18"/>
      <w:szCs w:val="18"/>
    </w:rPr>
  </w:style>
  <w:style w:type="character" w:customStyle="1" w:styleId="28">
    <w:name w:val="页眉 字符"/>
    <w:link w:val="14"/>
    <w:semiHidden/>
    <w:qFormat/>
    <w:locked/>
    <w:uiPriority w:val="99"/>
    <w:rPr>
      <w:sz w:val="18"/>
    </w:rPr>
  </w:style>
  <w:style w:type="character" w:customStyle="1" w:styleId="29">
    <w:name w:val="Footer Char"/>
    <w:basedOn w:val="21"/>
    <w:semiHidden/>
    <w:qFormat/>
    <w:uiPriority w:val="99"/>
    <w:rPr>
      <w:rFonts w:ascii="Times New Roman" w:hAnsi="Times New Roman"/>
      <w:sz w:val="18"/>
      <w:szCs w:val="18"/>
    </w:rPr>
  </w:style>
  <w:style w:type="character" w:customStyle="1" w:styleId="30">
    <w:name w:val="页脚 字符"/>
    <w:link w:val="13"/>
    <w:qFormat/>
    <w:locked/>
    <w:uiPriority w:val="99"/>
    <w:rPr>
      <w:sz w:val="18"/>
    </w:rPr>
  </w:style>
  <w:style w:type="character" w:customStyle="1" w:styleId="31">
    <w:name w:val="Body Text Char"/>
    <w:basedOn w:val="21"/>
    <w:semiHidden/>
    <w:qFormat/>
    <w:uiPriority w:val="99"/>
    <w:rPr>
      <w:rFonts w:ascii="Times New Roman" w:hAnsi="Times New Roman"/>
      <w:szCs w:val="24"/>
    </w:rPr>
  </w:style>
  <w:style w:type="character" w:customStyle="1" w:styleId="32">
    <w:name w:val="正文文本 字符"/>
    <w:link w:val="9"/>
    <w:qFormat/>
    <w:locked/>
    <w:uiPriority w:val="99"/>
    <w:rPr>
      <w:rFonts w:ascii="仿宋_GB2312" w:hAnsi="Times New Roman" w:eastAsia="仿宋_GB2312"/>
      <w:sz w:val="24"/>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4">
    <w:name w:val="List Paragraph"/>
    <w:basedOn w:val="1"/>
    <w:qFormat/>
    <w:uiPriority w:val="34"/>
    <w:pPr>
      <w:ind w:firstLine="420" w:firstLineChars="200"/>
    </w:pPr>
  </w:style>
  <w:style w:type="character" w:customStyle="1" w:styleId="35">
    <w:name w:val="标题 1 字符"/>
    <w:basedOn w:val="21"/>
    <w:qFormat/>
    <w:uiPriority w:val="9"/>
    <w:rPr>
      <w:rFonts w:ascii="Times New Roman" w:hAnsi="Times New Roman"/>
      <w:b/>
      <w:bCs/>
      <w:kern w:val="44"/>
      <w:sz w:val="44"/>
      <w:szCs w:val="44"/>
    </w:rPr>
  </w:style>
  <w:style w:type="character" w:customStyle="1" w:styleId="36">
    <w:name w:val="标题 2 字符"/>
    <w:basedOn w:val="21"/>
    <w:link w:val="6"/>
    <w:qFormat/>
    <w:uiPriority w:val="9"/>
    <w:rPr>
      <w:rFonts w:asciiTheme="majorHAnsi" w:hAnsiTheme="majorHAnsi" w:eastAsiaTheme="majorEastAsia" w:cstheme="majorBidi"/>
      <w:b/>
      <w:bCs/>
      <w:kern w:val="2"/>
      <w:sz w:val="32"/>
      <w:szCs w:val="32"/>
    </w:rPr>
  </w:style>
  <w:style w:type="paragraph" w:customStyle="1" w:styleId="37">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批注框文本 字符"/>
    <w:basedOn w:val="21"/>
    <w:link w:val="12"/>
    <w:semiHidden/>
    <w:qFormat/>
    <w:uiPriority w:val="99"/>
    <w:rPr>
      <w:rFonts w:ascii="Times New Roman" w:hAnsi="Times New Roman"/>
      <w:kern w:val="2"/>
      <w:sz w:val="18"/>
      <w:szCs w:val="18"/>
    </w:rPr>
  </w:style>
  <w:style w:type="character" w:customStyle="1" w:styleId="39">
    <w:name w:val="标题 3 字符"/>
    <w:basedOn w:val="21"/>
    <w:link w:val="7"/>
    <w:qFormat/>
    <w:uiPriority w:val="9"/>
    <w:rPr>
      <w:rFonts w:ascii="Times New Roman" w:hAnsi="Times New Roman"/>
      <w:b/>
      <w:bCs/>
      <w:kern w:val="2"/>
      <w:sz w:val="32"/>
      <w:szCs w:val="32"/>
    </w:rPr>
  </w:style>
  <w:style w:type="paragraph" w:customStyle="1" w:styleId="40">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
    <w:name w:val="四号正文"/>
    <w:basedOn w:val="1"/>
    <w:qFormat/>
    <w:uiPriority w:val="0"/>
    <w:pPr>
      <w:spacing w:line="360" w:lineRule="auto"/>
    </w:pPr>
    <w:rPr>
      <w:rFonts w:ascii="??" w:hAnsi="??"/>
      <w:color w:val="000000"/>
      <w:kern w:val="0"/>
      <w:sz w:val="28"/>
      <w:szCs w:val="21"/>
      <w:lang w:val="zh-CN"/>
    </w:rPr>
  </w:style>
  <w:style w:type="paragraph" w:customStyle="1" w:styleId="42">
    <w:name w:val="TOC 标题3"/>
    <w:basedOn w:val="5"/>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4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4">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5">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6">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7">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8">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9">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50">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51">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2">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53">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54">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5">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6">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7">
    <w:name w:val="标题 1 字符1"/>
    <w:basedOn w:val="21"/>
    <w:link w:val="5"/>
    <w:qFormat/>
    <w:uiPriority w:val="9"/>
    <w:rPr>
      <w:b/>
      <w:bCs/>
      <w:kern w:val="44"/>
      <w:sz w:val="44"/>
      <w:szCs w:val="44"/>
    </w:rPr>
  </w:style>
  <w:style w:type="paragraph" w:customStyle="1" w:styleId="58">
    <w:name w:val="列出段落1"/>
    <w:basedOn w:val="1"/>
    <w:qFormat/>
    <w:uiPriority w:val="0"/>
    <w:pPr>
      <w:ind w:firstLine="420" w:firstLineChars="200"/>
    </w:pPr>
    <w:rPr>
      <w:rFonts w:cs="Calibri"/>
      <w:szCs w:val="21"/>
    </w:rPr>
  </w:style>
  <w:style w:type="paragraph" w:customStyle="1" w:styleId="59">
    <w:name w:val="WPSOffice手动目录 1"/>
    <w:qFormat/>
    <w:uiPriority w:val="0"/>
    <w:rPr>
      <w:rFonts w:ascii="Times New Roman" w:hAnsi="Times New Roman" w:eastAsia="宋体" w:cs="Times New Roman"/>
      <w:lang w:val="en-US" w:eastAsia="zh-CN" w:bidi="ar-SA"/>
    </w:rPr>
  </w:style>
  <w:style w:type="paragraph" w:customStyle="1" w:styleId="60">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61">
    <w:name w:val="15"/>
    <w:basedOn w:val="21"/>
    <w:qFormat/>
    <w:uiPriority w:val="0"/>
    <w:rPr>
      <w:rFonts w:hint="default" w:ascii="Times New Roman" w:hAnsi="Times New Roman" w:cs="Times New Roman"/>
    </w:rPr>
  </w:style>
  <w:style w:type="character" w:customStyle="1" w:styleId="62">
    <w:name w:val="16"/>
    <w:basedOn w:val="21"/>
    <w:qFormat/>
    <w:uiPriority w:val="0"/>
    <w:rPr>
      <w:rFonts w:hint="default" w:ascii="Times New Roman" w:hAnsi="Times New Roman" w:cs="Times New Roman"/>
    </w:rPr>
  </w:style>
  <w:style w:type="character" w:customStyle="1" w:styleId="63">
    <w:name w:val="17"/>
    <w:basedOn w:val="21"/>
    <w:qFormat/>
    <w:uiPriority w:val="0"/>
    <w:rPr>
      <w:rFonts w:hint="default" w:ascii="Times New Roman" w:hAnsi="Times New Roman" w:cs="Times New Roman"/>
    </w:rPr>
  </w:style>
  <w:style w:type="character" w:customStyle="1" w:styleId="64">
    <w:name w:val="10"/>
    <w:basedOn w:val="21"/>
    <w:qFormat/>
    <w:uiPriority w:val="0"/>
    <w:rPr>
      <w:rFonts w:hint="default" w:ascii="Times New Roman" w:hAnsi="Times New Roman" w:cs="Times New Roman"/>
    </w:rPr>
  </w:style>
  <w:style w:type="paragraph" w:customStyle="1" w:styleId="65">
    <w:name w:val="BodyText"/>
    <w:basedOn w:val="1"/>
    <w:qFormat/>
    <w:uiPriority w:val="0"/>
    <w:pPr>
      <w:textAlignment w:val="baseline"/>
    </w:pPr>
    <w:rPr>
      <w:rFonts w:eastAsia="方正仿宋简体"/>
      <w:sz w:val="32"/>
    </w:rPr>
  </w:style>
  <w:style w:type="character" w:customStyle="1" w:styleId="66">
    <w:name w:val="fontstyle01"/>
    <w:basedOn w:val="21"/>
    <w:qFormat/>
    <w:uiPriority w:val="0"/>
    <w:rPr>
      <w:rFonts w:hint="default" w:ascii="方正仿宋_GBK" w:hAnsi="方正仿宋_GBK"/>
      <w:color w:val="000000"/>
      <w:sz w:val="32"/>
      <w:szCs w:val="32"/>
    </w:rPr>
  </w:style>
  <w:style w:type="character" w:customStyle="1" w:styleId="67">
    <w:name w:val="fontstyle21"/>
    <w:basedOn w:val="21"/>
    <w:qFormat/>
    <w:uiPriority w:val="0"/>
    <w:rPr>
      <w:rFonts w:hint="default" w:ascii="Times_New_Roman" w:hAnsi="Times_New_Roman"/>
      <w:color w:val="000000"/>
      <w:sz w:val="32"/>
      <w:szCs w:val="32"/>
    </w:rPr>
  </w:style>
  <w:style w:type="character" w:customStyle="1" w:styleId="68">
    <w:name w:val="NormalCharacter"/>
    <w:semiHidden/>
    <w:qFormat/>
    <w:uiPriority w:val="0"/>
  </w:style>
  <w:style w:type="character" w:customStyle="1" w:styleId="69">
    <w:name w:val="批注文字 字符"/>
    <w:basedOn w:val="21"/>
    <w:link w:val="8"/>
    <w:semiHidden/>
    <w:qFormat/>
    <w:uiPriority w:val="99"/>
    <w:rPr>
      <w:kern w:val="2"/>
      <w:sz w:val="21"/>
      <w:szCs w:val="24"/>
    </w:rPr>
  </w:style>
  <w:style w:type="character" w:customStyle="1" w:styleId="70">
    <w:name w:val="批注主题 字符"/>
    <w:basedOn w:val="69"/>
    <w:link w:val="18"/>
    <w:semiHidden/>
    <w:qFormat/>
    <w:uiPriority w:val="99"/>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收、支决算总计变动情况图</a:t>
            </a:r>
            <a:endParaRPr lang="zh-CN" altLang="en-US">
              <a:solidFill>
                <a:schemeClr val="tx1">
                  <a:lumMod val="50000"/>
                </a:schemeClr>
              </a:solidFill>
              <a:uFillTx/>
            </a:endParaRPr>
          </a:p>
        </c:rich>
      </c:tx>
      <c:layout/>
      <c:overlay val="false"/>
      <c:spPr>
        <a:noFill/>
        <a:ln>
          <a:noFill/>
        </a:ln>
        <a:effectLst/>
      </c:spPr>
    </c:title>
    <c:autoTitleDeleted val="false"/>
    <c:plotArea>
      <c:layout>
        <c:manualLayout>
          <c:layoutTarget val="inner"/>
          <c:xMode val="edge"/>
          <c:yMode val="edge"/>
          <c:x val="0.0759805989034163"/>
          <c:y val="0.11096256684492"/>
          <c:w val="0.900822437789962"/>
          <c:h val="0.747682709447415"/>
        </c:manualLayout>
      </c:layout>
      <c:barChart>
        <c:barDir val="col"/>
        <c:grouping val="clustered"/>
        <c:varyColors val="false"/>
        <c:ser>
          <c:idx val="0"/>
          <c:order val="0"/>
          <c:tx>
            <c:strRef>
              <c:f>Sheet1!$B$1</c:f>
              <c:strCache>
                <c:ptCount val="1"/>
                <c:pt idx="0">
                  <c:v>2024年度</c:v>
                </c:pt>
              </c:strCache>
            </c:strRef>
          </c:tx>
          <c:spPr>
            <a:solidFill>
              <a:schemeClr val="accent1"/>
            </a:solidFill>
            <a:ln>
              <a:noFill/>
            </a:ln>
            <a:effectLst/>
          </c:spPr>
          <c:invertIfNegative val="false"/>
          <c:dLbls>
            <c:delete val="true"/>
          </c:dLbls>
          <c:cat>
            <c:strRef>
              <c:f>Sheet1!$A$2:$A$3</c:f>
              <c:strCache>
                <c:ptCount val="2"/>
                <c:pt idx="0">
                  <c:v>收入</c:v>
                </c:pt>
                <c:pt idx="1">
                  <c:v>支出</c:v>
                </c:pt>
              </c:strCache>
            </c:strRef>
          </c:cat>
          <c:val>
            <c:numRef>
              <c:f>Sheet1!$B$2:$B$3</c:f>
              <c:numCache>
                <c:formatCode>General</c:formatCode>
                <c:ptCount val="2"/>
                <c:pt idx="0">
                  <c:v>43060.4</c:v>
                </c:pt>
                <c:pt idx="1">
                  <c:v>43060.4</c:v>
                </c:pt>
              </c:numCache>
            </c:numRef>
          </c:val>
        </c:ser>
        <c:ser>
          <c:idx val="1"/>
          <c:order val="1"/>
          <c:tx>
            <c:strRef>
              <c:f>Sheet1!$C$1</c:f>
              <c:strCache>
                <c:ptCount val="1"/>
                <c:pt idx="0">
                  <c:v>2025年度</c:v>
                </c:pt>
              </c:strCache>
            </c:strRef>
          </c:tx>
          <c:spPr>
            <a:solidFill>
              <a:schemeClr val="accent2"/>
            </a:solidFill>
            <a:ln>
              <a:noFill/>
            </a:ln>
            <a:effectLst/>
          </c:spPr>
          <c:invertIfNegative val="false"/>
          <c:dLbls>
            <c:delete val="true"/>
          </c:dLbls>
          <c:cat>
            <c:strRef>
              <c:f>Sheet1!$A$2:$A$3</c:f>
              <c:strCache>
                <c:ptCount val="2"/>
                <c:pt idx="0">
                  <c:v>收入</c:v>
                </c:pt>
                <c:pt idx="1">
                  <c:v>支出</c:v>
                </c:pt>
              </c:strCache>
            </c:strRef>
          </c:cat>
          <c:val>
            <c:numRef>
              <c:f>Sheet1!$C$2:$C$3</c:f>
              <c:numCache>
                <c:formatCode>General</c:formatCode>
                <c:ptCount val="2"/>
                <c:pt idx="0">
                  <c:v>66522.31</c:v>
                </c:pt>
                <c:pt idx="1">
                  <c:v>66522.31</c:v>
                </c:pt>
              </c:numCache>
            </c:numRef>
          </c:val>
        </c:ser>
        <c:dLbls>
          <c:showLegendKey val="false"/>
          <c:showVal val="true"/>
          <c:showCatName val="false"/>
          <c:showSerName val="false"/>
          <c:showPercent val="false"/>
          <c:showBubbleSize val="false"/>
        </c:dLbls>
        <c:gapWidth val="219"/>
        <c:overlap val="-27"/>
        <c:axId val="645858728"/>
        <c:axId val="829565038"/>
      </c:barChart>
      <c:catAx>
        <c:axId val="645858728"/>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29565038"/>
        <c:crosses val="autoZero"/>
        <c:auto val="true"/>
        <c:lblAlgn val="ctr"/>
        <c:lblOffset val="100"/>
        <c:noMultiLvlLbl val="false"/>
      </c:catAx>
      <c:valAx>
        <c:axId val="829565038"/>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收入决算结构图</a:t>
            </a:r>
            <a:endParaRPr lang="zh-CN" altLang="en-US">
              <a:solidFill>
                <a:schemeClr val="tx1">
                  <a:lumMod val="50000"/>
                </a:schemeClr>
              </a:solidFill>
              <a:uFillTx/>
            </a:endParaRPr>
          </a:p>
        </c:rich>
      </c:tx>
      <c:layout>
        <c:manualLayout>
          <c:xMode val="edge"/>
          <c:yMode val="edge"/>
          <c:x val="0.372999093929327"/>
          <c:y val="0.00604838709677419"/>
        </c:manualLayout>
      </c:layout>
      <c:overlay val="false"/>
      <c:spPr>
        <a:noFill/>
        <a:ln>
          <a:noFill/>
        </a:ln>
        <a:effectLst/>
      </c:spPr>
    </c:title>
    <c:autoTitleDeleted val="false"/>
    <c:plotArea>
      <c:layout/>
      <c:pieChart>
        <c:varyColors val="true"/>
        <c:ser>
          <c:idx val="0"/>
          <c:order val="0"/>
          <c:tx>
            <c:strRef>
              <c:f>Sheet1!$B$1</c:f>
              <c:strCache>
                <c:ptCount val="1"/>
                <c:pt idx="0">
                  <c:v>收入</c:v>
                </c:pt>
              </c:strCache>
            </c:strRef>
          </c:tx>
          <c:spPr>
            <a:scene3d>
              <a:camera prst="orthographicFront"/>
              <a:lightRig rig="threePt" dir="t"/>
            </a:scene3d>
            <a:sp3d contourW="25400"/>
          </c:spPr>
          <c:explosion val="0"/>
          <c:dPt>
            <c:idx val="0"/>
            <c:bubble3D val="false"/>
            <c:spPr>
              <a:solidFill>
                <a:schemeClr val="accent1"/>
              </a:solidFill>
              <a:ln w="25400">
                <a:solidFill>
                  <a:schemeClr val="lt1"/>
                </a:solidFill>
              </a:ln>
              <a:effectLst/>
              <a:scene3d>
                <a:camera prst="orthographicFront"/>
                <a:lightRig rig="threePt" dir="t"/>
              </a:scene3d>
              <a:sp3d contourW="25400"/>
            </c:spPr>
          </c:dPt>
          <c:dPt>
            <c:idx val="1"/>
            <c:bubble3D val="false"/>
            <c:spPr>
              <a:solidFill>
                <a:schemeClr val="accent2"/>
              </a:solidFill>
              <a:ln w="25400">
                <a:solidFill>
                  <a:schemeClr val="lt1"/>
                </a:solidFill>
              </a:ln>
              <a:effectLst/>
              <a:scene3d>
                <a:camera prst="orthographicFront"/>
                <a:lightRig rig="threePt" dir="t"/>
              </a:scene3d>
              <a:sp3d contourW="25400"/>
            </c:spPr>
          </c:dPt>
          <c:dLbls>
            <c:delete val="true"/>
          </c:dLbls>
          <c:cat>
            <c:strRef>
              <c:f>Sheet1!$A$2:$A$3</c:f>
              <c:strCache>
                <c:ptCount val="2"/>
                <c:pt idx="0">
                  <c:v>一般公共预算</c:v>
                </c:pt>
                <c:pt idx="1">
                  <c:v>政府性基金预算</c:v>
                </c:pt>
              </c:strCache>
            </c:strRef>
          </c:cat>
          <c:val>
            <c:numRef>
              <c:f>Sheet1!$B$2:$B$3</c:f>
              <c:numCache>
                <c:formatCode>General</c:formatCode>
                <c:ptCount val="2"/>
                <c:pt idx="0">
                  <c:v>45305.17</c:v>
                </c:pt>
                <c:pt idx="1">
                  <c:v>21217.14</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支出决算结构图</a:t>
            </a:r>
            <a:endParaRPr lang="zh-CN" altLang="en-US">
              <a:solidFill>
                <a:schemeClr val="tx1">
                  <a:lumMod val="50000"/>
                </a:schemeClr>
              </a:solidFill>
              <a:uFillTx/>
            </a:endParaRPr>
          </a:p>
        </c:rich>
      </c:tx>
      <c:layout/>
      <c:overlay val="false"/>
      <c:spPr>
        <a:noFill/>
        <a:ln>
          <a:noFill/>
        </a:ln>
        <a:effectLst/>
      </c:spPr>
    </c:title>
    <c:autoTitleDeleted val="false"/>
    <c:plotArea>
      <c:layout/>
      <c:pieChart>
        <c:varyColors val="true"/>
        <c:ser>
          <c:idx val="0"/>
          <c:order val="0"/>
          <c:tx>
            <c:strRef>
              <c:f>Sheet1!$B$1</c:f>
              <c:strCache>
                <c:ptCount val="1"/>
                <c:pt idx="0">
                  <c:v>支出决算结构</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elete val="true"/>
          </c:dLbls>
          <c:cat>
            <c:strRef>
              <c:f>Sheet1!$A$2:$A$3</c:f>
              <c:strCache>
                <c:ptCount val="2"/>
                <c:pt idx="0">
                  <c:v>基本支出</c:v>
                </c:pt>
                <c:pt idx="1">
                  <c:v>项目支出</c:v>
                </c:pt>
              </c:strCache>
            </c:strRef>
          </c:cat>
          <c:val>
            <c:numRef>
              <c:f>Sheet1!$B$2:$B$3</c:f>
              <c:numCache>
                <c:formatCode>General</c:formatCode>
                <c:ptCount val="2"/>
                <c:pt idx="0">
                  <c:v>17435.53</c:v>
                </c:pt>
                <c:pt idx="1">
                  <c:v>49086.79</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solidFill>
                  <a:schemeClr val="tx1">
                    <a:lumMod val="50000"/>
                  </a:schemeClr>
                </a:solidFill>
              </a:rPr>
              <a:t>财政拨款</a:t>
            </a:r>
            <a:r>
              <a:rPr lang="zh-CN" altLang="en-US" b="1">
                <a:solidFill>
                  <a:schemeClr val="tx1">
                    <a:lumMod val="50000"/>
                  </a:schemeClr>
                </a:solidFill>
                <a:uFillTx/>
              </a:rPr>
              <a:t>收、支决算总计变动情况</a:t>
            </a:r>
            <a:endParaRPr lang="zh-CN" altLang="en-US" b="1">
              <a:solidFill>
                <a:schemeClr val="tx1">
                  <a:lumMod val="50000"/>
                </a:schemeClr>
              </a:solidFill>
            </a:endParaRPr>
          </a:p>
        </c:rich>
      </c:tx>
      <c:layout>
        <c:manualLayout>
          <c:xMode val="edge"/>
          <c:yMode val="edge"/>
          <c:x val="0.308568598315998"/>
          <c:y val="0.0157350517008841"/>
        </c:manualLayout>
      </c:layout>
      <c:overlay val="false"/>
      <c:spPr>
        <a:noFill/>
        <a:ln>
          <a:noFill/>
        </a:ln>
        <a:effectLst/>
      </c:spPr>
    </c:title>
    <c:autoTitleDeleted val="false"/>
    <c:plotArea>
      <c:layout>
        <c:manualLayout>
          <c:layoutTarget val="inner"/>
          <c:xMode val="edge"/>
          <c:yMode val="edge"/>
          <c:x val="0.1043970653789"/>
          <c:y val="0.0845"/>
          <c:w val="0.87555"/>
          <c:h val="0.7605"/>
        </c:manualLayout>
      </c:layout>
      <c:barChart>
        <c:barDir val="col"/>
        <c:grouping val="clustered"/>
        <c:varyColors val="false"/>
        <c:ser>
          <c:idx val="0"/>
          <c:order val="0"/>
          <c:tx>
            <c:strRef>
              <c:f>Sheet1!$B$1</c:f>
              <c:strCache>
                <c:ptCount val="1"/>
                <c:pt idx="0">
                  <c:v>2024年度</c:v>
                </c:pt>
              </c:strCache>
            </c:strRef>
          </c:tx>
          <c:spPr>
            <a:solidFill>
              <a:schemeClr val="tx1"/>
            </a:solidFill>
            <a:ln>
              <a:noFill/>
            </a:ln>
            <a:effectLst/>
          </c:spPr>
          <c:invertIfNegative val="false"/>
          <c:dLbls>
            <c:delete val="true"/>
          </c:dLbls>
          <c:cat>
            <c:strRef>
              <c:f>Sheet1!$A$2:$A$3</c:f>
              <c:strCache>
                <c:ptCount val="2"/>
                <c:pt idx="0">
                  <c:v>财政拨款收入</c:v>
                </c:pt>
                <c:pt idx="1">
                  <c:v>财政拨款支出</c:v>
                </c:pt>
              </c:strCache>
            </c:strRef>
          </c:cat>
          <c:val>
            <c:numRef>
              <c:f>Sheet1!$B$2:$B$3</c:f>
              <c:numCache>
                <c:formatCode>General</c:formatCode>
                <c:ptCount val="2"/>
                <c:pt idx="0">
                  <c:v>43060.4</c:v>
                </c:pt>
                <c:pt idx="1">
                  <c:v>43060.4</c:v>
                </c:pt>
              </c:numCache>
            </c:numRef>
          </c:val>
        </c:ser>
        <c:ser>
          <c:idx val="1"/>
          <c:order val="1"/>
          <c:tx>
            <c:strRef>
              <c:f>Sheet1!$C$1</c:f>
              <c:strCache>
                <c:ptCount val="1"/>
                <c:pt idx="0">
                  <c:v>2025年度</c:v>
                </c:pt>
              </c:strCache>
            </c:strRef>
          </c:tx>
          <c:spPr>
            <a:solidFill>
              <a:schemeClr val="accent4"/>
            </a:solidFill>
            <a:ln>
              <a:noFill/>
            </a:ln>
            <a:effectLst/>
          </c:spPr>
          <c:invertIfNegative val="false"/>
          <c:dLbls>
            <c:delete val="true"/>
          </c:dLbls>
          <c:cat>
            <c:strRef>
              <c:f>Sheet1!$A$2:$A$3</c:f>
              <c:strCache>
                <c:ptCount val="2"/>
                <c:pt idx="0">
                  <c:v>财政拨款收入</c:v>
                </c:pt>
                <c:pt idx="1">
                  <c:v>财政拨款支出</c:v>
                </c:pt>
              </c:strCache>
            </c:strRef>
          </c:cat>
          <c:val>
            <c:numRef>
              <c:f>Sheet1!$C$2:$C$3</c:f>
              <c:numCache>
                <c:formatCode>General</c:formatCode>
                <c:ptCount val="2"/>
                <c:pt idx="0">
                  <c:v>66522.31</c:v>
                </c:pt>
                <c:pt idx="1">
                  <c:v>66522.31</c:v>
                </c:pt>
              </c:numCache>
            </c:numRef>
          </c:val>
        </c:ser>
        <c:ser>
          <c:idx val="2"/>
          <c:order val="2"/>
          <c:tx>
            <c:strRef>
              <c:f>Sheet1!#REF!</c:f>
              <c:strCache>
                <c:ptCount val="1"/>
                <c:pt idx="0">
                  <c:v/>
                </c:pt>
              </c:strCache>
            </c:strRef>
          </c:tx>
          <c:spPr>
            <a:solidFill>
              <a:schemeClr val="accent3"/>
            </a:solidFill>
            <a:ln>
              <a:noFill/>
            </a:ln>
            <a:effectLst/>
          </c:spPr>
          <c:invertIfNegative val="false"/>
          <c:dLbls>
            <c:dLbl>
              <c:idx val="0"/>
              <c:delete val="true"/>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Sheet1!#REF!</c:f>
              <c:numCache>
                <c:formatCode>General</c:formatCode>
                <c:ptCount val="1"/>
                <c:pt idx="0">
                  <c:v>1</c:v>
                </c:pt>
              </c:numCache>
            </c:numRef>
          </c:val>
        </c:ser>
        <c:dLbls>
          <c:showLegendKey val="false"/>
          <c:showVal val="false"/>
          <c:showCatName val="false"/>
          <c:showSerName val="false"/>
          <c:showPercent val="false"/>
          <c:showBubbleSize val="false"/>
        </c:dLbls>
        <c:gapWidth val="219"/>
        <c:overlap val="-27"/>
        <c:axId val="406143146"/>
        <c:axId val="185996679"/>
      </c:barChart>
      <c:catAx>
        <c:axId val="406143146"/>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85996679"/>
        <c:crosses val="autoZero"/>
        <c:auto val="true"/>
        <c:lblAlgn val="ctr"/>
        <c:lblOffset val="100"/>
        <c:noMultiLvlLbl val="false"/>
      </c:catAx>
      <c:valAx>
        <c:axId val="185996679"/>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6143146"/>
        <c:crosses val="autoZero"/>
        <c:crossBetween val="between"/>
      </c:valAx>
      <c:spPr>
        <a:noFill/>
        <a:ln>
          <a:noFill/>
        </a:ln>
        <a:effectLst/>
      </c:spPr>
    </c:plotArea>
    <c:legend>
      <c:legendPos val="b"/>
      <c:legendEntry>
        <c:idx val="2"/>
        <c:delete val="true"/>
      </c:legendEntry>
      <c:layout>
        <c:manualLayout>
          <c:xMode val="edge"/>
          <c:yMode val="edge"/>
          <c:x val="0.340762753838534"/>
          <c:y val="0.929566911434138"/>
        </c:manualLayou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bg2">
                    <a:lumMod val="10000"/>
                  </a:schemeClr>
                </a:solidFill>
                <a:uFillTx/>
              </a:rPr>
              <a:t>一般公共预算财政拨款支出决算变动情况</a:t>
            </a:r>
            <a:endParaRPr lang="zh-CN" altLang="en-US">
              <a:solidFill>
                <a:schemeClr val="bg2">
                  <a:lumMod val="10000"/>
                </a:schemeClr>
              </a:solidFill>
              <a:uFillTx/>
            </a:endParaRPr>
          </a:p>
        </c:rich>
      </c:tx>
      <c:layout>
        <c:manualLayout>
          <c:xMode val="edge"/>
          <c:yMode val="edge"/>
          <c:x val="0.150896551724138"/>
          <c:y val="0.00564121850319669"/>
        </c:manualLayout>
      </c:layout>
      <c:overlay val="false"/>
      <c:spPr>
        <a:noFill/>
        <a:ln>
          <a:noFill/>
        </a:ln>
        <a:effectLst/>
      </c:spPr>
    </c:title>
    <c:autoTitleDeleted val="false"/>
    <c:plotArea>
      <c:layout>
        <c:manualLayout>
          <c:layoutTarget val="inner"/>
          <c:xMode val="edge"/>
          <c:yMode val="edge"/>
          <c:x val="0.103944827586207"/>
          <c:y val="0.122332381112418"/>
          <c:w val="0.870262068965517"/>
          <c:h val="0.714232902033272"/>
        </c:manualLayout>
      </c:layout>
      <c:barChart>
        <c:barDir val="col"/>
        <c:grouping val="clustered"/>
        <c:varyColors val="false"/>
        <c:ser>
          <c:idx val="0"/>
          <c:order val="0"/>
          <c:spPr>
            <a:gradFill>
              <a:gsLst>
                <a:gs pos="0">
                  <a:srgbClr val="012D86"/>
                </a:gs>
                <a:gs pos="100000">
                  <a:srgbClr val="0E2557"/>
                </a:gs>
              </a:gsLst>
              <a:lin ang="5400000" scaled="false"/>
            </a:gra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Sheet1!$B$1:$C$1</c:f>
              <c:strCache>
                <c:ptCount val="2"/>
                <c:pt idx="0">
                  <c:v>2024年</c:v>
                </c:pt>
                <c:pt idx="1">
                  <c:v>2025年</c:v>
                </c:pt>
              </c:strCache>
            </c:strRef>
          </c:cat>
          <c:val>
            <c:numRef>
              <c:f>Sheet1!$B$2:$C$2</c:f>
              <c:numCache>
                <c:formatCode>General</c:formatCode>
                <c:ptCount val="2"/>
                <c:pt idx="0">
                  <c:v>25893.51</c:v>
                </c:pt>
                <c:pt idx="1">
                  <c:v>45305.17</c:v>
                </c:pt>
              </c:numCache>
            </c:numRef>
          </c:val>
        </c:ser>
        <c:dLbls>
          <c:showLegendKey val="false"/>
          <c:showVal val="true"/>
          <c:showCatName val="false"/>
          <c:showSerName val="false"/>
          <c:showPercent val="false"/>
          <c:showBubbleSize val="false"/>
        </c:dLbls>
        <c:gapWidth val="219"/>
        <c:overlap val="-27"/>
        <c:axId val="954681512"/>
        <c:axId val="557350736"/>
      </c:barChart>
      <c:catAx>
        <c:axId val="954681512"/>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7350736"/>
        <c:crosses val="autoZero"/>
        <c:auto val="true"/>
        <c:lblAlgn val="ctr"/>
        <c:lblOffset val="100"/>
        <c:noMultiLvlLbl val="false"/>
      </c:catAx>
      <c:valAx>
        <c:axId val="557350736"/>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5468151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一般公共预算财政拨款支出决算结构</a:t>
            </a:r>
            <a:endParaRPr lang="zh-CN" altLang="en-US"/>
          </a:p>
        </c:rich>
      </c:tx>
      <c:layout>
        <c:manualLayout>
          <c:xMode val="edge"/>
          <c:yMode val="edge"/>
          <c:x val="0.209875"/>
          <c:y val="0.081609708735149"/>
        </c:manualLayout>
      </c:layout>
      <c:overlay val="false"/>
      <c:spPr>
        <a:noFill/>
        <a:ln>
          <a:noFill/>
        </a:ln>
        <a:effectLst/>
      </c:spPr>
    </c:title>
    <c:autoTitleDeleted val="false"/>
    <c:plotArea>
      <c:layout>
        <c:manualLayout>
          <c:layoutTarget val="inner"/>
          <c:xMode val="edge"/>
          <c:yMode val="edge"/>
          <c:x val="0.13525"/>
          <c:y val="0.184845671849617"/>
          <c:w val="0.675375"/>
          <c:h val="0.626943606405198"/>
        </c:manualLayout>
      </c:layout>
      <c:pieChart>
        <c:varyColors val="true"/>
        <c:ser>
          <c:idx val="0"/>
          <c:order val="0"/>
          <c:tx>
            <c:strRef>
              <c:f>Sheet1!$B$1</c:f>
              <c:strCache>
                <c:ptCount val="1"/>
                <c:pt idx="0">
                  <c:v>销售额</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chemeClr val="accent1">
                  <a:lumMod val="60000"/>
                </a:schemeClr>
              </a:solidFill>
              <a:ln w="19050">
                <a:solidFill>
                  <a:schemeClr val="lt1"/>
                </a:solidFill>
              </a:ln>
              <a:effectLst/>
            </c:spPr>
          </c:dPt>
          <c:dLbls>
            <c:delete val="true"/>
          </c:dLbls>
          <c:cat>
            <c:strRef>
              <c:f>Sheet1!$A$2:$A$8</c:f>
              <c:strCache>
                <c:ptCount val="7"/>
                <c:pt idx="0">
                  <c:v>一般公用服务支出</c:v>
                </c:pt>
                <c:pt idx="1">
                  <c:v>社会保障和就业支出</c:v>
                </c:pt>
                <c:pt idx="2">
                  <c:v>交通运输支出</c:v>
                </c:pt>
                <c:pt idx="3">
                  <c:v>农林水支出</c:v>
                </c:pt>
                <c:pt idx="4">
                  <c:v>其他支出</c:v>
                </c:pt>
                <c:pt idx="5">
                  <c:v>住房保障支出</c:v>
                </c:pt>
                <c:pt idx="6">
                  <c:v>卫生健康支出</c:v>
                </c:pt>
              </c:strCache>
            </c:strRef>
          </c:cat>
          <c:val>
            <c:numRef>
              <c:f>Sheet1!$B$2:$B$8</c:f>
              <c:numCache>
                <c:formatCode>General</c:formatCode>
                <c:ptCount val="7"/>
                <c:pt idx="0">
                  <c:v>13.44</c:v>
                </c:pt>
                <c:pt idx="1">
                  <c:v>5588.85</c:v>
                </c:pt>
                <c:pt idx="2">
                  <c:v>31800.8</c:v>
                </c:pt>
                <c:pt idx="3">
                  <c:v>6100</c:v>
                </c:pt>
                <c:pt idx="4">
                  <c:v>80</c:v>
                </c:pt>
                <c:pt idx="5">
                  <c:v>987.49</c:v>
                </c:pt>
                <c:pt idx="6">
                  <c:v>734.58</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solidFill>
                  <a:schemeClr val="tx1"/>
                </a:solidFill>
                <a:uFillTx/>
              </a:rPr>
              <a:t>“</a:t>
            </a:r>
            <a:r>
              <a:rPr lang="zh-CN" altLang="en-US">
                <a:solidFill>
                  <a:schemeClr val="tx1"/>
                </a:solidFill>
                <a:uFillTx/>
              </a:rPr>
              <a:t>三公</a:t>
            </a:r>
            <a:r>
              <a:rPr lang="en-US" altLang="zh-CN">
                <a:solidFill>
                  <a:schemeClr val="tx1"/>
                </a:solidFill>
                <a:uFillTx/>
              </a:rPr>
              <a:t>”</a:t>
            </a:r>
            <a:r>
              <a:rPr lang="zh-CN" altLang="en-US">
                <a:solidFill>
                  <a:schemeClr val="tx1"/>
                </a:solidFill>
                <a:uFillTx/>
              </a:rPr>
              <a:t>经费财政拨款支出结构</a:t>
            </a:r>
            <a:endParaRPr lang="zh-CN" altLang="en-US">
              <a:solidFill>
                <a:schemeClr val="tx1"/>
              </a:solidFill>
              <a:uFillTx/>
            </a:endParaRPr>
          </a:p>
        </c:rich>
      </c:tx>
      <c:layout>
        <c:manualLayout>
          <c:xMode val="edge"/>
          <c:yMode val="edge"/>
          <c:x val="0.291719262812421"/>
          <c:y val="0.0066815144766147"/>
        </c:manualLayout>
      </c:layout>
      <c:overlay val="false"/>
      <c:spPr>
        <a:noFill/>
        <a:ln>
          <a:noFill/>
        </a:ln>
        <a:effectLst/>
      </c:spPr>
    </c:title>
    <c:autoTitleDeleted val="false"/>
    <c:plotArea>
      <c:layout>
        <c:manualLayout>
          <c:layoutTarget val="inner"/>
          <c:xMode val="edge"/>
          <c:yMode val="edge"/>
          <c:x val="0.0839717230211878"/>
          <c:y val="0.16015"/>
          <c:w val="0.8316"/>
          <c:h val="0.669533333333333"/>
        </c:manualLayout>
      </c:layout>
      <c:pieChart>
        <c:varyColors val="true"/>
        <c:ser>
          <c:idx val="0"/>
          <c:order val="0"/>
          <c:tx>
            <c:strRef>
              <c:f>Sheet1!$B$1</c:f>
              <c:strCache>
                <c:ptCount val="1"/>
                <c:pt idx="0">
                  <c:v>三公经费结构图</c:v>
                </c:pt>
              </c:strCache>
            </c:strRef>
          </c:tx>
          <c:explosion val="0"/>
          <c:dPt>
            <c:idx val="0"/>
            <c:bubble3D val="false"/>
            <c:spPr>
              <a:solidFill>
                <a:schemeClr val="accent1"/>
              </a:solidFill>
              <a:ln w="25400">
                <a:solidFill>
                  <a:schemeClr val="lt1"/>
                </a:solidFill>
              </a:ln>
              <a:effectLst/>
            </c:spPr>
          </c:dPt>
          <c:dPt>
            <c:idx val="1"/>
            <c:bubble3D val="false"/>
            <c:spPr>
              <a:solidFill>
                <a:schemeClr val="accent2"/>
              </a:solidFill>
              <a:ln w="25400">
                <a:solidFill>
                  <a:schemeClr val="lt1"/>
                </a:solidFill>
              </a:ln>
              <a:effectLst/>
            </c:spPr>
          </c:dPt>
          <c:dLbls>
            <c:delete val="true"/>
          </c:dLbls>
          <c:cat>
            <c:strRef>
              <c:f>Sheet1!$A$2:$A$3</c:f>
              <c:strCache>
                <c:ptCount val="2"/>
                <c:pt idx="0">
                  <c:v>公务用车购置及运行维护费</c:v>
                </c:pt>
                <c:pt idx="1">
                  <c:v>公务接待费</c:v>
                </c:pt>
              </c:strCache>
            </c:strRef>
          </c:cat>
          <c:val>
            <c:numRef>
              <c:f>Sheet1!$B$2:$B$3</c:f>
              <c:numCache>
                <c:formatCode>General</c:formatCode>
                <c:ptCount val="2"/>
                <c:pt idx="0">
                  <c:v>19.73</c:v>
                </c:pt>
                <c:pt idx="1">
                  <c:v>1.31</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107</Pages>
  <Words>6519</Words>
  <Characters>37162</Characters>
  <Lines>309</Lines>
  <Paragraphs>87</Paragraphs>
  <TotalTime>8</TotalTime>
  <ScaleCrop>false</ScaleCrop>
  <LinksUpToDate>false</LinksUpToDate>
  <CharactersWithSpaces>43594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2026-09-14T10:18:00Z</dcterms:created>
  <dc:creator>曹颖</dc:creator>
  <cp:lastModifiedBy>李颉妍</cp:lastModifiedBy>
  <cp:lastPrinted>2024-09-06T08:52:00Z</cp:lastPrinted>
  <dcterms:modified xsi:type="dcterms:W3CDTF">2026-09-17T10:12:10Z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C513D1FC6E3744BA8ED173DA4120C105</vt:lpwstr>
  </property>
</Properties>
</file>