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93"/>
        <w:rPr>
          <w:rFonts w:ascii="Times New Roman" w:eastAsia="方正小标宋简体"/>
          <w:kern w:val="2"/>
          <w:sz w:val="72"/>
          <w:szCs w:val="72"/>
        </w:rPr>
      </w:pPr>
      <w:bookmarkStart w:id="0" w:name="_Toc15377193"/>
      <w:bookmarkStart w:id="1" w:name="_Toc15378441"/>
      <w:bookmarkStart w:id="2" w:name="_Toc15396475"/>
      <w:bookmarkStart w:id="3" w:name="_Toc15396597"/>
      <w:bookmarkStart w:id="4" w:name="_Toc15377425"/>
      <w:bookmarkStart w:id="5" w:name="_Toc15306267"/>
    </w:p>
    <w:p>
      <w:pPr>
        <w:pStyle w:val="5"/>
        <w:spacing w:before="93"/>
        <w:rPr>
          <w:rFonts w:ascii="Times New Roman" w:eastAsia="方正小标宋简体"/>
          <w:kern w:val="2"/>
          <w:sz w:val="72"/>
          <w:szCs w:val="72"/>
        </w:rPr>
      </w:pPr>
    </w:p>
    <w:p>
      <w:pPr>
        <w:pStyle w:val="5"/>
        <w:spacing w:before="93"/>
        <w:rPr>
          <w:rFonts w:ascii="Times New Roman" w:eastAsia="方正小标宋简体"/>
          <w:kern w:val="2"/>
          <w:sz w:val="72"/>
          <w:szCs w:val="72"/>
        </w:rPr>
      </w:pPr>
    </w:p>
    <w:p>
      <w:pPr>
        <w:pStyle w:val="5"/>
        <w:spacing w:before="93"/>
        <w:jc w:val="center"/>
        <w:rPr>
          <w:rFonts w:ascii="Times New Roman" w:eastAsia="方正小标宋简体"/>
          <w:kern w:val="2"/>
          <w:sz w:val="44"/>
          <w:szCs w:val="44"/>
        </w:rPr>
      </w:pPr>
      <w:r>
        <w:rPr>
          <w:rFonts w:ascii="Times New Roman" w:eastAsia="方正小标宋简体"/>
          <w:kern w:val="2"/>
          <w:sz w:val="44"/>
          <w:szCs w:val="44"/>
        </w:rPr>
        <w:t>2025</w:t>
      </w:r>
      <w:r>
        <w:rPr>
          <w:rFonts w:hint="eastAsia" w:ascii="Times New Roman" w:eastAsia="方正小标宋简体"/>
          <w:kern w:val="2"/>
          <w:sz w:val="44"/>
          <w:szCs w:val="44"/>
        </w:rPr>
        <w:t>年度攀枝花市航务海事中心</w:t>
      </w:r>
    </w:p>
    <w:p>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决算公开文字说明</w:t>
      </w:r>
    </w:p>
    <w:p>
      <w:pPr>
        <w:spacing w:line="600" w:lineRule="exact"/>
        <w:jc w:val="center"/>
        <w:outlineLvl w:val="0"/>
        <w:rPr>
          <w:rFonts w:eastAsia="方正小标宋简体"/>
          <w:sz w:val="72"/>
          <w:szCs w:val="72"/>
        </w:rPr>
      </w:pPr>
    </w:p>
    <w:p>
      <w:pPr>
        <w:pStyle w:val="20"/>
        <w:rPr>
          <w:rFonts w:ascii="Times New Roman" w:hAnsi="Times New Roman"/>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numberInDash" w:start="1"/>
          <w:cols w:space="425" w:num="1"/>
          <w:titlePg/>
          <w:docGrid w:type="lines" w:linePitch="312" w:charSpace="0"/>
        </w:sectPr>
      </w:pPr>
    </w:p>
    <w:p/>
    <w:p>
      <w:pPr>
        <w:pStyle w:val="5"/>
        <w:spacing w:before="93"/>
        <w:jc w:val="center"/>
        <w:rPr>
          <w:rFonts w:ascii="Times New Roman" w:eastAsia="方正小标宋简体"/>
          <w:kern w:val="2"/>
          <w:sz w:val="44"/>
          <w:szCs w:val="44"/>
        </w:rPr>
      </w:pPr>
    </w:p>
    <w:p>
      <w:pPr>
        <w:pStyle w:val="5"/>
        <w:spacing w:before="93"/>
        <w:jc w:val="center"/>
        <w:rPr>
          <w:rFonts w:ascii="Times New Roman" w:eastAsia="方正小标宋简体"/>
          <w:kern w:val="2"/>
          <w:sz w:val="44"/>
          <w:szCs w:val="44"/>
        </w:rPr>
      </w:pPr>
    </w:p>
    <w:p>
      <w:pPr>
        <w:pStyle w:val="5"/>
        <w:spacing w:before="93"/>
        <w:jc w:val="center"/>
        <w:rPr>
          <w:rFonts w:ascii="Times New Roman" w:eastAsia="方正小标宋简体"/>
          <w:kern w:val="2"/>
          <w:sz w:val="44"/>
          <w:szCs w:val="44"/>
        </w:rPr>
      </w:pPr>
    </w:p>
    <w:p>
      <w:pPr>
        <w:pStyle w:val="5"/>
        <w:spacing w:before="93"/>
        <w:jc w:val="center"/>
        <w:rPr>
          <w:rFonts w:ascii="Times New Roman" w:eastAsia="方正小标宋简体"/>
          <w:kern w:val="2"/>
          <w:sz w:val="44"/>
          <w:szCs w:val="44"/>
        </w:rPr>
      </w:pPr>
    </w:p>
    <w:bookmarkEnd w:id="0"/>
    <w:bookmarkEnd w:id="1"/>
    <w:bookmarkEnd w:id="2"/>
    <w:bookmarkEnd w:id="3"/>
    <w:bookmarkEnd w:id="4"/>
    <w:p>
      <w:pPr>
        <w:pStyle w:val="5"/>
        <w:spacing w:before="93"/>
        <w:jc w:val="center"/>
        <w:rPr>
          <w:rFonts w:ascii="Times New Roman" w:eastAsia="方正小标宋简体"/>
          <w:kern w:val="2"/>
          <w:sz w:val="44"/>
          <w:szCs w:val="44"/>
        </w:rPr>
      </w:pPr>
      <w:bookmarkStart w:id="6" w:name="_Toc15377426"/>
      <w:bookmarkStart w:id="7" w:name="_Toc15396598"/>
      <w:bookmarkStart w:id="8" w:name="_Toc15378442"/>
      <w:bookmarkStart w:id="9" w:name="_Toc15396476"/>
      <w:bookmarkStart w:id="10" w:name="_Toc15377194"/>
      <w:r>
        <w:rPr>
          <w:rFonts w:hint="eastAsia" w:ascii="Times New Roman" w:eastAsia="方正小标宋简体"/>
          <w:kern w:val="2"/>
          <w:sz w:val="44"/>
          <w:szCs w:val="44"/>
        </w:rPr>
        <w:t>2025年度</w:t>
      </w:r>
      <w:bookmarkEnd w:id="5"/>
      <w:bookmarkStart w:id="11" w:name="_Toc15306268"/>
      <w:r>
        <w:rPr>
          <w:rFonts w:hint="eastAsia" w:ascii="Times New Roman" w:eastAsia="方正小标宋简体"/>
          <w:kern w:val="2"/>
          <w:sz w:val="44"/>
          <w:szCs w:val="44"/>
        </w:rPr>
        <w:t>攀枝花市航务海事中心</w:t>
      </w:r>
    </w:p>
    <w:p>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单位决算</w:t>
      </w:r>
      <w:bookmarkEnd w:id="6"/>
      <w:bookmarkEnd w:id="7"/>
      <w:bookmarkEnd w:id="8"/>
      <w:bookmarkEnd w:id="9"/>
      <w:bookmarkEnd w:id="10"/>
      <w:bookmarkEnd w:id="11"/>
    </w:p>
    <w:p>
      <w:pPr>
        <w:widowControl/>
        <w:jc w:val="center"/>
        <w:rPr>
          <w:rFonts w:eastAsia="黑体"/>
          <w:sz w:val="48"/>
          <w:szCs w:val="48"/>
        </w:rPr>
      </w:pPr>
      <w:r>
        <w:rPr>
          <w:rFonts w:eastAsia="方正小标宋简体"/>
          <w:sz w:val="36"/>
          <w:szCs w:val="36"/>
        </w:rPr>
        <w:br w:type="page"/>
      </w:r>
      <w:r>
        <w:rPr>
          <w:rFonts w:hint="eastAsia" w:eastAsia="黑体"/>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公开时间：2026年9月15日</w:t>
      </w:r>
    </w:p>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单位概况</w:t>
      </w:r>
      <w:bookmarkStart w:id="12" w:name="OLE_LINK1"/>
      <w:r>
        <w:rPr>
          <w:rFonts w:hint="eastAsia" w:ascii="Times New Roman" w:hAnsi="Times New Roman" w:eastAsia="黑体" w:cs="黑体"/>
          <w:sz w:val="32"/>
          <w:szCs w:val="32"/>
        </w:rPr>
        <w:tab/>
      </w:r>
      <w:r>
        <w:rPr>
          <w:rFonts w:hint="eastAsia" w:ascii="Times New Roman" w:hAnsi="Times New Roman" w:eastAsia="黑体" w:cs="黑体"/>
          <w:sz w:val="32"/>
          <w:szCs w:val="32"/>
        </w:rPr>
        <w:t>1</w:t>
      </w:r>
      <w:bookmarkEnd w:id="12"/>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一、单位职责</w:t>
      </w:r>
      <w:r>
        <w:rPr>
          <w:rFonts w:hint="eastAsia" w:eastAsia="仿宋_GB2312" w:cs="仿宋_GB2312"/>
          <w:sz w:val="32"/>
          <w:szCs w:val="32"/>
        </w:rPr>
        <w:tab/>
      </w:r>
      <w:r>
        <w:rPr>
          <w:rFonts w:hint="eastAsia" w:eastAsia="仿宋_GB2312" w:cs="仿宋_GB2312"/>
          <w:sz w:val="32"/>
          <w:szCs w:val="32"/>
        </w:rPr>
        <w:t>1</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r>
        <w:rPr>
          <w:rFonts w:hint="eastAsia" w:eastAsia="仿宋_GB2312" w:cs="仿宋_GB2312"/>
          <w:sz w:val="32"/>
          <w:szCs w:val="32"/>
        </w:rPr>
        <w:tab/>
      </w:r>
      <w:r>
        <w:rPr>
          <w:rFonts w:hint="eastAsia" w:eastAsia="仿宋_GB2312" w:cs="仿宋_GB2312"/>
          <w:sz w:val="32"/>
          <w:szCs w:val="32"/>
        </w:rPr>
        <w:t>1</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2025年度单位决算情况说明</w:t>
      </w:r>
      <w:r>
        <w:rPr>
          <w:rFonts w:hint="eastAsia" w:ascii="Times New Roman" w:hAnsi="Times New Roman" w:eastAsia="黑体" w:cs="黑体"/>
          <w:sz w:val="32"/>
          <w:szCs w:val="32"/>
        </w:rPr>
        <w:tab/>
      </w:r>
      <w:r>
        <w:rPr>
          <w:rFonts w:hint="eastAsia" w:ascii="Times New Roman" w:hAnsi="Times New Roman" w:eastAsia="黑体" w:cs="黑体"/>
          <w:sz w:val="32"/>
          <w:szCs w:val="32"/>
        </w:rPr>
        <w:t>2</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r>
        <w:rPr>
          <w:rFonts w:hint="eastAsia" w:eastAsia="仿宋_GB2312" w:cs="仿宋_GB2312"/>
          <w:sz w:val="32"/>
          <w:szCs w:val="32"/>
        </w:rPr>
        <w:tab/>
      </w:r>
      <w:r>
        <w:rPr>
          <w:rFonts w:hint="eastAsia" w:eastAsia="仿宋_GB2312" w:cs="仿宋_GB2312"/>
          <w:sz w:val="32"/>
          <w:szCs w:val="32"/>
        </w:rPr>
        <w:t>2</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r>
        <w:rPr>
          <w:rFonts w:hint="eastAsia" w:eastAsia="仿宋_GB2312" w:cs="仿宋_GB2312"/>
          <w:sz w:val="32"/>
          <w:szCs w:val="32"/>
        </w:rPr>
        <w:tab/>
      </w:r>
      <w:r>
        <w:rPr>
          <w:rFonts w:hint="eastAsia" w:eastAsia="仿宋_GB2312" w:cs="仿宋_GB2312"/>
          <w:sz w:val="32"/>
          <w:szCs w:val="32"/>
        </w:rPr>
        <w:t>2</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r>
        <w:rPr>
          <w:rFonts w:hint="eastAsia" w:eastAsia="仿宋_GB2312" w:cs="仿宋_GB2312"/>
          <w:sz w:val="32"/>
          <w:szCs w:val="32"/>
        </w:rPr>
        <w:tab/>
      </w:r>
      <w:r>
        <w:rPr>
          <w:rFonts w:hint="eastAsia" w:eastAsia="仿宋_GB2312" w:cs="仿宋_GB2312"/>
          <w:sz w:val="32"/>
          <w:szCs w:val="32"/>
        </w:rPr>
        <w:t>3</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r>
        <w:rPr>
          <w:rFonts w:hint="eastAsia" w:eastAsia="仿宋_GB2312" w:cs="仿宋_GB2312"/>
          <w:sz w:val="32"/>
          <w:szCs w:val="32"/>
        </w:rPr>
        <w:tab/>
      </w:r>
      <w:r>
        <w:rPr>
          <w:rFonts w:hint="eastAsia" w:eastAsia="仿宋_GB2312" w:cs="仿宋_GB2312"/>
          <w:sz w:val="32"/>
          <w:szCs w:val="32"/>
        </w:rPr>
        <w:t>3</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r>
        <w:rPr>
          <w:rFonts w:hint="eastAsia" w:eastAsia="仿宋_GB2312" w:cs="仿宋_GB2312"/>
          <w:sz w:val="32"/>
          <w:szCs w:val="32"/>
        </w:rPr>
        <w:tab/>
      </w:r>
      <w:r>
        <w:rPr>
          <w:rFonts w:hint="eastAsia" w:eastAsia="仿宋_GB2312" w:cs="仿宋_GB2312"/>
          <w:sz w:val="32"/>
          <w:szCs w:val="32"/>
        </w:rPr>
        <w:t>4</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r>
        <w:rPr>
          <w:rFonts w:hint="eastAsia" w:eastAsia="仿宋_GB2312" w:cs="仿宋_GB2312"/>
          <w:sz w:val="32"/>
          <w:szCs w:val="32"/>
        </w:rPr>
        <w:tab/>
      </w:r>
      <w:r>
        <w:rPr>
          <w:rFonts w:hint="eastAsia" w:eastAsia="仿宋_GB2312" w:cs="仿宋_GB2312"/>
          <w:sz w:val="32"/>
          <w:szCs w:val="32"/>
        </w:rPr>
        <w:t>6</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r>
        <w:rPr>
          <w:rFonts w:hint="eastAsia" w:eastAsia="仿宋_GB2312" w:cs="仿宋_GB2312"/>
          <w:sz w:val="32"/>
          <w:szCs w:val="32"/>
        </w:rPr>
        <w:tab/>
      </w:r>
      <w:r>
        <w:rPr>
          <w:rFonts w:hint="eastAsia" w:eastAsia="仿宋_GB2312" w:cs="仿宋_GB2312"/>
          <w:sz w:val="32"/>
          <w:szCs w:val="32"/>
        </w:rPr>
        <w:t>7</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r>
        <w:rPr>
          <w:rFonts w:hint="eastAsia" w:eastAsia="仿宋_GB2312" w:cs="仿宋_GB2312"/>
          <w:sz w:val="32"/>
          <w:szCs w:val="32"/>
        </w:rPr>
        <w:tab/>
      </w:r>
      <w:r>
        <w:rPr>
          <w:rFonts w:hint="eastAsia" w:eastAsia="仿宋_GB2312" w:cs="仿宋_GB2312"/>
          <w:sz w:val="32"/>
          <w:szCs w:val="32"/>
        </w:rPr>
        <w:t>8</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r>
        <w:rPr>
          <w:rFonts w:hint="eastAsia" w:eastAsia="仿宋_GB2312" w:cs="仿宋_GB2312"/>
          <w:sz w:val="32"/>
          <w:szCs w:val="32"/>
        </w:rPr>
        <w:tab/>
      </w:r>
      <w:r>
        <w:rPr>
          <w:rFonts w:hint="eastAsia" w:eastAsia="仿宋_GB2312" w:cs="仿宋_GB2312"/>
          <w:sz w:val="32"/>
          <w:szCs w:val="32"/>
        </w:rPr>
        <w:t>9</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r>
        <w:rPr>
          <w:rFonts w:hint="eastAsia" w:eastAsia="仿宋_GB2312" w:cs="仿宋_GB2312"/>
          <w:sz w:val="32"/>
          <w:szCs w:val="32"/>
        </w:rPr>
        <w:tab/>
      </w:r>
      <w:r>
        <w:rPr>
          <w:rFonts w:hint="eastAsia" w:eastAsia="仿宋_GB2312" w:cs="仿宋_GB2312"/>
          <w:sz w:val="32"/>
          <w:szCs w:val="32"/>
        </w:rPr>
        <w:t>9</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rPr>
        <w:tab/>
      </w:r>
      <w:r>
        <w:rPr>
          <w:rFonts w:hint="eastAsia" w:ascii="Times New Roman" w:hAnsi="Times New Roman" w:eastAsia="黑体" w:cs="黑体"/>
          <w:sz w:val="32"/>
          <w:szCs w:val="32"/>
        </w:rPr>
        <w:t>11</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rPr>
        <w:tab/>
      </w:r>
      <w:r>
        <w:rPr>
          <w:rFonts w:hint="eastAsia" w:ascii="Times New Roman" w:hAnsi="Times New Roman" w:eastAsia="黑体" w:cs="黑体"/>
          <w:sz w:val="32"/>
          <w:szCs w:val="32"/>
        </w:rPr>
        <w:t>14</w:t>
      </w:r>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rPr>
        <w:tab/>
      </w:r>
      <w:r>
        <w:rPr>
          <w:rFonts w:hint="eastAsia" w:ascii="Times New Roman" w:hAnsi="Times New Roman" w:eastAsia="黑体" w:cs="黑体"/>
          <w:sz w:val="32"/>
          <w:szCs w:val="32"/>
        </w:rPr>
        <w:t>14</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pPr>
        <w:widowControl/>
        <w:jc w:val="left"/>
        <w:rPr>
          <w:rFonts w:eastAsia="仿宋_GB2312" w:cs="仿宋_GB2312"/>
          <w:b/>
          <w:bCs/>
          <w:sz w:val="32"/>
          <w:szCs w:val="32"/>
        </w:rPr>
        <w:sectPr>
          <w:footerReference r:id="rId10" w:type="first"/>
          <w:footerReference r:id="rId9" w:type="default"/>
          <w:pgSz w:w="11906" w:h="16838"/>
          <w:pgMar w:top="1440" w:right="1800" w:bottom="1440" w:left="1800" w:header="851" w:footer="992" w:gutter="0"/>
          <w:pgNumType w:fmt="numberInDash" w:start="1"/>
          <w:cols w:space="425" w:num="1"/>
          <w:titlePg/>
          <w:docGrid w:type="lines" w:linePitch="312" w:charSpace="0"/>
        </w:sectPr>
      </w:pPr>
      <w:r>
        <w:rPr>
          <w:rFonts w:eastAsia="仿宋_GB2312" w:cs="仿宋_GB2312"/>
          <w:b/>
          <w:bCs/>
          <w:sz w:val="32"/>
          <w:szCs w:val="32"/>
        </w:rPr>
        <w:br w:type="page"/>
      </w:r>
      <w:bookmarkStart w:id="13" w:name="_Toc15377196"/>
      <w:bookmarkStart w:id="14" w:name="_Toc15396599"/>
    </w:p>
    <w:p>
      <w:pPr>
        <w:pStyle w:val="2"/>
        <w:jc w:val="center"/>
        <w:rPr>
          <w:rStyle w:val="29"/>
          <w:rFonts w:eastAsia="方正小标宋简体" w:cs="方正小标宋简体"/>
          <w:b/>
          <w:bCs w:val="0"/>
        </w:rPr>
      </w:pPr>
      <w:r>
        <w:rPr>
          <w:rFonts w:hint="eastAsia" w:eastAsia="方正小标宋简体" w:cs="方正小标宋简体"/>
          <w:b w:val="0"/>
        </w:rPr>
        <w:t xml:space="preserve">第一部分  </w:t>
      </w:r>
      <w:r>
        <w:rPr>
          <w:rStyle w:val="29"/>
          <w:rFonts w:hint="eastAsia" w:eastAsia="方正小标宋简体" w:cs="方正小标宋简体"/>
          <w:b w:val="0"/>
          <w:bCs w:val="0"/>
        </w:rPr>
        <w:t>单位概况</w:t>
      </w:r>
      <w:bookmarkEnd w:id="13"/>
      <w:bookmarkEnd w:id="14"/>
    </w:p>
    <w:p>
      <w:pPr>
        <w:pStyle w:val="3"/>
        <w:rPr>
          <w:rFonts w:ascii="Times New Roman" w:hAnsi="Times New Roman" w:eastAsia="黑体"/>
          <w:b w:val="0"/>
        </w:rPr>
      </w:pPr>
      <w:bookmarkStart w:id="15" w:name="_Toc15396600"/>
      <w:bookmarkStart w:id="16" w:name="_Toc15377197"/>
      <w:r>
        <w:rPr>
          <w:rFonts w:hint="eastAsia" w:ascii="Times New Roman" w:hAnsi="Times New Roman" w:eastAsia="黑体"/>
          <w:b w:val="0"/>
        </w:rPr>
        <w:t>一、</w:t>
      </w:r>
      <w:bookmarkEnd w:id="15"/>
      <w:bookmarkEnd w:id="16"/>
      <w:r>
        <w:rPr>
          <w:rFonts w:hint="eastAsia" w:ascii="Times New Roman" w:hAnsi="Times New Roman" w:eastAsia="黑体"/>
          <w:b w:val="0"/>
        </w:rPr>
        <w:t>单位职责</w:t>
      </w:r>
    </w:p>
    <w:p>
      <w:pPr>
        <w:pStyle w:val="5"/>
        <w:spacing w:before="93"/>
        <w:rPr>
          <w:sz w:val="32"/>
          <w:szCs w:val="32"/>
        </w:rPr>
      </w:pPr>
      <w:r>
        <w:rPr>
          <w:rFonts w:hint="eastAsia"/>
          <w:sz w:val="32"/>
          <w:szCs w:val="32"/>
        </w:rPr>
        <w:t>　　</w:t>
      </w:r>
      <w:bookmarkStart w:id="17" w:name="OLE_LINK2"/>
      <w:bookmarkStart w:id="18" w:name="OLE_LINK3"/>
      <w:r>
        <w:rPr>
          <w:rFonts w:hint="eastAsia"/>
          <w:sz w:val="32"/>
          <w:szCs w:val="32"/>
        </w:rPr>
        <w:t>攀枝花市航务海事中心(原攀枝花市地方海事局)属参照公务员法管理事业单位。单位职责为：贯彻执行国家有关交通运输行业的方针、政策和法律、法规，贯彻执行省地方性法规、规章、交通运输行业规划、政策和规范性文件。组织拟订并监督实施水路行业发展战略、政策，会同有关部门组织编制综合运输体系规划；承担水路交通运输市场监管责任，组织实施并监督执行水路运输有关政策、技术标准和运营规范；承担运输船舶及相关水上设施检验、登记和防止污染、通讯导航、危险品运输的监督管理工作；负责船员管理相关工作；按规定负责港口规划和港口岸线管理工作。</w:t>
      </w:r>
      <w:bookmarkEnd w:id="17"/>
      <w:bookmarkEnd w:id="18"/>
    </w:p>
    <w:p>
      <w:pPr>
        <w:pStyle w:val="3"/>
        <w:rPr>
          <w:rStyle w:val="30"/>
          <w:rFonts w:ascii="Times New Roman" w:hAnsi="Times New Roman"/>
          <w:b w:val="0"/>
          <w:bCs w:val="0"/>
        </w:rPr>
      </w:pPr>
      <w:bookmarkStart w:id="19" w:name="_Toc15396601"/>
      <w:bookmarkStart w:id="20" w:name="_Toc15377200"/>
      <w:r>
        <w:rPr>
          <w:rFonts w:hint="eastAsia" w:ascii="Times New Roman" w:hAnsi="Times New Roman" w:eastAsia="黑体"/>
          <w:b w:val="0"/>
        </w:rPr>
        <w:t>二、机</w:t>
      </w:r>
      <w:r>
        <w:rPr>
          <w:rStyle w:val="30"/>
          <w:rFonts w:hint="eastAsia" w:ascii="Times New Roman" w:hAnsi="Times New Roman" w:eastAsia="黑体"/>
          <w:b w:val="0"/>
          <w:bCs w:val="0"/>
        </w:rPr>
        <w:t>构设置</w:t>
      </w:r>
      <w:bookmarkEnd w:id="19"/>
      <w:bookmarkEnd w:id="20"/>
    </w:p>
    <w:p>
      <w:pPr>
        <w:ind w:firstLine="800" w:firstLineChars="250"/>
        <w:rPr>
          <w:rFonts w:eastAsia="仿宋_GB2312" w:cs="仿宋_GB2312"/>
          <w:sz w:val="32"/>
          <w:szCs w:val="32"/>
        </w:rPr>
      </w:pPr>
      <w:bookmarkStart w:id="21" w:name="OLE_LINK4"/>
      <w:r>
        <w:rPr>
          <w:rFonts w:hint="eastAsia" w:ascii="仿宋_GB2312" w:hAnsi="仿宋_GB2312" w:eastAsia="仿宋_GB2312" w:cs="仿宋_GB2312"/>
          <w:sz w:val="32"/>
          <w:szCs w:val="32"/>
        </w:rPr>
        <w:t>攀枝花市航务海事中心</w:t>
      </w:r>
      <w:bookmarkStart w:id="22" w:name="_Toc15377204"/>
      <w:bookmarkStart w:id="23" w:name="_Toc15396602"/>
      <w:r>
        <w:rPr>
          <w:rFonts w:hint="eastAsia" w:eastAsia="仿宋_GB2312" w:cs="仿宋_GB2312"/>
          <w:sz w:val="32"/>
          <w:szCs w:val="32"/>
        </w:rPr>
        <w:t>单位编制12名，内设三科一室：航务科、海事科、科教信息科、综合办公室。截</w:t>
      </w:r>
      <w:r>
        <w:rPr>
          <w:rFonts w:hint="eastAsia" w:eastAsia="仿宋_GB2312" w:cs="仿宋_GB2312"/>
          <w:sz w:val="32"/>
          <w:szCs w:val="32"/>
          <w:lang w:eastAsia="zh-CN"/>
        </w:rPr>
        <w:t>至</w:t>
      </w:r>
      <w:r>
        <w:rPr>
          <w:rFonts w:hint="eastAsia" w:eastAsia="仿宋_GB2312" w:cs="仿宋_GB2312"/>
          <w:sz w:val="32"/>
          <w:szCs w:val="32"/>
        </w:rPr>
        <w:t>2024年年底实有在职人员11名,退休人员5名。</w:t>
      </w:r>
      <w:bookmarkStart w:id="89" w:name="_GoBack"/>
      <w:bookmarkEnd w:id="89"/>
    </w:p>
    <w:bookmarkEnd w:id="21"/>
    <w:p>
      <w:pPr>
        <w:ind w:firstLine="800" w:firstLineChars="250"/>
        <w:rPr>
          <w:rFonts w:eastAsia="仿宋"/>
          <w:kern w:val="0"/>
          <w:sz w:val="32"/>
          <w:szCs w:val="32"/>
        </w:rPr>
      </w:pPr>
      <w:r>
        <w:rPr>
          <w:rFonts w:hint="eastAsia" w:ascii="仿宋_GB2312" w:hAnsi="仿宋_GB2312" w:eastAsia="仿宋_GB2312" w:cs="仿宋_GB2312"/>
          <w:sz w:val="32"/>
          <w:szCs w:val="32"/>
        </w:rPr>
        <w:t>攀枝花市航务海事中心无</w:t>
      </w:r>
      <w:r>
        <w:rPr>
          <w:rFonts w:hint="eastAsia" w:eastAsia="仿宋_GB2312" w:cs="仿宋_GB2312"/>
          <w:sz w:val="32"/>
          <w:szCs w:val="32"/>
        </w:rPr>
        <w:t>下属单位。</w:t>
      </w:r>
    </w:p>
    <w:p>
      <w:pPr>
        <w:ind w:firstLine="525" w:firstLineChars="250"/>
        <w:rPr>
          <w:rFonts w:eastAsia="方正小标宋简体" w:cs="方正小标宋简体"/>
        </w:rPr>
      </w:pPr>
    </w:p>
    <w:p>
      <w:pPr>
        <w:ind w:firstLine="525" w:firstLineChars="250"/>
        <w:rPr>
          <w:rFonts w:eastAsia="方正小标宋简体" w:cs="方正小标宋简体"/>
        </w:rPr>
      </w:pPr>
    </w:p>
    <w:p>
      <w:pPr>
        <w:ind w:firstLine="525" w:firstLineChars="250"/>
        <w:rPr>
          <w:rFonts w:eastAsia="方正小标宋简体" w:cs="方正小标宋简体"/>
        </w:rPr>
      </w:pPr>
    </w:p>
    <w:p>
      <w:pPr>
        <w:ind w:firstLine="525" w:firstLineChars="250"/>
        <w:rPr>
          <w:rFonts w:eastAsia="方正小标宋简体" w:cs="方正小标宋简体"/>
        </w:rPr>
      </w:pPr>
    </w:p>
    <w:p>
      <w:pPr>
        <w:ind w:firstLine="525" w:firstLineChars="250"/>
        <w:rPr>
          <w:rFonts w:eastAsia="方正小标宋简体" w:cs="方正小标宋简体"/>
        </w:rPr>
      </w:pPr>
    </w:p>
    <w:p>
      <w:pPr>
        <w:pStyle w:val="2"/>
        <w:jc w:val="center"/>
        <w:rPr>
          <w:rFonts w:eastAsia="方正小标宋简体" w:cs="方正小标宋简体"/>
          <w:b w:val="0"/>
        </w:rPr>
      </w:pPr>
      <w:r>
        <w:rPr>
          <w:rFonts w:hint="eastAsia" w:eastAsia="方正小标宋简体" w:cs="方正小标宋简体"/>
          <w:b w:val="0"/>
        </w:rPr>
        <w:t>第二部分  2025年度单位</w:t>
      </w:r>
      <w:r>
        <w:rPr>
          <w:rStyle w:val="29"/>
          <w:rFonts w:hint="eastAsia"/>
          <w:b/>
          <w:bCs w:val="0"/>
        </w:rPr>
        <w:t>决算</w:t>
      </w:r>
      <w:r>
        <w:rPr>
          <w:rFonts w:hint="eastAsia" w:eastAsia="方正小标宋简体" w:cs="方正小标宋简体"/>
          <w:b w:val="0"/>
        </w:rPr>
        <w:t>情况说明</w:t>
      </w:r>
      <w:bookmarkEnd w:id="22"/>
      <w:bookmarkEnd w:id="23"/>
    </w:p>
    <w:p/>
    <w:p>
      <w:pPr>
        <w:pStyle w:val="28"/>
        <w:spacing w:line="600" w:lineRule="exact"/>
        <w:ind w:firstLine="640"/>
        <w:outlineLvl w:val="1"/>
        <w:rPr>
          <w:rStyle w:val="30"/>
          <w:rFonts w:ascii="Times New Roman" w:hAnsi="Times New Roman" w:eastAsia="黑体"/>
          <w:b w:val="0"/>
        </w:rPr>
      </w:pPr>
      <w:bookmarkStart w:id="24" w:name="_Toc15377205"/>
      <w:bookmarkStart w:id="25" w:name="_Toc15396603"/>
      <w:r>
        <w:rPr>
          <w:rFonts w:hint="eastAsia" w:eastAsia="黑体"/>
          <w:sz w:val="32"/>
          <w:szCs w:val="32"/>
        </w:rPr>
        <w:t>一、收</w:t>
      </w:r>
      <w:r>
        <w:rPr>
          <w:rStyle w:val="30"/>
          <w:rFonts w:hint="eastAsia" w:ascii="Times New Roman" w:hAnsi="Times New Roman" w:eastAsia="黑体"/>
          <w:b w:val="0"/>
        </w:rPr>
        <w:t>入支出决算总体情况说明</w:t>
      </w:r>
      <w:bookmarkEnd w:id="24"/>
      <w:bookmarkEnd w:id="25"/>
    </w:p>
    <w:p>
      <w:pPr>
        <w:pStyle w:val="28"/>
        <w:spacing w:line="600" w:lineRule="exact"/>
        <w:ind w:firstLine="640"/>
        <w:outlineLvl w:val="1"/>
        <w:rPr>
          <w:rFonts w:eastAsia="仿宋_GB2312" w:cs="仿宋_GB2312"/>
          <w:sz w:val="32"/>
          <w:szCs w:val="32"/>
        </w:rPr>
      </w:pPr>
      <w:bookmarkStart w:id="26" w:name="OLE_LINK14"/>
      <w:bookmarkStart w:id="27" w:name="OLE_LINK15"/>
      <w:r>
        <w:rPr>
          <w:rFonts w:eastAsia="仿宋_GB2312" w:cs="仿宋_GB2312"/>
          <w:sz w:val="32"/>
          <w:szCs w:val="32"/>
        </w:rPr>
        <w:t>2025</w:t>
      </w:r>
      <w:r>
        <w:rPr>
          <w:rFonts w:hint="eastAsia" w:eastAsia="仿宋_GB2312" w:cs="仿宋_GB2312"/>
          <w:sz w:val="32"/>
          <w:szCs w:val="32"/>
        </w:rPr>
        <w:t>年度收入、支出总计均为</w:t>
      </w:r>
      <w:r>
        <w:rPr>
          <w:rFonts w:hint="eastAsia" w:ascii="仿宋_GB2312" w:hAnsi="仿宋_GB2312" w:eastAsia="仿宋_GB2312" w:cs="仿宋_GB2312"/>
          <w:sz w:val="32"/>
          <w:szCs w:val="32"/>
        </w:rPr>
        <w:t>270.62</w:t>
      </w:r>
      <w:r>
        <w:rPr>
          <w:rFonts w:hint="eastAsia" w:eastAsia="仿宋_GB2312" w:cs="仿宋_GB2312"/>
          <w:sz w:val="32"/>
          <w:szCs w:val="32"/>
        </w:rPr>
        <w:t>万元。与上年度相比，收入、支出总计各增加18.44万元，增长7.3</w:t>
      </w:r>
      <w:r>
        <w:rPr>
          <w:rFonts w:eastAsia="仿宋_GB2312" w:cs="仿宋_GB2312"/>
          <w:sz w:val="32"/>
          <w:szCs w:val="32"/>
        </w:rPr>
        <w:t>%</w:t>
      </w:r>
      <w:r>
        <w:rPr>
          <w:rFonts w:hint="eastAsia" w:eastAsia="仿宋_GB2312" w:cs="仿宋_GB2312"/>
          <w:sz w:val="32"/>
          <w:szCs w:val="32"/>
        </w:rPr>
        <w:t>。主要变动原因是：增加人员经费。</w:t>
      </w:r>
    </w:p>
    <w:bookmarkEnd w:id="26"/>
    <w:bookmarkEnd w:id="27"/>
    <w:p>
      <w:pPr>
        <w:ind w:firstLine="640" w:firstLineChars="200"/>
        <w:rPr>
          <w:rFonts w:eastAsia="仿宋_GB2312" w:cs="仿宋_GB2312"/>
          <w:sz w:val="32"/>
          <w:szCs w:val="32"/>
        </w:rPr>
      </w:pPr>
      <w:r>
        <w:rPr>
          <w:rFonts w:hint="eastAsia" w:eastAsia="仿宋_GB2312" w:cs="仿宋_GB2312"/>
          <w:sz w:val="32"/>
          <w:szCs w:val="32"/>
        </w:rPr>
        <w:t>（图1：收入、支出决算总计变动情况图）</w:t>
      </w:r>
    </w:p>
    <w:p>
      <w:pPr>
        <w:pStyle w:val="20"/>
        <w:jc w:val="center"/>
      </w:pPr>
      <w:r>
        <w:rPr>
          <w:rFonts w:hint="eastAsia" w:ascii="仿宋_GB2312" w:eastAsia="仿宋_GB2312"/>
        </w:rPr>
        <w:drawing>
          <wp:inline distT="0" distB="0" distL="0" distR="0">
            <wp:extent cx="3263900" cy="1924050"/>
            <wp:effectExtent l="19050" t="0" r="12700" b="0"/>
            <wp:docPr id="1" name="Objec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8"/>
        <w:spacing w:line="600" w:lineRule="exact"/>
        <w:ind w:firstLine="640"/>
        <w:outlineLvl w:val="1"/>
        <w:rPr>
          <w:rFonts w:eastAsia="黑体"/>
          <w:sz w:val="32"/>
          <w:szCs w:val="32"/>
        </w:rPr>
      </w:pPr>
      <w:bookmarkStart w:id="28" w:name="_Toc15396604"/>
      <w:bookmarkStart w:id="29" w:name="_Toc15377206"/>
      <w:r>
        <w:rPr>
          <w:rFonts w:hint="eastAsia" w:eastAsia="黑体"/>
          <w:sz w:val="32"/>
          <w:szCs w:val="32"/>
        </w:rPr>
        <w:t>二、收入决算情况说明</w:t>
      </w:r>
      <w:bookmarkEnd w:id="28"/>
      <w:bookmarkEnd w:id="29"/>
    </w:p>
    <w:p>
      <w:pPr>
        <w:pStyle w:val="28"/>
        <w:spacing w:line="600" w:lineRule="exact"/>
        <w:ind w:firstLine="640"/>
        <w:jc w:val="left"/>
        <w:outlineLvl w:val="1"/>
        <w:rPr>
          <w:rFonts w:eastAsia="仿宋_GB2312" w:cs="仿宋_GB2312"/>
          <w:b/>
          <w:bCs/>
          <w:sz w:val="32"/>
          <w:szCs w:val="32"/>
        </w:rPr>
      </w:pPr>
      <w:r>
        <w:rPr>
          <w:rFonts w:hint="eastAsia" w:eastAsia="仿宋_GB2312" w:cs="仿宋_GB2312"/>
          <w:sz w:val="32"/>
          <w:szCs w:val="32"/>
        </w:rPr>
        <w:t>2025年度本年收入合计</w:t>
      </w:r>
      <w:r>
        <w:rPr>
          <w:rFonts w:hint="eastAsia" w:ascii="仿宋_GB2312" w:hAnsi="仿宋_GB2312" w:eastAsia="仿宋_GB2312" w:cs="仿宋_GB2312"/>
          <w:sz w:val="32"/>
          <w:szCs w:val="32"/>
        </w:rPr>
        <w:t>270.62</w:t>
      </w:r>
      <w:r>
        <w:rPr>
          <w:rFonts w:hint="eastAsia" w:eastAsia="仿宋_GB2312" w:cs="仿宋_GB2312"/>
          <w:sz w:val="32"/>
          <w:szCs w:val="32"/>
        </w:rPr>
        <w:t>万元，其中：一般公共预算财政拨款收入</w:t>
      </w:r>
      <w:r>
        <w:rPr>
          <w:rFonts w:hint="eastAsia" w:ascii="仿宋_GB2312" w:hAnsi="仿宋_GB2312" w:eastAsia="仿宋_GB2312" w:cs="仿宋_GB2312"/>
          <w:sz w:val="32"/>
          <w:szCs w:val="32"/>
        </w:rPr>
        <w:t>270.62</w:t>
      </w:r>
      <w:r>
        <w:rPr>
          <w:rFonts w:hint="eastAsia" w:eastAsia="仿宋_GB2312" w:cs="仿宋_GB2312"/>
          <w:sz w:val="32"/>
          <w:szCs w:val="32"/>
        </w:rPr>
        <w:t>万元，占</w:t>
      </w:r>
      <w:r>
        <w:rPr>
          <w:rFonts w:hint="eastAsia" w:ascii="仿宋_GB2312" w:hAnsi="仿宋_GB2312" w:eastAsia="仿宋_GB2312" w:cs="仿宋_GB2312"/>
          <w:sz w:val="32"/>
          <w:szCs w:val="32"/>
        </w:rPr>
        <w:t>100</w:t>
      </w:r>
      <w:r>
        <w:rPr>
          <w:rFonts w:hint="eastAsia" w:eastAsia="仿宋_GB2312" w:cs="仿宋_GB2312"/>
          <w:sz w:val="32"/>
          <w:szCs w:val="32"/>
        </w:rPr>
        <w:t>%；</w:t>
      </w:r>
      <w:r>
        <w:rPr>
          <w:rFonts w:eastAsia="仿宋_GB2312" w:cs="仿宋_GB2312"/>
          <w:b/>
          <w:bCs/>
          <w:sz w:val="32"/>
          <w:szCs w:val="32"/>
        </w:rPr>
        <w:t xml:space="preserve"> </w:t>
      </w:r>
    </w:p>
    <w:p>
      <w:pPr>
        <w:ind w:firstLine="800" w:firstLineChars="250"/>
        <w:jc w:val="left"/>
        <w:rPr>
          <w:rFonts w:eastAsia="仿宋_GB2312" w:cs="仿宋_GB2312"/>
          <w:sz w:val="32"/>
          <w:szCs w:val="32"/>
        </w:rPr>
      </w:pPr>
      <w:r>
        <w:rPr>
          <w:rFonts w:hint="eastAsia" w:eastAsia="仿宋_GB2312" w:cs="仿宋_GB2312"/>
          <w:sz w:val="32"/>
          <w:szCs w:val="32"/>
        </w:rPr>
        <w:t>（图2：收入决算结构图）</w:t>
      </w:r>
    </w:p>
    <w:p>
      <w:pPr>
        <w:ind w:firstLine="800" w:firstLineChars="250"/>
        <w:jc w:val="center"/>
        <w:rPr>
          <w:rFonts w:eastAsia="仿宋_GB2312" w:cs="仿宋_GB2312"/>
          <w:sz w:val="32"/>
          <w:szCs w:val="32"/>
        </w:rPr>
      </w:pPr>
      <w:r>
        <w:rPr>
          <w:rFonts w:hint="eastAsia" w:eastAsia="仿宋_GB2312" w:cs="仿宋_GB2312"/>
          <w:sz w:val="32"/>
          <w:szCs w:val="32"/>
        </w:rPr>
        <w:drawing>
          <wp:inline distT="0" distB="0" distL="0" distR="0">
            <wp:extent cx="2800350" cy="1676400"/>
            <wp:effectExtent l="19050" t="0" r="19050" b="0"/>
            <wp:docPr id="22" name="对象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28"/>
        <w:spacing w:line="600" w:lineRule="exact"/>
        <w:ind w:firstLine="640"/>
        <w:outlineLvl w:val="1"/>
        <w:rPr>
          <w:rStyle w:val="30"/>
          <w:rFonts w:ascii="Times New Roman" w:hAnsi="Times New Roman" w:eastAsia="黑体"/>
          <w:b w:val="0"/>
        </w:rPr>
      </w:pPr>
      <w:bookmarkStart w:id="30" w:name="_Toc15396605"/>
      <w:bookmarkStart w:id="31" w:name="_Toc15377207"/>
      <w:r>
        <w:rPr>
          <w:rFonts w:hint="eastAsia" w:eastAsia="黑体"/>
          <w:sz w:val="32"/>
          <w:szCs w:val="32"/>
        </w:rPr>
        <w:t>三、支</w:t>
      </w:r>
      <w:r>
        <w:rPr>
          <w:rStyle w:val="30"/>
          <w:rFonts w:hint="eastAsia" w:ascii="Times New Roman" w:hAnsi="Times New Roman" w:eastAsia="黑体"/>
          <w:b w:val="0"/>
        </w:rPr>
        <w:t>出决算情况说明</w:t>
      </w:r>
      <w:bookmarkEnd w:id="30"/>
      <w:bookmarkEnd w:id="31"/>
    </w:p>
    <w:p>
      <w:pPr>
        <w:ind w:firstLine="800" w:firstLineChars="250"/>
        <w:rPr>
          <w:rFonts w:eastAsia="仿宋_GB2312" w:cs="仿宋_GB2312"/>
          <w:sz w:val="32"/>
          <w:szCs w:val="32"/>
        </w:rPr>
      </w:pPr>
      <w:r>
        <w:rPr>
          <w:rFonts w:eastAsia="仿宋_GB2312" w:cs="仿宋_GB2312"/>
          <w:sz w:val="32"/>
          <w:szCs w:val="32"/>
        </w:rPr>
        <w:t>2025</w:t>
      </w:r>
      <w:r>
        <w:rPr>
          <w:rFonts w:hint="eastAsia" w:eastAsia="仿宋_GB2312" w:cs="仿宋_GB2312"/>
          <w:sz w:val="32"/>
          <w:szCs w:val="32"/>
        </w:rPr>
        <w:t>年度本年支出合计</w:t>
      </w:r>
      <w:r>
        <w:rPr>
          <w:rFonts w:hint="eastAsia" w:ascii="仿宋_GB2312" w:hAnsi="仿宋_GB2312" w:eastAsia="仿宋_GB2312" w:cs="仿宋_GB2312"/>
          <w:sz w:val="32"/>
          <w:szCs w:val="32"/>
        </w:rPr>
        <w:t>270.62</w:t>
      </w:r>
      <w:r>
        <w:rPr>
          <w:rFonts w:hint="eastAsia" w:eastAsia="仿宋_GB2312" w:cs="仿宋_GB2312"/>
          <w:sz w:val="32"/>
          <w:szCs w:val="32"/>
        </w:rPr>
        <w:t>万元，其中：基本支出</w:t>
      </w:r>
      <w:r>
        <w:rPr>
          <w:rFonts w:hint="eastAsia" w:ascii="仿宋_GB2312" w:hAnsi="仿宋_GB2312" w:eastAsia="仿宋_GB2312" w:cs="仿宋_GB2312"/>
          <w:sz w:val="32"/>
          <w:szCs w:val="32"/>
        </w:rPr>
        <w:t>268.62</w:t>
      </w:r>
      <w:r>
        <w:rPr>
          <w:rFonts w:hint="eastAsia" w:eastAsia="仿宋_GB2312" w:cs="仿宋_GB2312"/>
          <w:sz w:val="32"/>
          <w:szCs w:val="32"/>
        </w:rPr>
        <w:t>万元，占</w:t>
      </w:r>
      <w:r>
        <w:rPr>
          <w:rFonts w:hint="eastAsia" w:ascii="仿宋_GB2312" w:hAnsi="仿宋_GB2312" w:eastAsia="仿宋_GB2312" w:cs="仿宋_GB2312"/>
          <w:sz w:val="32"/>
          <w:szCs w:val="32"/>
        </w:rPr>
        <w:t>99.3</w:t>
      </w:r>
      <w:r>
        <w:rPr>
          <w:rFonts w:eastAsia="仿宋_GB2312" w:cs="仿宋_GB2312"/>
          <w:sz w:val="32"/>
          <w:szCs w:val="32"/>
        </w:rPr>
        <w:t>%</w:t>
      </w:r>
      <w:r>
        <w:rPr>
          <w:rFonts w:hint="eastAsia" w:eastAsia="仿宋_GB2312" w:cs="仿宋_GB2312"/>
          <w:sz w:val="32"/>
          <w:szCs w:val="32"/>
        </w:rPr>
        <w:t>；项目支出</w:t>
      </w:r>
      <w:r>
        <w:rPr>
          <w:rFonts w:hint="eastAsia" w:ascii="仿宋_GB2312" w:hAnsi="仿宋_GB2312" w:eastAsia="仿宋_GB2312" w:cs="仿宋_GB2312"/>
          <w:sz w:val="32"/>
          <w:szCs w:val="32"/>
        </w:rPr>
        <w:t>2</w:t>
      </w:r>
      <w:r>
        <w:rPr>
          <w:rFonts w:hint="eastAsia" w:eastAsia="仿宋_GB2312" w:cs="仿宋_GB2312"/>
          <w:sz w:val="32"/>
          <w:szCs w:val="32"/>
        </w:rPr>
        <w:t>万元，占</w:t>
      </w:r>
      <w:r>
        <w:rPr>
          <w:rFonts w:hint="eastAsia" w:ascii="仿宋_GB2312" w:hAnsi="仿宋_GB2312" w:eastAsia="仿宋_GB2312" w:cs="仿宋_GB2312"/>
          <w:sz w:val="32"/>
          <w:szCs w:val="32"/>
        </w:rPr>
        <w:t>0.7</w:t>
      </w:r>
      <w:r>
        <w:rPr>
          <w:rFonts w:eastAsia="仿宋_GB2312" w:cs="仿宋_GB2312"/>
          <w:sz w:val="32"/>
          <w:szCs w:val="32"/>
        </w:rPr>
        <w:t>%</w:t>
      </w:r>
      <w:r>
        <w:rPr>
          <w:rFonts w:hint="eastAsia" w:eastAsia="仿宋_GB2312" w:cs="仿宋_GB2312"/>
          <w:sz w:val="32"/>
          <w:szCs w:val="32"/>
        </w:rPr>
        <w:t>；</w:t>
      </w:r>
    </w:p>
    <w:p>
      <w:pPr>
        <w:ind w:firstLine="800" w:firstLineChars="250"/>
        <w:rPr>
          <w:rFonts w:eastAsia="仿宋_GB2312" w:cs="仿宋_GB2312"/>
          <w:sz w:val="32"/>
          <w:szCs w:val="32"/>
        </w:rPr>
      </w:pPr>
      <w:r>
        <w:rPr>
          <w:rFonts w:hint="eastAsia" w:eastAsia="仿宋_GB2312" w:cs="仿宋_GB2312"/>
          <w:sz w:val="32"/>
          <w:szCs w:val="32"/>
        </w:rPr>
        <w:t>（图3：支出决算结构图）</w:t>
      </w:r>
    </w:p>
    <w:p>
      <w:pPr>
        <w:ind w:firstLine="800" w:firstLineChars="250"/>
        <w:rPr>
          <w:rFonts w:eastAsia="仿宋_GB2312" w:cs="仿宋_GB2312"/>
          <w:sz w:val="32"/>
          <w:szCs w:val="32"/>
        </w:rPr>
      </w:pPr>
      <w:r>
        <w:rPr>
          <w:rFonts w:hint="eastAsia" w:eastAsia="仿宋_GB2312" w:cs="仿宋_GB2312"/>
          <w:sz w:val="32"/>
          <w:szCs w:val="32"/>
        </w:rPr>
        <w:drawing>
          <wp:inline distT="0" distB="0" distL="0" distR="0">
            <wp:extent cx="3467100" cy="1917700"/>
            <wp:effectExtent l="0" t="0" r="0" b="6350"/>
            <wp:docPr id="28" name="Objec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firstLineChars="200"/>
        <w:outlineLvl w:val="1"/>
        <w:rPr>
          <w:rStyle w:val="30"/>
          <w:rFonts w:ascii="Times New Roman" w:hAnsi="Times New Roman" w:eastAsia="黑体"/>
          <w:b w:val="0"/>
        </w:rPr>
      </w:pPr>
      <w:bookmarkStart w:id="32" w:name="_Toc15377208"/>
      <w:bookmarkStart w:id="33" w:name="_Toc15396606"/>
      <w:r>
        <w:rPr>
          <w:rFonts w:hint="eastAsia" w:eastAsia="黑体"/>
          <w:sz w:val="32"/>
          <w:szCs w:val="32"/>
        </w:rPr>
        <w:t>四、财</w:t>
      </w:r>
      <w:r>
        <w:rPr>
          <w:rStyle w:val="30"/>
          <w:rFonts w:hint="eastAsia" w:ascii="Times New Roman" w:hAnsi="Times New Roman" w:eastAsia="黑体"/>
          <w:b w:val="0"/>
        </w:rPr>
        <w:t>政拨款收入支出决算总体情况说明</w:t>
      </w:r>
      <w:bookmarkEnd w:id="32"/>
      <w:bookmarkEnd w:id="33"/>
    </w:p>
    <w:p>
      <w:pPr>
        <w:pStyle w:val="28"/>
        <w:spacing w:line="600" w:lineRule="exact"/>
        <w:ind w:firstLine="640"/>
        <w:outlineLvl w:val="1"/>
        <w:rPr>
          <w:rFonts w:eastAsia="仿宋_GB2312" w:cs="仿宋_GB2312"/>
          <w:sz w:val="32"/>
          <w:szCs w:val="32"/>
        </w:rPr>
      </w:pPr>
      <w:bookmarkStart w:id="34" w:name="OLE_LINK16"/>
      <w:r>
        <w:rPr>
          <w:rFonts w:eastAsia="仿宋_GB2312" w:cs="仿宋_GB2312"/>
          <w:sz w:val="32"/>
          <w:szCs w:val="32"/>
        </w:rPr>
        <w:t>2025</w:t>
      </w:r>
      <w:r>
        <w:rPr>
          <w:rFonts w:hint="eastAsia" w:eastAsia="仿宋_GB2312" w:cs="仿宋_GB2312"/>
          <w:sz w:val="32"/>
          <w:szCs w:val="32"/>
        </w:rPr>
        <w:t>年度财政拨款收入、支出总计均为</w:t>
      </w:r>
      <w:r>
        <w:rPr>
          <w:rFonts w:hint="eastAsia" w:ascii="仿宋_GB2312" w:hAnsi="仿宋_GB2312" w:eastAsia="仿宋_GB2312" w:cs="仿宋_GB2312"/>
          <w:sz w:val="32"/>
          <w:szCs w:val="32"/>
        </w:rPr>
        <w:t>270.62</w:t>
      </w:r>
      <w:r>
        <w:rPr>
          <w:rFonts w:hint="eastAsia" w:eastAsia="仿宋_GB2312" w:cs="仿宋_GB2312"/>
          <w:sz w:val="32"/>
          <w:szCs w:val="32"/>
        </w:rPr>
        <w:t>万元。与上年度相比，收入、支出总计各增加18.44万元，增长7.3</w:t>
      </w:r>
      <w:r>
        <w:rPr>
          <w:rFonts w:eastAsia="仿宋_GB2312" w:cs="仿宋_GB2312"/>
          <w:sz w:val="32"/>
          <w:szCs w:val="32"/>
        </w:rPr>
        <w:t>%</w:t>
      </w:r>
      <w:r>
        <w:rPr>
          <w:rFonts w:hint="eastAsia" w:eastAsia="仿宋_GB2312" w:cs="仿宋_GB2312"/>
          <w:sz w:val="32"/>
          <w:szCs w:val="32"/>
        </w:rPr>
        <w:t>。主要变动原因是：增加人员经费。</w:t>
      </w:r>
    </w:p>
    <w:bookmarkEnd w:id="34"/>
    <w:p>
      <w:pPr>
        <w:spacing w:line="600" w:lineRule="exact"/>
        <w:ind w:firstLine="640"/>
        <w:rPr>
          <w:rFonts w:eastAsia="仿宋_GB2312" w:cs="仿宋_GB2312"/>
          <w:sz w:val="32"/>
          <w:szCs w:val="32"/>
        </w:rPr>
      </w:pPr>
      <w:r>
        <w:rPr>
          <w:rFonts w:hint="eastAsia" w:eastAsia="仿宋_GB2312" w:cs="仿宋_GB2312"/>
          <w:sz w:val="32"/>
          <w:szCs w:val="32"/>
        </w:rPr>
        <w:t>（图4：财政拨款收、支决算总计变动情况）</w:t>
      </w:r>
    </w:p>
    <w:p>
      <w:pPr>
        <w:pStyle w:val="7"/>
        <w:ind w:left="420"/>
      </w:pPr>
      <w:r>
        <w:rPr>
          <w:rFonts w:hint="eastAsia"/>
        </w:rPr>
        <w:drawing>
          <wp:inline distT="0" distB="0" distL="0" distR="0">
            <wp:extent cx="4000500" cy="2876550"/>
            <wp:effectExtent l="19050" t="0" r="19050" b="0"/>
            <wp:docPr id="2" name="Objec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0" w:firstLineChars="200"/>
        <w:outlineLvl w:val="1"/>
        <w:rPr>
          <w:rStyle w:val="30"/>
          <w:rFonts w:ascii="Times New Roman" w:hAnsi="Times New Roman" w:eastAsia="黑体"/>
          <w:b w:val="0"/>
        </w:rPr>
      </w:pPr>
      <w:bookmarkStart w:id="35" w:name="_Toc15396607"/>
      <w:bookmarkStart w:id="36" w:name="_Toc15377209"/>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35"/>
      <w:bookmarkEnd w:id="36"/>
    </w:p>
    <w:p>
      <w:pPr>
        <w:spacing w:line="600" w:lineRule="exact"/>
        <w:ind w:firstLine="642" w:firstLineChars="200"/>
        <w:outlineLvl w:val="2"/>
        <w:rPr>
          <w:rFonts w:eastAsia="楷体_GB2312" w:cs="楷体_GB2312"/>
          <w:b/>
          <w:sz w:val="32"/>
          <w:szCs w:val="32"/>
        </w:rPr>
      </w:pPr>
      <w:bookmarkStart w:id="37" w:name="_Toc15377210"/>
      <w:r>
        <w:rPr>
          <w:rFonts w:hint="eastAsia" w:eastAsia="楷体_GB2312" w:cs="楷体_GB2312"/>
          <w:b/>
          <w:sz w:val="32"/>
          <w:szCs w:val="32"/>
        </w:rPr>
        <w:t>（一）一般公共预算财政拨款支出决算总体情况</w:t>
      </w:r>
      <w:bookmarkEnd w:id="37"/>
    </w:p>
    <w:p>
      <w:pPr>
        <w:pStyle w:val="28"/>
        <w:spacing w:line="600" w:lineRule="exact"/>
        <w:ind w:firstLine="640"/>
        <w:outlineLvl w:val="1"/>
        <w:rPr>
          <w:rFonts w:eastAsia="仿宋_GB2312" w:cs="仿宋_GB2312"/>
          <w:sz w:val="32"/>
          <w:szCs w:val="32"/>
        </w:rPr>
      </w:pPr>
      <w:bookmarkStart w:id="38" w:name="_Toc15377211"/>
      <w:r>
        <w:rPr>
          <w:rFonts w:eastAsia="仿宋_GB2312" w:cs="仿宋_GB2312"/>
          <w:sz w:val="32"/>
          <w:szCs w:val="32"/>
        </w:rPr>
        <w:t>2025</w:t>
      </w:r>
      <w:r>
        <w:rPr>
          <w:rFonts w:hint="eastAsia" w:eastAsia="仿宋_GB2312" w:cs="仿宋_GB2312"/>
          <w:sz w:val="32"/>
          <w:szCs w:val="32"/>
        </w:rPr>
        <w:t>年度</w:t>
      </w:r>
      <w:r>
        <w:rPr>
          <w:rFonts w:hint="eastAsia" w:ascii="仿宋_GB2312" w:hAnsi="仿宋_GB2312" w:eastAsia="仿宋_GB2312" w:cs="仿宋_GB2312"/>
          <w:sz w:val="32"/>
          <w:szCs w:val="32"/>
        </w:rPr>
        <w:t>一般公共预算财政拨款支出270.62</w:t>
      </w:r>
      <w:r>
        <w:rPr>
          <w:rFonts w:hint="eastAsia" w:eastAsia="仿宋_GB2312" w:cs="仿宋_GB2312"/>
          <w:sz w:val="32"/>
          <w:szCs w:val="32"/>
        </w:rPr>
        <w:t>万元，</w:t>
      </w:r>
      <w:r>
        <w:rPr>
          <w:rFonts w:hint="eastAsia" w:ascii="仿宋_GB2312" w:hAnsi="仿宋_GB2312" w:eastAsia="仿宋_GB2312" w:cs="仿宋_GB2312"/>
          <w:sz w:val="32"/>
          <w:szCs w:val="32"/>
        </w:rPr>
        <w:t>占本年支出合计的100%。</w:t>
      </w:r>
      <w:r>
        <w:rPr>
          <w:rFonts w:hint="eastAsia" w:eastAsia="仿宋_GB2312" w:cs="仿宋_GB2312"/>
          <w:sz w:val="32"/>
          <w:szCs w:val="32"/>
        </w:rPr>
        <w:t>与上年度相比，</w:t>
      </w:r>
      <w:r>
        <w:rPr>
          <w:rFonts w:hint="eastAsia" w:ascii="仿宋_GB2312" w:hAnsi="仿宋_GB2312" w:eastAsia="仿宋_GB2312" w:cs="仿宋_GB2312"/>
          <w:sz w:val="32"/>
          <w:szCs w:val="32"/>
        </w:rPr>
        <w:t>一般公共预算财政拨款支出</w:t>
      </w:r>
      <w:r>
        <w:rPr>
          <w:rFonts w:hint="eastAsia" w:eastAsia="仿宋_GB2312" w:cs="仿宋_GB2312"/>
          <w:sz w:val="32"/>
          <w:szCs w:val="32"/>
        </w:rPr>
        <w:t>增加18.44万元，增长7.3</w:t>
      </w:r>
      <w:r>
        <w:rPr>
          <w:rFonts w:eastAsia="仿宋_GB2312" w:cs="仿宋_GB2312"/>
          <w:sz w:val="32"/>
          <w:szCs w:val="32"/>
        </w:rPr>
        <w:t>%</w:t>
      </w:r>
      <w:r>
        <w:rPr>
          <w:rFonts w:hint="eastAsia" w:eastAsia="仿宋_GB2312" w:cs="仿宋_GB2312"/>
          <w:sz w:val="32"/>
          <w:szCs w:val="32"/>
        </w:rPr>
        <w:t>。主要变动原因是：增加人员经费。</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（图5：一般公共预算财政拨款支出决算变动情况）</w:t>
      </w:r>
    </w:p>
    <w:p>
      <w:pPr>
        <w:pStyle w:val="20"/>
        <w:jc w:val="center"/>
      </w:pPr>
      <w:r>
        <w:rPr>
          <w:rFonts w:ascii="仿宋_GB2312" w:eastAsia="仿宋_GB2312"/>
        </w:rPr>
        <w:drawing>
          <wp:inline distT="0" distB="0" distL="0" distR="0">
            <wp:extent cx="3536950" cy="2432050"/>
            <wp:effectExtent l="19050" t="0" r="25400" b="6350"/>
            <wp:docPr id="8" name="Objec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ind w:firstLine="640"/>
        <w:rPr>
          <w:rFonts w:eastAsia="楷体_GB2312" w:cs="楷体_GB2312"/>
          <w:b/>
          <w:sz w:val="32"/>
          <w:szCs w:val="32"/>
        </w:rPr>
      </w:pPr>
      <w:r>
        <w:rPr>
          <w:rFonts w:hint="eastAsia" w:eastAsia="楷体_GB2312" w:cs="楷体_GB2312"/>
          <w:b/>
          <w:sz w:val="32"/>
          <w:szCs w:val="32"/>
        </w:rPr>
        <w:t>（二）一般公共预算财政拨款支出决算结构情况</w:t>
      </w:r>
      <w:bookmarkEnd w:id="38"/>
    </w:p>
    <w:p>
      <w:pPr>
        <w:spacing w:line="600" w:lineRule="exact"/>
        <w:ind w:firstLine="640"/>
        <w:rPr>
          <w:rFonts w:eastAsia="仿宋_GB2312" w:cs="仿宋_GB2312"/>
          <w:sz w:val="32"/>
          <w:szCs w:val="32"/>
        </w:rPr>
      </w:pPr>
      <w:r>
        <w:rPr>
          <w:rFonts w:eastAsia="仿宋_GB2312" w:cs="仿宋_GB2312"/>
          <w:sz w:val="32"/>
          <w:szCs w:val="32"/>
        </w:rPr>
        <w:t>2025</w:t>
      </w:r>
      <w:r>
        <w:rPr>
          <w:rFonts w:hint="eastAsia" w:eastAsia="仿宋_GB2312" w:cs="仿宋_GB2312"/>
          <w:sz w:val="32"/>
          <w:szCs w:val="32"/>
        </w:rPr>
        <w:t>年度一般公共预算财政拨款支出270.62万元，主要用于以下方面：社会保障和就业支出</w:t>
      </w:r>
      <w:r>
        <w:rPr>
          <w:rFonts w:eastAsia="仿宋_GB2312" w:cs="仿宋_GB2312"/>
          <w:sz w:val="32"/>
          <w:szCs w:val="32"/>
        </w:rPr>
        <w:t>42.43</w:t>
      </w:r>
      <w:r>
        <w:rPr>
          <w:rFonts w:hint="eastAsia" w:eastAsia="仿宋_GB2312" w:cs="仿宋_GB2312"/>
          <w:sz w:val="32"/>
          <w:szCs w:val="32"/>
        </w:rPr>
        <w:t>万元，占15.7</w:t>
      </w:r>
      <w:r>
        <w:rPr>
          <w:rFonts w:eastAsia="仿宋_GB2312" w:cs="仿宋_GB2312"/>
          <w:sz w:val="32"/>
          <w:szCs w:val="32"/>
        </w:rPr>
        <w:t>%</w:t>
      </w:r>
      <w:r>
        <w:rPr>
          <w:rFonts w:hint="eastAsia" w:eastAsia="仿宋_GB2312" w:cs="仿宋_GB2312"/>
          <w:sz w:val="32"/>
          <w:szCs w:val="32"/>
        </w:rPr>
        <w:t>；卫生健康支出</w:t>
      </w:r>
      <w:r>
        <w:rPr>
          <w:rFonts w:eastAsia="仿宋_GB2312" w:cs="仿宋_GB2312"/>
          <w:sz w:val="32"/>
          <w:szCs w:val="32"/>
        </w:rPr>
        <w:t>14.05</w:t>
      </w:r>
      <w:r>
        <w:rPr>
          <w:rFonts w:hint="eastAsia" w:eastAsia="仿宋_GB2312" w:cs="仿宋_GB2312"/>
          <w:sz w:val="32"/>
          <w:szCs w:val="32"/>
        </w:rPr>
        <w:t>万元，占5.2</w:t>
      </w:r>
      <w:r>
        <w:rPr>
          <w:rFonts w:eastAsia="仿宋_GB2312" w:cs="仿宋_GB2312"/>
          <w:sz w:val="32"/>
          <w:szCs w:val="32"/>
        </w:rPr>
        <w:t>%</w:t>
      </w:r>
      <w:r>
        <w:rPr>
          <w:rFonts w:hint="eastAsia" w:eastAsia="仿宋_GB2312" w:cs="仿宋_GB2312"/>
          <w:sz w:val="32"/>
          <w:szCs w:val="32"/>
        </w:rPr>
        <w:t>；住房保障支出</w:t>
      </w:r>
      <w:r>
        <w:rPr>
          <w:rFonts w:eastAsia="仿宋_GB2312" w:cs="仿宋_GB2312"/>
          <w:sz w:val="32"/>
          <w:szCs w:val="32"/>
        </w:rPr>
        <w:t>17.26</w:t>
      </w:r>
      <w:r>
        <w:rPr>
          <w:rFonts w:hint="eastAsia" w:eastAsia="仿宋_GB2312" w:cs="仿宋_GB2312"/>
          <w:sz w:val="32"/>
          <w:szCs w:val="32"/>
        </w:rPr>
        <w:t>万元，占6.4</w:t>
      </w:r>
      <w:r>
        <w:rPr>
          <w:rFonts w:eastAsia="仿宋_GB2312" w:cs="仿宋_GB2312"/>
          <w:sz w:val="32"/>
          <w:szCs w:val="32"/>
        </w:rPr>
        <w:t>%</w:t>
      </w:r>
      <w:r>
        <w:rPr>
          <w:rFonts w:hint="eastAsia" w:eastAsia="仿宋_GB2312" w:cs="仿宋_GB2312"/>
          <w:sz w:val="32"/>
          <w:szCs w:val="32"/>
        </w:rPr>
        <w:t>；交通运输支出196.88万元，占72.7%。</w:t>
      </w:r>
    </w:p>
    <w:p>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w:t>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pStyle w:val="20"/>
      </w:pPr>
      <w:r>
        <w:rPr>
          <w:rFonts w:ascii="仿宋_GB2312" w:hAnsi="仿宋_GB2312" w:eastAsia="仿宋_GB2312" w:cs="仿宋_GB2312"/>
        </w:rPr>
        <w:drawing>
          <wp:anchor distT="0" distB="0" distL="114300" distR="114300" simplePos="0" relativeHeight="251658240" behindDoc="0" locked="0" layoutInCell="1" allowOverlap="1">
            <wp:simplePos x="0" y="0"/>
            <wp:positionH relativeFrom="column">
              <wp:posOffset>635000</wp:posOffset>
            </wp:positionH>
            <wp:positionV relativeFrom="paragraph">
              <wp:posOffset>114300</wp:posOffset>
            </wp:positionV>
            <wp:extent cx="4025900" cy="2876550"/>
            <wp:effectExtent l="0" t="0" r="0" b="0"/>
            <wp:wrapSquare wrapText="bothSides"/>
            <wp:docPr id="11" name="Objec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br w:type="textWrapping" w:clear="all"/>
      </w:r>
    </w:p>
    <w:p>
      <w:pPr>
        <w:spacing w:line="600" w:lineRule="exact"/>
        <w:ind w:firstLine="642" w:firstLineChars="200"/>
        <w:outlineLvl w:val="2"/>
        <w:rPr>
          <w:rFonts w:eastAsia="楷体_GB2312" w:cs="楷体_GB2312"/>
          <w:b/>
          <w:color w:val="000000" w:themeColor="text1"/>
          <w:sz w:val="32"/>
          <w:szCs w:val="32"/>
          <w14:textFill>
            <w14:solidFill>
              <w14:schemeClr w14:val="tx1"/>
            </w14:solidFill>
          </w14:textFill>
        </w:rPr>
      </w:pPr>
      <w:bookmarkStart w:id="39" w:name="_Toc15377212"/>
      <w:r>
        <w:rPr>
          <w:rFonts w:hint="eastAsia" w:eastAsia="楷体_GB2312" w:cs="楷体_GB2312"/>
          <w:b/>
          <w:color w:val="000000" w:themeColor="text1"/>
          <w:sz w:val="32"/>
          <w:szCs w:val="32"/>
          <w14:textFill>
            <w14:solidFill>
              <w14:schemeClr w14:val="tx1"/>
            </w14:solidFill>
          </w14:textFill>
        </w:rPr>
        <w:t>（三）一般公共预算财政拨款支出决算具体情况</w:t>
      </w:r>
      <w:bookmarkEnd w:id="39"/>
    </w:p>
    <w:p>
      <w:pPr>
        <w:spacing w:line="600" w:lineRule="exact"/>
        <w:ind w:firstLine="640"/>
        <w:rPr>
          <w:rFonts w:eastAsia="仿宋_GB2312" w:cs="仿宋_GB2312"/>
          <w:sz w:val="32"/>
          <w:szCs w:val="32"/>
        </w:rPr>
      </w:pPr>
      <w:bookmarkStart w:id="40" w:name="_Toc15378460"/>
      <w:bookmarkStart w:id="41" w:name="_Toc15377213"/>
      <w:bookmarkStart w:id="42" w:name="_Toc15377444"/>
      <w:r>
        <w:rPr>
          <w:rFonts w:hint="eastAsia" w:eastAsia="仿宋_GB2312" w:cs="仿宋_GB2312"/>
          <w:sz w:val="32"/>
          <w:szCs w:val="32"/>
        </w:rPr>
        <w:t>2025年度一般公共预算财政拨款支出决算数为</w:t>
      </w:r>
      <w:r>
        <w:rPr>
          <w:rFonts w:hint="eastAsia" w:ascii="仿宋_GB2312" w:hAnsi="仿宋_GB2312" w:eastAsia="仿宋_GB2312" w:cs="仿宋_GB2312"/>
          <w:sz w:val="32"/>
          <w:szCs w:val="32"/>
        </w:rPr>
        <w:t>270.62，</w:t>
      </w:r>
      <w:r>
        <w:rPr>
          <w:rFonts w:hint="eastAsia" w:eastAsia="仿宋_GB2312" w:cs="仿宋_GB2312"/>
          <w:sz w:val="32"/>
          <w:szCs w:val="32"/>
        </w:rPr>
        <w:t>完成预算100%。其中：</w:t>
      </w:r>
      <w:bookmarkEnd w:id="40"/>
      <w:bookmarkEnd w:id="41"/>
      <w:bookmarkEnd w:id="42"/>
    </w:p>
    <w:p>
      <w:pPr>
        <w:spacing w:line="600" w:lineRule="exact"/>
        <w:ind w:firstLine="642" w:firstLineChars="200"/>
        <w:rPr>
          <w:rFonts w:ascii="仿宋" w:hAnsi="仿宋" w:eastAsia="仿宋"/>
          <w:b/>
          <w:bCs/>
          <w:sz w:val="32"/>
          <w:szCs w:val="32"/>
        </w:rPr>
      </w:pPr>
      <w:r>
        <w:rPr>
          <w:rStyle w:val="18"/>
          <w:rFonts w:ascii="仿宋" w:hAnsi="仿宋" w:eastAsia="仿宋"/>
          <w:bCs/>
          <w:sz w:val="32"/>
          <w:szCs w:val="32"/>
        </w:rPr>
        <w:t>1.</w:t>
      </w:r>
      <w:r>
        <w:rPr>
          <w:rStyle w:val="18"/>
          <w:rFonts w:hint="eastAsia" w:ascii="仿宋" w:hAnsi="仿宋" w:eastAsia="仿宋"/>
          <w:bCs/>
          <w:sz w:val="32"/>
          <w:szCs w:val="32"/>
        </w:rPr>
        <w:t xml:space="preserve"> </w:t>
      </w:r>
      <w:r>
        <w:rPr>
          <w:rFonts w:hint="eastAsia" w:ascii="仿宋" w:hAnsi="仿宋" w:eastAsia="仿宋"/>
          <w:b/>
          <w:bCs/>
          <w:sz w:val="32"/>
          <w:szCs w:val="32"/>
        </w:rPr>
        <w:t>1.社会保障和就业支出（类）行政事业单位养老支出（款）行政单位离退休（项）:</w:t>
      </w:r>
      <w:r>
        <w:rPr>
          <w:rFonts w:hint="eastAsia" w:ascii="仿宋" w:hAnsi="仿宋" w:eastAsia="仿宋"/>
          <w:bCs/>
          <w:sz w:val="32"/>
          <w:szCs w:val="32"/>
        </w:rPr>
        <w:t>支出决算21.22万元，完成预算100%。</w:t>
      </w:r>
      <w:r>
        <w:rPr>
          <w:rFonts w:hint="eastAsia" w:ascii="仿宋" w:hAnsi="仿宋" w:eastAsia="仿宋"/>
          <w:b/>
          <w:bCs/>
          <w:sz w:val="32"/>
          <w:szCs w:val="32"/>
        </w:rPr>
        <w:t>决算数与预算数相等。</w:t>
      </w:r>
    </w:p>
    <w:p>
      <w:pPr>
        <w:spacing w:line="600" w:lineRule="exact"/>
        <w:ind w:firstLine="642" w:firstLineChars="200"/>
        <w:rPr>
          <w:rFonts w:ascii="仿宋" w:hAnsi="仿宋" w:eastAsia="仿宋"/>
          <w:b/>
          <w:bCs/>
          <w:sz w:val="32"/>
          <w:szCs w:val="32"/>
        </w:rPr>
      </w:pPr>
      <w:r>
        <w:rPr>
          <w:rFonts w:hint="eastAsia" w:ascii="仿宋" w:hAnsi="仿宋" w:eastAsia="仿宋"/>
          <w:b/>
          <w:bCs/>
          <w:sz w:val="32"/>
          <w:szCs w:val="32"/>
        </w:rPr>
        <w:t>2. 社会保障和就业支出（类）行政事业单位养老支出（款）机关事业单位基本养老保险缴费支出（项）:</w:t>
      </w:r>
      <w:r>
        <w:rPr>
          <w:rFonts w:hint="eastAsia" w:ascii="仿宋" w:hAnsi="仿宋" w:eastAsia="仿宋"/>
          <w:bCs/>
          <w:sz w:val="32"/>
          <w:szCs w:val="32"/>
        </w:rPr>
        <w:t>支出决算为21.21万元，完成预算100%。</w:t>
      </w:r>
      <w:r>
        <w:rPr>
          <w:rFonts w:hint="eastAsia" w:ascii="仿宋" w:hAnsi="仿宋" w:eastAsia="仿宋"/>
          <w:b/>
          <w:bCs/>
          <w:sz w:val="32"/>
          <w:szCs w:val="32"/>
        </w:rPr>
        <w:t>决算数与预算数相等。</w:t>
      </w:r>
    </w:p>
    <w:p>
      <w:pPr>
        <w:spacing w:line="600" w:lineRule="exact"/>
        <w:ind w:firstLine="642" w:firstLineChars="200"/>
        <w:rPr>
          <w:rFonts w:ascii="仿宋" w:hAnsi="仿宋" w:eastAsia="仿宋"/>
          <w:b/>
          <w:bCs/>
          <w:sz w:val="32"/>
          <w:szCs w:val="32"/>
        </w:rPr>
      </w:pPr>
      <w:r>
        <w:rPr>
          <w:rStyle w:val="18"/>
          <w:rFonts w:ascii="仿宋" w:hAnsi="仿宋" w:eastAsia="仿宋"/>
          <w:bCs/>
          <w:sz w:val="32"/>
          <w:szCs w:val="32"/>
        </w:rPr>
        <w:t>3.</w:t>
      </w:r>
      <w:r>
        <w:rPr>
          <w:rFonts w:hint="eastAsia" w:ascii="仿宋" w:hAnsi="仿宋" w:eastAsia="仿宋"/>
          <w:b/>
          <w:bCs/>
          <w:sz w:val="32"/>
          <w:szCs w:val="32"/>
        </w:rPr>
        <w:t xml:space="preserve"> 卫生健康</w:t>
      </w:r>
      <w:r>
        <w:rPr>
          <w:rStyle w:val="18"/>
          <w:rFonts w:hint="eastAsia" w:ascii="仿宋" w:hAnsi="仿宋" w:eastAsia="仿宋"/>
          <w:bCs/>
          <w:sz w:val="32"/>
          <w:szCs w:val="32"/>
        </w:rPr>
        <w:t>（类）行政事业单位医疗（款）行政单位医疗（项）</w:t>
      </w:r>
      <w:r>
        <w:rPr>
          <w:rStyle w:val="18"/>
          <w:rFonts w:ascii="仿宋" w:hAnsi="仿宋" w:eastAsia="仿宋"/>
          <w:bCs/>
          <w:sz w:val="32"/>
          <w:szCs w:val="32"/>
        </w:rPr>
        <w:t>:</w:t>
      </w:r>
      <w:r>
        <w:rPr>
          <w:rStyle w:val="18"/>
          <w:rFonts w:hint="eastAsia" w:ascii="仿宋" w:hAnsi="仿宋" w:eastAsia="仿宋"/>
          <w:b w:val="0"/>
          <w:bCs/>
          <w:sz w:val="32"/>
          <w:szCs w:val="32"/>
        </w:rPr>
        <w:t>支出决算为11.14万元，完成预算100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 w:hAnsi="仿宋" w:eastAsia="仿宋"/>
          <w:b/>
          <w:bCs/>
          <w:sz w:val="32"/>
          <w:szCs w:val="32"/>
        </w:rPr>
        <w:t>决算数与预算数相等。</w:t>
      </w:r>
    </w:p>
    <w:p>
      <w:pPr>
        <w:spacing w:line="600" w:lineRule="exact"/>
        <w:ind w:firstLine="642" w:firstLineChars="200"/>
        <w:rPr>
          <w:rFonts w:ascii="仿宋" w:hAnsi="仿宋" w:eastAsia="仿宋"/>
          <w:b/>
          <w:bCs/>
          <w:sz w:val="32"/>
          <w:szCs w:val="32"/>
        </w:rPr>
      </w:pPr>
      <w:r>
        <w:rPr>
          <w:rFonts w:hint="eastAsia" w:ascii="仿宋" w:hAnsi="仿宋" w:eastAsia="仿宋"/>
          <w:b/>
          <w:bCs/>
          <w:sz w:val="32"/>
          <w:szCs w:val="32"/>
        </w:rPr>
        <w:t>4.</w:t>
      </w:r>
      <w:r>
        <w:rPr>
          <w:rFonts w:ascii="仿宋" w:hAnsi="仿宋" w:eastAsia="仿宋"/>
          <w:b/>
          <w:bCs/>
          <w:sz w:val="32"/>
          <w:szCs w:val="32"/>
        </w:rPr>
        <w:t xml:space="preserve"> </w:t>
      </w:r>
      <w:r>
        <w:rPr>
          <w:rFonts w:hint="eastAsia" w:ascii="仿宋" w:hAnsi="仿宋" w:eastAsia="仿宋"/>
          <w:b/>
          <w:bCs/>
          <w:sz w:val="32"/>
          <w:szCs w:val="32"/>
        </w:rPr>
        <w:t>卫生健康</w:t>
      </w:r>
      <w:r>
        <w:rPr>
          <w:rStyle w:val="18"/>
          <w:rFonts w:hint="eastAsia" w:ascii="仿宋" w:hAnsi="仿宋" w:eastAsia="仿宋"/>
          <w:bCs/>
          <w:sz w:val="32"/>
          <w:szCs w:val="32"/>
        </w:rPr>
        <w:t>（类）行政事业单位医疗（款）公务员医疗补助（项）</w:t>
      </w:r>
      <w:r>
        <w:rPr>
          <w:rStyle w:val="18"/>
          <w:rFonts w:ascii="仿宋" w:hAnsi="仿宋" w:eastAsia="仿宋"/>
          <w:bCs/>
          <w:sz w:val="32"/>
          <w:szCs w:val="32"/>
        </w:rPr>
        <w:t>:</w:t>
      </w:r>
      <w:r>
        <w:rPr>
          <w:rStyle w:val="18"/>
          <w:rFonts w:hint="eastAsia" w:ascii="仿宋" w:hAnsi="仿宋" w:eastAsia="仿宋"/>
          <w:b w:val="0"/>
          <w:bCs/>
          <w:sz w:val="32"/>
          <w:szCs w:val="32"/>
        </w:rPr>
        <w:t>支出决算为1.39万元，完成预算100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 w:hAnsi="仿宋" w:eastAsia="仿宋"/>
          <w:b/>
          <w:bCs/>
          <w:sz w:val="32"/>
          <w:szCs w:val="32"/>
        </w:rPr>
        <w:t>决算数与预算数相等。</w:t>
      </w:r>
    </w:p>
    <w:p>
      <w:pPr>
        <w:spacing w:line="600" w:lineRule="exact"/>
        <w:ind w:firstLine="642" w:firstLineChars="200"/>
        <w:rPr>
          <w:rFonts w:ascii="仿宋" w:hAnsi="仿宋" w:eastAsia="仿宋"/>
          <w:b/>
          <w:bCs/>
          <w:sz w:val="32"/>
          <w:szCs w:val="32"/>
        </w:rPr>
      </w:pPr>
      <w:r>
        <w:rPr>
          <w:rStyle w:val="18"/>
          <w:rFonts w:hint="eastAsia" w:ascii="仿宋" w:hAnsi="仿宋" w:eastAsia="仿宋"/>
          <w:bCs/>
          <w:sz w:val="32"/>
          <w:szCs w:val="32"/>
        </w:rPr>
        <w:t>5</w:t>
      </w:r>
      <w:r>
        <w:rPr>
          <w:rStyle w:val="18"/>
          <w:rFonts w:ascii="仿宋" w:hAnsi="仿宋" w:eastAsia="仿宋"/>
          <w:bCs/>
          <w:sz w:val="32"/>
          <w:szCs w:val="32"/>
        </w:rPr>
        <w:t>.</w:t>
      </w:r>
      <w:r>
        <w:rPr>
          <w:rFonts w:hint="eastAsia" w:ascii="仿宋_GB2312" w:hAnsi="仿宋_GB2312" w:eastAsia="仿宋_GB2312" w:cs="仿宋_GB2312"/>
          <w:b/>
          <w:bCs/>
          <w:sz w:val="32"/>
          <w:szCs w:val="32"/>
        </w:rPr>
        <w:t xml:space="preserve"> </w:t>
      </w:r>
      <w:r>
        <w:rPr>
          <w:rFonts w:hint="eastAsia" w:ascii="仿宋" w:hAnsi="仿宋" w:eastAsia="仿宋"/>
          <w:b/>
          <w:bCs/>
          <w:sz w:val="32"/>
          <w:szCs w:val="32"/>
        </w:rPr>
        <w:t>卫生健康</w:t>
      </w:r>
      <w:r>
        <w:rPr>
          <w:rStyle w:val="18"/>
          <w:rFonts w:hint="eastAsia" w:ascii="仿宋" w:hAnsi="仿宋" w:eastAsia="仿宋"/>
          <w:bCs/>
          <w:sz w:val="32"/>
          <w:szCs w:val="32"/>
        </w:rPr>
        <w:t>（类）行政事业单位医疗（款）其他行政事业单位医疗支出（项）</w:t>
      </w:r>
      <w:r>
        <w:rPr>
          <w:rStyle w:val="18"/>
          <w:rFonts w:ascii="仿宋" w:hAnsi="仿宋" w:eastAsia="仿宋"/>
          <w:bCs/>
          <w:sz w:val="32"/>
          <w:szCs w:val="32"/>
        </w:rPr>
        <w:t>:</w:t>
      </w:r>
      <w:r>
        <w:rPr>
          <w:rStyle w:val="18"/>
          <w:rFonts w:hint="eastAsia" w:ascii="仿宋" w:hAnsi="仿宋" w:eastAsia="仿宋"/>
          <w:b w:val="0"/>
          <w:bCs/>
          <w:sz w:val="32"/>
          <w:szCs w:val="32"/>
        </w:rPr>
        <w:t>支出决算为1.53万元，完成预算100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 w:hAnsi="仿宋" w:eastAsia="仿宋"/>
          <w:b/>
          <w:bCs/>
          <w:sz w:val="32"/>
          <w:szCs w:val="32"/>
        </w:rPr>
        <w:t>决算数与预算数相等。</w:t>
      </w:r>
    </w:p>
    <w:p>
      <w:pPr>
        <w:spacing w:line="600" w:lineRule="exact"/>
        <w:ind w:firstLine="642" w:firstLineChars="200"/>
        <w:rPr>
          <w:rFonts w:ascii="仿宋" w:hAnsi="仿宋" w:eastAsia="仿宋"/>
          <w:b/>
          <w:bCs/>
          <w:sz w:val="32"/>
          <w:szCs w:val="32"/>
        </w:rPr>
      </w:pPr>
      <w:r>
        <w:rPr>
          <w:rStyle w:val="18"/>
          <w:rFonts w:hint="eastAsia" w:ascii="仿宋" w:hAnsi="仿宋" w:eastAsia="仿宋"/>
          <w:bCs/>
          <w:sz w:val="32"/>
          <w:szCs w:val="32"/>
        </w:rPr>
        <w:t>6</w:t>
      </w:r>
      <w:r>
        <w:rPr>
          <w:rStyle w:val="18"/>
          <w:rFonts w:ascii="仿宋" w:hAnsi="仿宋" w:eastAsia="仿宋"/>
          <w:bCs/>
          <w:sz w:val="32"/>
          <w:szCs w:val="32"/>
        </w:rPr>
        <w:t>.</w:t>
      </w:r>
      <w:r>
        <w:rPr>
          <w:rFonts w:ascii="仿宋" w:hAnsi="仿宋" w:eastAsia="仿宋"/>
          <w:b/>
          <w:bCs/>
          <w:sz w:val="32"/>
          <w:szCs w:val="32"/>
        </w:rPr>
        <w:t xml:space="preserve"> </w:t>
      </w:r>
      <w:r>
        <w:rPr>
          <w:rFonts w:hint="eastAsia" w:ascii="仿宋" w:hAnsi="仿宋" w:eastAsia="仿宋"/>
          <w:b/>
          <w:bCs/>
          <w:sz w:val="32"/>
          <w:szCs w:val="32"/>
        </w:rPr>
        <w:t>交通运输支出（类）公路水路运输（款）行政运行（项）:</w:t>
      </w:r>
      <w:r>
        <w:rPr>
          <w:rFonts w:hint="eastAsia" w:ascii="仿宋" w:hAnsi="仿宋" w:eastAsia="仿宋"/>
          <w:bCs/>
          <w:sz w:val="32"/>
          <w:szCs w:val="32"/>
        </w:rPr>
        <w:t>支出决算为194.88万元，完成预算100%。</w:t>
      </w:r>
      <w:r>
        <w:rPr>
          <w:rFonts w:hint="eastAsia" w:ascii="仿宋" w:hAnsi="仿宋" w:eastAsia="仿宋"/>
          <w:b/>
          <w:bCs/>
          <w:sz w:val="32"/>
          <w:szCs w:val="32"/>
        </w:rPr>
        <w:t>决算数与预算数相等。</w:t>
      </w:r>
    </w:p>
    <w:p>
      <w:pPr>
        <w:spacing w:line="600" w:lineRule="exact"/>
        <w:ind w:firstLine="642" w:firstLineChars="200"/>
        <w:rPr>
          <w:rFonts w:ascii="仿宋" w:hAnsi="仿宋" w:eastAsia="仿宋"/>
          <w:b/>
          <w:bCs/>
          <w:sz w:val="32"/>
          <w:szCs w:val="32"/>
        </w:rPr>
      </w:pPr>
      <w:r>
        <w:rPr>
          <w:rStyle w:val="18"/>
          <w:rFonts w:hint="eastAsia" w:ascii="仿宋" w:hAnsi="仿宋" w:eastAsia="仿宋"/>
          <w:bCs/>
          <w:sz w:val="32"/>
          <w:szCs w:val="32"/>
        </w:rPr>
        <w:t>7</w:t>
      </w:r>
      <w:r>
        <w:rPr>
          <w:rStyle w:val="18"/>
          <w:rFonts w:ascii="仿宋" w:hAnsi="仿宋" w:eastAsia="仿宋"/>
          <w:bCs/>
          <w:sz w:val="32"/>
          <w:szCs w:val="32"/>
        </w:rPr>
        <w:t>.</w:t>
      </w:r>
      <w:r>
        <w:rPr>
          <w:rFonts w:ascii="仿宋" w:hAnsi="仿宋" w:eastAsia="仿宋"/>
          <w:b/>
          <w:sz w:val="32"/>
          <w:szCs w:val="32"/>
        </w:rPr>
        <w:t xml:space="preserve"> </w:t>
      </w:r>
      <w:r>
        <w:rPr>
          <w:rFonts w:hint="eastAsia" w:ascii="仿宋" w:hAnsi="仿宋" w:eastAsia="仿宋"/>
          <w:b/>
          <w:bCs/>
          <w:sz w:val="32"/>
          <w:szCs w:val="32"/>
        </w:rPr>
        <w:t>交通运输支出（类）公路水路运输（款）海事管理（项）:</w:t>
      </w:r>
      <w:r>
        <w:rPr>
          <w:rFonts w:hint="eastAsia" w:ascii="仿宋" w:hAnsi="仿宋" w:eastAsia="仿宋"/>
          <w:bCs/>
          <w:sz w:val="32"/>
          <w:szCs w:val="32"/>
        </w:rPr>
        <w:t>支出决算为2万元，完成预算100%。</w:t>
      </w:r>
      <w:r>
        <w:rPr>
          <w:rFonts w:hint="eastAsia" w:ascii="仿宋" w:hAnsi="仿宋" w:eastAsia="仿宋"/>
          <w:b/>
          <w:bCs/>
          <w:sz w:val="32"/>
          <w:szCs w:val="32"/>
        </w:rPr>
        <w:t>决算数与预算数相等。</w:t>
      </w:r>
    </w:p>
    <w:p>
      <w:pPr>
        <w:spacing w:line="600" w:lineRule="exact"/>
        <w:ind w:firstLine="640" w:firstLineChars="200"/>
        <w:rPr>
          <w:rFonts w:ascii="仿宋" w:hAnsi="仿宋" w:eastAsia="仿宋"/>
          <w:b/>
          <w:bCs/>
          <w:sz w:val="32"/>
          <w:szCs w:val="32"/>
        </w:rPr>
      </w:pPr>
      <w:r>
        <w:rPr>
          <w:rFonts w:hint="eastAsia" w:ascii="仿宋" w:hAnsi="仿宋" w:eastAsia="仿宋"/>
          <w:bCs/>
          <w:sz w:val="32"/>
          <w:szCs w:val="32"/>
        </w:rPr>
        <w:t>8.</w:t>
      </w:r>
      <w:r>
        <w:rPr>
          <w:rFonts w:ascii="仿宋" w:hAnsi="仿宋" w:eastAsia="仿宋"/>
          <w:bCs/>
          <w:sz w:val="32"/>
          <w:szCs w:val="32"/>
        </w:rPr>
        <w:t xml:space="preserve"> </w:t>
      </w:r>
      <w:r>
        <w:rPr>
          <w:rFonts w:hint="eastAsia" w:ascii="仿宋_GB2312" w:hAnsi="仿宋_GB2312" w:eastAsia="仿宋_GB2312" w:cs="仿宋_GB2312"/>
          <w:bCs/>
          <w:sz w:val="32"/>
          <w:szCs w:val="32"/>
        </w:rPr>
        <w:t>住房保障支出（类）住房改革支出（款）住房公积金（项）</w:t>
      </w:r>
      <w:r>
        <w:rPr>
          <w:rFonts w:hint="eastAsia" w:ascii="仿宋_GB2312" w:hAnsi="仿宋_GB2312" w:eastAsia="仿宋_GB2312" w:cs="仿宋_GB2312"/>
          <w:sz w:val="32"/>
          <w:szCs w:val="32"/>
        </w:rPr>
        <w:t>:支出决算为17.26万元，完成预算100%。</w:t>
      </w:r>
      <w:r>
        <w:rPr>
          <w:rFonts w:hint="eastAsia" w:ascii="仿宋" w:hAnsi="仿宋" w:eastAsia="仿宋"/>
          <w:b/>
          <w:bCs/>
          <w:sz w:val="32"/>
          <w:szCs w:val="32"/>
        </w:rPr>
        <w:t>决算数与预算数相等。</w:t>
      </w:r>
    </w:p>
    <w:p>
      <w:pPr>
        <w:tabs>
          <w:tab w:val="right" w:pos="8306"/>
        </w:tabs>
        <w:spacing w:line="600" w:lineRule="exact"/>
        <w:ind w:firstLine="640"/>
        <w:outlineLvl w:val="1"/>
        <w:rPr>
          <w:rStyle w:val="30"/>
          <w:rFonts w:ascii="Times New Roman" w:hAnsi="Times New Roman"/>
        </w:rPr>
      </w:pPr>
      <w:bookmarkStart w:id="43" w:name="_Toc15396608"/>
      <w:bookmarkStart w:id="44" w:name="_Toc15377214"/>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43"/>
      <w:bookmarkEnd w:id="44"/>
      <w:r>
        <w:rPr>
          <w:rStyle w:val="30"/>
          <w:rFonts w:ascii="Times New Roman" w:hAnsi="Times New Roman" w:eastAsia="黑体"/>
          <w:b w:val="0"/>
        </w:rPr>
        <w:tab/>
      </w:r>
    </w:p>
    <w:p>
      <w:pPr>
        <w:spacing w:line="600" w:lineRule="exact"/>
        <w:ind w:firstLine="640"/>
        <w:rPr>
          <w:rFonts w:eastAsia="仿宋_GB2312" w:cs="仿宋_GB2312"/>
          <w:sz w:val="32"/>
          <w:szCs w:val="32"/>
        </w:rPr>
      </w:pPr>
      <w:bookmarkStart w:id="45" w:name="_Toc15377215"/>
      <w:bookmarkStart w:id="46" w:name="_Toc15396609"/>
      <w:r>
        <w:rPr>
          <w:rFonts w:eastAsia="仿宋_GB2312" w:cs="仿宋_GB2312"/>
          <w:sz w:val="32"/>
          <w:szCs w:val="32"/>
        </w:rPr>
        <w:t>2025</w:t>
      </w:r>
      <w:r>
        <w:rPr>
          <w:rFonts w:hint="eastAsia" w:eastAsia="仿宋_GB2312" w:cs="仿宋_GB2312"/>
          <w:sz w:val="32"/>
          <w:szCs w:val="32"/>
        </w:rPr>
        <w:t>年度一般公共预算财政拨款基本支出</w:t>
      </w:r>
      <w:r>
        <w:rPr>
          <w:rFonts w:hint="eastAsia" w:ascii="仿宋_GB2312" w:hAnsi="仿宋_GB2312" w:eastAsia="仿宋_GB2312" w:cs="仿宋_GB2312"/>
          <w:sz w:val="32"/>
          <w:szCs w:val="32"/>
        </w:rPr>
        <w:t>268.62</w:t>
      </w:r>
      <w:r>
        <w:rPr>
          <w:rFonts w:hint="eastAsia" w:eastAsia="仿宋_GB2312" w:cs="仿宋_GB2312"/>
          <w:sz w:val="32"/>
          <w:szCs w:val="32"/>
        </w:rPr>
        <w:t>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238.53</w:t>
      </w:r>
      <w:r>
        <w:rPr>
          <w:rFonts w:hint="eastAsia" w:eastAsia="仿宋_GB2312" w:cs="仿宋_GB2312"/>
          <w:sz w:val="32"/>
          <w:szCs w:val="32"/>
        </w:rPr>
        <w:t>万元，主要包括：基本工资、津贴补贴、奖金、机关事业单位基本养老保险缴费、其他社会保障缴费、其他工资福利支出、生活补助、医疗费补助、奖励金、住房公积金、其他对个人和家庭的补助支出等。</w:t>
      </w:r>
      <w:r>
        <w:rPr>
          <w:rFonts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30.09</w:t>
      </w:r>
      <w:r>
        <w:rPr>
          <w:rFonts w:hint="eastAsia" w:eastAsia="仿宋_GB2312" w:cs="仿宋_GB2312"/>
          <w:sz w:val="32"/>
          <w:szCs w:val="32"/>
        </w:rPr>
        <w:t>万元，主要包括：办公费、水费、电费、邮电费、物业管理费、差旅费、公务接待费、委托业务费、工会经费、福利费、公务用车运行维护费、其他交通费其他商品和服务支出等。</w:t>
      </w:r>
    </w:p>
    <w:p>
      <w:pPr>
        <w:spacing w:line="600" w:lineRule="exact"/>
        <w:ind w:firstLine="640"/>
        <w:outlineLvl w:val="1"/>
        <w:rPr>
          <w:rStyle w:val="30"/>
          <w:rFonts w:ascii="Times New Roman" w:hAnsi="Times New Roman" w:eastAsia="黑体"/>
          <w:b w:val="0"/>
        </w:rPr>
      </w:pPr>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45"/>
      <w:bookmarkEnd w:id="46"/>
    </w:p>
    <w:p>
      <w:pPr>
        <w:spacing w:line="600" w:lineRule="exact"/>
        <w:ind w:firstLine="642" w:firstLineChars="200"/>
        <w:outlineLvl w:val="2"/>
        <w:rPr>
          <w:rFonts w:eastAsia="楷体_GB2312" w:cs="楷体_GB2312"/>
          <w:b/>
          <w:sz w:val="32"/>
          <w:szCs w:val="32"/>
        </w:rPr>
      </w:pPr>
      <w:bookmarkStart w:id="47" w:name="_Toc15377216"/>
      <w:r>
        <w:rPr>
          <w:rFonts w:hint="eastAsia" w:eastAsia="楷体_GB2312" w:cs="楷体_GB2312"/>
          <w:b/>
          <w:sz w:val="32"/>
          <w:szCs w:val="32"/>
        </w:rPr>
        <w:t>（一）“三公”经费财政拨款支出决算总体情况说明</w:t>
      </w:r>
      <w:bookmarkEnd w:id="47"/>
    </w:p>
    <w:p>
      <w:pPr>
        <w:spacing w:line="600" w:lineRule="exact"/>
        <w:ind w:firstLine="640"/>
        <w:rPr>
          <w:rFonts w:ascii="仿宋" w:hAnsi="仿宋" w:eastAsia="仿宋"/>
          <w:b/>
          <w:sz w:val="32"/>
          <w:szCs w:val="32"/>
        </w:rPr>
      </w:pPr>
      <w:r>
        <w:rPr>
          <w:rFonts w:hint="eastAsia" w:eastAsia="仿宋_GB2312" w:cs="仿宋_GB2312"/>
          <w:sz w:val="32"/>
          <w:szCs w:val="32"/>
        </w:rPr>
        <w:t>2025年度财政拨款“三公”经费支出决算为</w:t>
      </w:r>
      <w:r>
        <w:rPr>
          <w:rFonts w:hint="eastAsia" w:ascii="仿宋_GB2312" w:hAnsi="仿宋_GB2312" w:eastAsia="仿宋_GB2312" w:cs="仿宋_GB2312"/>
          <w:sz w:val="32"/>
          <w:szCs w:val="32"/>
        </w:rPr>
        <w:t>3.74</w:t>
      </w:r>
      <w:r>
        <w:rPr>
          <w:rFonts w:hint="eastAsia" w:eastAsia="仿宋_GB2312" w:cs="仿宋_GB2312"/>
          <w:sz w:val="32"/>
          <w:szCs w:val="32"/>
        </w:rPr>
        <w:t>万元，完成预算</w:t>
      </w:r>
      <w:r>
        <w:rPr>
          <w:rFonts w:hint="eastAsia" w:ascii="仿宋_GB2312" w:hAnsi="仿宋_GB2312" w:eastAsia="仿宋_GB2312" w:cs="仿宋_GB2312"/>
          <w:sz w:val="32"/>
          <w:szCs w:val="32"/>
        </w:rPr>
        <w:t>100</w:t>
      </w:r>
      <w:r>
        <w:rPr>
          <w:rFonts w:hint="eastAsia" w:eastAsia="仿宋_GB2312" w:cs="仿宋_GB2312"/>
          <w:sz w:val="32"/>
          <w:szCs w:val="32"/>
        </w:rPr>
        <w:t>%，较上年度增加1.2</w:t>
      </w:r>
      <w:r>
        <w:rPr>
          <w:rFonts w:eastAsia="仿宋_GB2312" w:cs="仿宋_GB2312"/>
          <w:sz w:val="32"/>
          <w:szCs w:val="32"/>
        </w:rPr>
        <w:t>4</w:t>
      </w:r>
      <w:r>
        <w:rPr>
          <w:rFonts w:hint="eastAsia" w:eastAsia="仿宋_GB2312" w:cs="仿宋_GB2312"/>
          <w:sz w:val="32"/>
          <w:szCs w:val="32"/>
        </w:rPr>
        <w:t>万元，增长49</w:t>
      </w:r>
      <w:r>
        <w:rPr>
          <w:rFonts w:eastAsia="仿宋_GB2312" w:cs="仿宋_GB2312"/>
          <w:sz w:val="32"/>
          <w:szCs w:val="32"/>
        </w:rPr>
        <w:t>.5</w:t>
      </w:r>
      <w:r>
        <w:rPr>
          <w:rFonts w:hint="eastAsia" w:eastAsia="仿宋_GB2312" w:cs="仿宋_GB2312"/>
          <w:sz w:val="32"/>
          <w:szCs w:val="32"/>
        </w:rPr>
        <w:t>%。决算数等于预算数。</w:t>
      </w:r>
    </w:p>
    <w:p>
      <w:pPr>
        <w:spacing w:line="600" w:lineRule="exact"/>
        <w:ind w:firstLine="642" w:firstLineChars="200"/>
        <w:outlineLvl w:val="2"/>
        <w:rPr>
          <w:rFonts w:eastAsia="楷体_GB2312" w:cs="楷体_GB2312"/>
          <w:b/>
          <w:sz w:val="32"/>
          <w:szCs w:val="32"/>
        </w:rPr>
      </w:pPr>
      <w:bookmarkStart w:id="48" w:name="_Toc15377217"/>
      <w:r>
        <w:rPr>
          <w:rFonts w:hint="eastAsia" w:eastAsia="楷体_GB2312" w:cs="楷体_GB2312"/>
          <w:b/>
          <w:sz w:val="32"/>
          <w:szCs w:val="32"/>
        </w:rPr>
        <w:t>（二）“三公”经费财政拨款支出决算具体情况说明</w:t>
      </w:r>
      <w:bookmarkEnd w:id="48"/>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ascii="仿宋_GB2312" w:hAnsi="仿宋_GB2312" w:eastAsia="仿宋_GB2312" w:cs="仿宋_GB2312"/>
          <w:sz w:val="32"/>
          <w:szCs w:val="32"/>
        </w:rPr>
        <w:t>0</w:t>
      </w:r>
      <w:r>
        <w:rPr>
          <w:rFonts w:hint="eastAsia" w:eastAsia="仿宋_GB2312" w:cs="仿宋_GB2312"/>
          <w:sz w:val="32"/>
          <w:szCs w:val="32"/>
        </w:rPr>
        <w:t>万元；公务用车购置及运行维护费支出决算</w:t>
      </w:r>
      <w:r>
        <w:rPr>
          <w:rFonts w:hint="eastAsia" w:ascii="仿宋_GB2312" w:hAnsi="仿宋_GB2312" w:eastAsia="仿宋_GB2312" w:cs="仿宋_GB2312"/>
          <w:sz w:val="32"/>
          <w:szCs w:val="32"/>
        </w:rPr>
        <w:t>3.45</w:t>
      </w:r>
      <w:r>
        <w:rPr>
          <w:rFonts w:hint="eastAsia" w:eastAsia="仿宋_GB2312" w:cs="仿宋_GB2312"/>
          <w:sz w:val="32"/>
          <w:szCs w:val="32"/>
        </w:rPr>
        <w:t>万元，占92.3%；公务接待费支出决算</w:t>
      </w:r>
      <w:r>
        <w:rPr>
          <w:rFonts w:hint="eastAsia" w:ascii="仿宋_GB2312" w:hAnsi="仿宋_GB2312" w:eastAsia="仿宋_GB2312" w:cs="仿宋_GB2312"/>
          <w:sz w:val="32"/>
          <w:szCs w:val="32"/>
        </w:rPr>
        <w:t>0.29</w:t>
      </w:r>
      <w:r>
        <w:rPr>
          <w:rFonts w:hint="eastAsia" w:eastAsia="仿宋_GB2312" w:cs="仿宋_GB2312"/>
          <w:sz w:val="32"/>
          <w:szCs w:val="32"/>
        </w:rPr>
        <w:t>万元，占7.7%。具体情况如下：</w:t>
      </w:r>
    </w:p>
    <w:p>
      <w:pPr>
        <w:spacing w:line="600" w:lineRule="exact"/>
        <w:ind w:firstLine="640"/>
        <w:rPr>
          <w:rFonts w:eastAsia="仿宋_GB2312" w:cs="仿宋_GB2312"/>
          <w:sz w:val="32"/>
          <w:szCs w:val="32"/>
        </w:rPr>
      </w:pPr>
      <w:r>
        <w:rPr>
          <w:rFonts w:hint="eastAsia" w:eastAsia="仿宋_GB2312" w:cs="仿宋_GB2312"/>
          <w:sz w:val="32"/>
          <w:szCs w:val="32"/>
        </w:rPr>
        <w:t>（图7：“三公”经费财政拨款支出）</w:t>
      </w:r>
    </w:p>
    <w:p>
      <w:pPr>
        <w:pStyle w:val="20"/>
        <w:jc w:val="center"/>
      </w:pPr>
      <w:r>
        <w:rPr>
          <w:rFonts w:hint="eastAsia" w:ascii="仿宋_GB2312" w:eastAsia="仿宋_GB2312"/>
        </w:rPr>
        <w:drawing>
          <wp:inline distT="0" distB="0" distL="0" distR="0">
            <wp:extent cx="3435350" cy="2345055"/>
            <wp:effectExtent l="0" t="0" r="0" b="0"/>
            <wp:docPr id="15" name="Objec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spacing w:line="600" w:lineRule="exact"/>
        <w:ind w:firstLine="640"/>
        <w:rPr>
          <w:rFonts w:eastAsia="仿宋_GB2312" w:cs="仿宋_GB2312"/>
          <w:b/>
          <w:bCs/>
          <w:sz w:val="32"/>
          <w:szCs w:val="32"/>
        </w:rPr>
      </w:pPr>
    </w:p>
    <w:p>
      <w:pPr>
        <w:spacing w:line="600" w:lineRule="exact"/>
        <w:ind w:firstLine="640"/>
        <w:rPr>
          <w:rFonts w:ascii="仿宋_GB2312" w:eastAsia="仿宋_GB2312"/>
          <w:b/>
          <w:sz w:val="32"/>
          <w:szCs w:val="32"/>
        </w:rPr>
      </w:pPr>
      <w:r>
        <w:rPr>
          <w:rFonts w:hint="eastAsia" w:eastAsia="仿宋_GB2312" w:cs="仿宋_GB2312"/>
          <w:b/>
          <w:bCs/>
          <w:sz w:val="32"/>
          <w:szCs w:val="32"/>
        </w:rPr>
        <w:t>1.因公出国（境）经费支出0万元，</w:t>
      </w:r>
      <w:r>
        <w:rPr>
          <w:rFonts w:ascii="仿宋_GB2312" w:eastAsia="仿宋_GB2312"/>
          <w:sz w:val="32"/>
          <w:szCs w:val="32"/>
        </w:rPr>
        <w:t>全年没有安排因公出国（境）。</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3.45万</w:t>
      </w:r>
      <w:r>
        <w:rPr>
          <w:rFonts w:hint="eastAsia" w:eastAsia="仿宋_GB2312" w:cs="仿宋_GB2312"/>
          <w:b/>
          <w:bCs/>
          <w:sz w:val="32"/>
          <w:szCs w:val="32"/>
        </w:rPr>
        <w:t>元，完成预算100%。</w:t>
      </w:r>
      <w:r>
        <w:rPr>
          <w:rFonts w:hint="eastAsia" w:eastAsia="仿宋_GB2312" w:cs="仿宋_GB2312"/>
          <w:sz w:val="32"/>
          <w:szCs w:val="32"/>
        </w:rPr>
        <w:t>公务用车购置及运行维护费支出决算比上年度增加1.2</w:t>
      </w:r>
      <w:r>
        <w:rPr>
          <w:rFonts w:eastAsia="仿宋_GB2312" w:cs="仿宋_GB2312"/>
          <w:sz w:val="32"/>
          <w:szCs w:val="32"/>
        </w:rPr>
        <w:t>6</w:t>
      </w:r>
      <w:r>
        <w:rPr>
          <w:rFonts w:hint="eastAsia" w:eastAsia="仿宋_GB2312" w:cs="仿宋_GB2312"/>
          <w:sz w:val="32"/>
          <w:szCs w:val="32"/>
        </w:rPr>
        <w:t>万元，增长</w:t>
      </w:r>
      <w:r>
        <w:rPr>
          <w:rFonts w:eastAsia="仿宋_GB2312" w:cs="仿宋_GB2312"/>
          <w:sz w:val="32"/>
          <w:szCs w:val="32"/>
        </w:rPr>
        <w:t>57.2</w:t>
      </w:r>
      <w:r>
        <w:rPr>
          <w:rFonts w:hint="eastAsia" w:eastAsia="仿宋_GB2312" w:cs="仿宋_GB2312"/>
          <w:sz w:val="32"/>
          <w:szCs w:val="32"/>
        </w:rPr>
        <w:t>%。主要原因是支付上年度未支付的船舶看守费等。</w:t>
      </w:r>
    </w:p>
    <w:p>
      <w:pPr>
        <w:spacing w:line="600" w:lineRule="exact"/>
        <w:ind w:firstLine="640" w:firstLineChars="200"/>
        <w:rPr>
          <w:rFonts w:ascii="仿宋_GB2312" w:eastAsia="仿宋_GB2312"/>
          <w:sz w:val="32"/>
          <w:szCs w:val="32"/>
        </w:rPr>
      </w:pPr>
      <w:r>
        <w:rPr>
          <w:rFonts w:hint="eastAsia" w:eastAsia="仿宋_GB2312" w:cs="仿宋_GB2312"/>
          <w:sz w:val="32"/>
          <w:szCs w:val="32"/>
        </w:rPr>
        <w:t>其中：</w:t>
      </w:r>
      <w:r>
        <w:rPr>
          <w:rFonts w:hint="eastAsia" w:ascii="仿宋_GB2312" w:eastAsia="仿宋_GB2312"/>
          <w:b/>
          <w:sz w:val="32"/>
          <w:szCs w:val="32"/>
        </w:rPr>
        <w:t>公务用车购置支出</w:t>
      </w:r>
      <w:r>
        <w:rPr>
          <w:rFonts w:ascii="仿宋" w:hAnsi="仿宋" w:eastAsia="仿宋"/>
          <w:b/>
          <w:sz w:val="32"/>
          <w:szCs w:val="32"/>
        </w:rPr>
        <w:t>0</w:t>
      </w:r>
      <w:r>
        <w:rPr>
          <w:rFonts w:hint="eastAsia" w:ascii="仿宋_GB2312" w:eastAsia="仿宋_GB2312"/>
          <w:sz w:val="32"/>
          <w:szCs w:val="32"/>
        </w:rPr>
        <w:t>万元，</w:t>
      </w:r>
      <w:r>
        <w:rPr>
          <w:rFonts w:ascii="仿宋_GB2312" w:eastAsia="仿宋_GB2312"/>
          <w:sz w:val="32"/>
          <w:szCs w:val="32"/>
        </w:rPr>
        <w:t>本年未更新购置车辆</w:t>
      </w:r>
      <w:r>
        <w:rPr>
          <w:rFonts w:hint="eastAsia" w:ascii="仿宋_GB2312" w:eastAsia="仿宋_GB2312"/>
          <w:sz w:val="32"/>
          <w:szCs w:val="32"/>
        </w:rPr>
        <w:t>.</w:t>
      </w:r>
      <w:r>
        <w:rPr>
          <w:rFonts w:ascii="仿宋_GB2312" w:eastAsia="仿宋_GB2312"/>
          <w:sz w:val="32"/>
          <w:szCs w:val="32"/>
        </w:rPr>
        <w:t>截至202</w:t>
      </w:r>
      <w:r>
        <w:rPr>
          <w:rFonts w:hint="eastAsia" w:ascii="仿宋_GB2312" w:eastAsia="仿宋_GB2312"/>
          <w:sz w:val="32"/>
          <w:szCs w:val="32"/>
        </w:rPr>
        <w:t>5</w:t>
      </w:r>
      <w:r>
        <w:rPr>
          <w:rFonts w:ascii="仿宋_GB2312" w:eastAsia="仿宋_GB2312"/>
          <w:sz w:val="32"/>
          <w:szCs w:val="32"/>
        </w:rPr>
        <w:t>年12月底，</w:t>
      </w:r>
      <w:r>
        <w:rPr>
          <w:rFonts w:hint="eastAsia" w:ascii="仿宋_GB2312" w:eastAsia="仿宋_GB2312"/>
          <w:sz w:val="32"/>
          <w:szCs w:val="32"/>
        </w:rPr>
        <w:t>单位共有公务用车4辆，其中：轿车1辆，船舶3艘视同公务用车。</w:t>
      </w:r>
    </w:p>
    <w:p>
      <w:pPr>
        <w:spacing w:line="600" w:lineRule="exact"/>
        <w:ind w:firstLine="640" w:firstLineChars="200"/>
        <w:rPr>
          <w:rFonts w:ascii="仿宋_GB2312" w:eastAsia="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出3.45</w:t>
      </w:r>
      <w:r>
        <w:rPr>
          <w:rFonts w:hint="eastAsia" w:eastAsia="仿宋_GB2312" w:cs="仿宋_GB2312"/>
          <w:sz w:val="32"/>
          <w:szCs w:val="32"/>
        </w:rPr>
        <w:t>万元。</w:t>
      </w:r>
      <w:r>
        <w:rPr>
          <w:rFonts w:hint="eastAsia" w:ascii="仿宋_GB2312" w:eastAsia="仿宋_GB2312"/>
          <w:sz w:val="32"/>
          <w:szCs w:val="32"/>
        </w:rPr>
        <w:t>主要用于主要用于航道维护巡航、巡查工作，及海巡艇日常维护、保养等所需的燃料费、维修费、过路过桥费、保险费、船舶看守、维修维护费等支出。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0.29万</w:t>
      </w:r>
      <w:r>
        <w:rPr>
          <w:rFonts w:hint="eastAsia" w:eastAsia="仿宋_GB2312" w:cs="仿宋_GB2312"/>
          <w:b/>
          <w:bCs/>
          <w:sz w:val="32"/>
          <w:szCs w:val="32"/>
        </w:rPr>
        <w:t>元，完成预算100%。</w:t>
      </w:r>
      <w:r>
        <w:rPr>
          <w:rFonts w:hint="eastAsia" w:eastAsia="仿宋_GB2312" w:cs="仿宋_GB2312"/>
          <w:sz w:val="32"/>
          <w:szCs w:val="32"/>
        </w:rPr>
        <w:t>公务接待费支出决算比上年度下降0.02万元，下降6%。主要原因是接待人数等不确定因素。其中：</w:t>
      </w:r>
    </w:p>
    <w:p>
      <w:pPr>
        <w:spacing w:line="600" w:lineRule="exact"/>
        <w:ind w:firstLine="640"/>
        <w:rPr>
          <w:rFonts w:ascii="仿宋_GB2312" w:eastAsia="仿宋_GB2312"/>
          <w:color w:val="000000" w:themeColor="text1"/>
          <w:sz w:val="32"/>
          <w:szCs w:val="32"/>
          <w14:textFill>
            <w14:solidFill>
              <w14:schemeClr w14:val="tx1"/>
            </w14:solidFill>
          </w14:textFill>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出0.29万</w:t>
      </w:r>
      <w:r>
        <w:rPr>
          <w:rFonts w:hint="eastAsia" w:eastAsia="仿宋_GB2312" w:cs="仿宋_GB2312"/>
          <w:sz w:val="32"/>
          <w:szCs w:val="32"/>
        </w:rPr>
        <w:t>元，主要用于</w:t>
      </w:r>
      <w:r>
        <w:rPr>
          <w:rFonts w:hint="eastAsia" w:ascii="仿宋_GB2312" w:eastAsia="仿宋_GB2312"/>
          <w:sz w:val="32"/>
          <w:szCs w:val="32"/>
        </w:rPr>
        <w:t>主要用于水上巡航、巡查联合检查，开展业务检查产生的接待费。国内公务接待4批次，22人次（不包括陪同人员），共计支出0.29万元，具体内容包括：</w:t>
      </w:r>
      <w:r>
        <w:rPr>
          <w:rFonts w:hint="eastAsia" w:ascii="仿宋_GB2312" w:eastAsia="仿宋_GB2312"/>
          <w:color w:val="000000" w:themeColor="text1"/>
          <w:sz w:val="32"/>
          <w:szCs w:val="32"/>
          <w14:textFill>
            <w14:solidFill>
              <w14:schemeClr w14:val="tx1"/>
            </w14:solidFill>
          </w14:textFill>
        </w:rPr>
        <w:t>省航务海事管理事务中心到攀调研二滩库区拟建渡船船型事宜接待费693元，省海事中心来攀采编宣传素材接待费503元，楚雄海事局来攀考察学习接待费972元，省交通厅来攀帮扶指导水路客运安全管理工作接待费700元。</w:t>
      </w:r>
    </w:p>
    <w:p>
      <w:pPr>
        <w:spacing w:line="600" w:lineRule="exact"/>
        <w:ind w:firstLine="64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出0万元</w:t>
      </w:r>
      <w:r>
        <w:rPr>
          <w:rFonts w:hint="eastAsia" w:eastAsia="仿宋_GB2312" w:cs="仿宋_GB2312"/>
          <w:sz w:val="32"/>
          <w:szCs w:val="32"/>
        </w:rPr>
        <w:t>。</w:t>
      </w:r>
    </w:p>
    <w:p>
      <w:pPr>
        <w:spacing w:line="600" w:lineRule="exact"/>
        <w:ind w:firstLine="640"/>
        <w:outlineLvl w:val="1"/>
        <w:rPr>
          <w:rStyle w:val="30"/>
          <w:rFonts w:ascii="Times New Roman" w:hAnsi="Times New Roman" w:eastAsia="黑体"/>
        </w:rPr>
      </w:pPr>
      <w:bookmarkStart w:id="49" w:name="_Toc15377218"/>
      <w:bookmarkStart w:id="50" w:name="_Toc15396610"/>
      <w:r>
        <w:rPr>
          <w:rFonts w:hint="eastAsia" w:eastAsia="黑体"/>
          <w:sz w:val="32"/>
          <w:szCs w:val="32"/>
        </w:rPr>
        <w:t>八、</w:t>
      </w:r>
      <w:r>
        <w:rPr>
          <w:rStyle w:val="30"/>
          <w:rFonts w:hint="eastAsia" w:ascii="Times New Roman" w:hAnsi="Times New Roman" w:eastAsia="黑体"/>
          <w:b w:val="0"/>
        </w:rPr>
        <w:t>政府性基金预算支出决算情况说明</w:t>
      </w:r>
      <w:bookmarkEnd w:id="49"/>
      <w:bookmarkEnd w:id="50"/>
    </w:p>
    <w:p>
      <w:pPr>
        <w:spacing w:line="600" w:lineRule="exact"/>
        <w:ind w:firstLine="640"/>
        <w:rPr>
          <w:rFonts w:eastAsia="仿宋_GB2312" w:cs="仿宋_GB2312"/>
          <w:b/>
          <w:bCs/>
          <w:sz w:val="32"/>
          <w:szCs w:val="32"/>
        </w:rPr>
      </w:pPr>
      <w:r>
        <w:rPr>
          <w:rFonts w:hint="eastAsia" w:ascii="仿宋_GB2312" w:hAnsi="仿宋_GB2312" w:eastAsia="仿宋_GB2312" w:cs="仿宋_GB2312"/>
          <w:sz w:val="32"/>
          <w:szCs w:val="32"/>
        </w:rPr>
        <w:t>2025年度政府性基金预算财政拨款支出0万元。</w:t>
      </w:r>
    </w:p>
    <w:p>
      <w:pPr>
        <w:spacing w:line="600" w:lineRule="exact"/>
        <w:ind w:left="630"/>
        <w:outlineLvl w:val="1"/>
        <w:rPr>
          <w:rStyle w:val="30"/>
          <w:rFonts w:ascii="Times New Roman" w:hAnsi="Times New Roman" w:eastAsia="黑体"/>
          <w:b w:val="0"/>
        </w:rPr>
      </w:pPr>
      <w:bookmarkStart w:id="51" w:name="_Toc15396611"/>
      <w:bookmarkStart w:id="52" w:name="_Toc15377219"/>
      <w:r>
        <w:rPr>
          <w:rStyle w:val="30"/>
          <w:rFonts w:hint="eastAsia" w:ascii="Times New Roman" w:hAnsi="Times New Roman" w:eastAsia="黑体"/>
          <w:b w:val="0"/>
        </w:rPr>
        <w:t>九、国有资本经营预算支出决算情况说明</w:t>
      </w:r>
      <w:bookmarkEnd w:id="51"/>
      <w:bookmarkEnd w:id="52"/>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ascii="仿宋_GB2312" w:hAnsi="仿宋_GB2312" w:eastAsia="仿宋_GB2312" w:cs="仿宋_GB2312"/>
          <w:sz w:val="32"/>
          <w:szCs w:val="32"/>
        </w:rPr>
        <w:t>0万元。</w:t>
      </w:r>
    </w:p>
    <w:p>
      <w:pPr>
        <w:spacing w:line="600" w:lineRule="exact"/>
        <w:ind w:left="630"/>
        <w:outlineLvl w:val="1"/>
        <w:rPr>
          <w:rStyle w:val="30"/>
          <w:rFonts w:ascii="Times New Roman" w:hAnsi="Times New Roman" w:eastAsia="黑体"/>
          <w:b w:val="0"/>
        </w:rPr>
      </w:pPr>
      <w:bookmarkStart w:id="53" w:name="_Toc15377221"/>
      <w:bookmarkStart w:id="54" w:name="_Toc15396612"/>
      <w:r>
        <w:rPr>
          <w:rStyle w:val="30"/>
          <w:rFonts w:hint="eastAsia" w:ascii="Times New Roman" w:hAnsi="Times New Roman" w:eastAsia="黑体"/>
          <w:b w:val="0"/>
        </w:rPr>
        <w:t>十、其他重要事项的情况说明</w:t>
      </w:r>
      <w:bookmarkEnd w:id="53"/>
      <w:bookmarkEnd w:id="54"/>
    </w:p>
    <w:p>
      <w:pPr>
        <w:spacing w:line="600" w:lineRule="exact"/>
        <w:ind w:firstLine="642" w:firstLineChars="200"/>
        <w:outlineLvl w:val="2"/>
        <w:rPr>
          <w:rFonts w:eastAsia="楷体_GB2312" w:cs="楷体_GB2312"/>
          <w:b/>
          <w:sz w:val="32"/>
          <w:szCs w:val="32"/>
        </w:rPr>
      </w:pPr>
      <w:bookmarkStart w:id="55" w:name="_Toc15377222"/>
      <w:r>
        <w:rPr>
          <w:rFonts w:hint="eastAsia" w:eastAsia="楷体_GB2312" w:cs="楷体_GB2312"/>
          <w:b/>
          <w:sz w:val="32"/>
          <w:szCs w:val="32"/>
        </w:rPr>
        <w:t>（一）机关运行经费支出情况</w:t>
      </w:r>
      <w:bookmarkEnd w:id="55"/>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，四川省攀枝花市航务海事中心机关运行经费支出30.09万</w:t>
      </w:r>
      <w:r>
        <w:rPr>
          <w:rFonts w:hint="eastAsia" w:eastAsia="仿宋_GB2312" w:cs="仿宋_GB2312"/>
          <w:sz w:val="32"/>
          <w:szCs w:val="32"/>
        </w:rPr>
        <w:t>元，比上年度增加1.3万元，增长4.5%主要原因是增加人员晋升后车贴等</w:t>
      </w:r>
    </w:p>
    <w:p>
      <w:pPr>
        <w:spacing w:line="600" w:lineRule="exact"/>
        <w:ind w:firstLine="642" w:firstLineChars="200"/>
        <w:outlineLvl w:val="2"/>
        <w:rPr>
          <w:rFonts w:eastAsia="楷体_GB2312" w:cs="楷体_GB2312"/>
          <w:b/>
          <w:sz w:val="32"/>
          <w:szCs w:val="32"/>
        </w:rPr>
      </w:pPr>
      <w:bookmarkStart w:id="56" w:name="_Toc15377223"/>
      <w:r>
        <w:rPr>
          <w:rFonts w:hint="eastAsia" w:eastAsia="楷体_GB2312" w:cs="楷体_GB2312"/>
          <w:b/>
          <w:sz w:val="32"/>
          <w:szCs w:val="32"/>
        </w:rPr>
        <w:t>（二）政府采购支出情况</w:t>
      </w:r>
      <w:bookmarkEnd w:id="56"/>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四川省攀枝花市航务海事中心政府采购支出总额0.57万元，其中：政府采购服务支出0.57万元。主要用于公务车保险及维护。授予中小企业合同金额0.36万元，占政府采购支出总额的63.2%，其中：授予小微企业合同金额0.36万元，占政府采购支出总额的63.2%。</w:t>
      </w:r>
    </w:p>
    <w:p>
      <w:pPr>
        <w:spacing w:line="600" w:lineRule="exact"/>
        <w:ind w:firstLine="642" w:firstLineChars="200"/>
        <w:outlineLvl w:val="2"/>
        <w:rPr>
          <w:rFonts w:eastAsia="楷体_GB2312" w:cs="楷体_GB2312"/>
          <w:b/>
          <w:sz w:val="32"/>
          <w:szCs w:val="32"/>
        </w:rPr>
      </w:pPr>
      <w:bookmarkStart w:id="57" w:name="_Toc15377224"/>
      <w:r>
        <w:rPr>
          <w:rFonts w:hint="eastAsia" w:eastAsia="楷体_GB2312" w:cs="楷体_GB2312"/>
          <w:b/>
          <w:sz w:val="32"/>
          <w:szCs w:val="32"/>
        </w:rPr>
        <w:t>（三）国有资产占有使用情况</w:t>
      </w:r>
      <w:bookmarkEnd w:id="57"/>
    </w:p>
    <w:p>
      <w:pPr>
        <w:autoSpaceDE w:val="0"/>
        <w:autoSpaceDN w:val="0"/>
        <w:adjustRightInd w:val="0"/>
        <w:spacing w:line="600" w:lineRule="exact"/>
        <w:ind w:firstLine="640" w:firstLineChars="200"/>
        <w:jc w:val="left"/>
        <w:rPr>
          <w:rFonts w:eastAsia="仿宋_GB2312" w:cs="仿宋_GB2312"/>
          <w:sz w:val="32"/>
          <w:szCs w:val="32"/>
        </w:rPr>
      </w:pPr>
      <w:r>
        <w:rPr>
          <w:rFonts w:hint="eastAsia" w:ascii="仿宋_GB2312" w:hAnsi="仿宋_GB2312" w:eastAsia="仿宋_GB2312" w:cs="仿宋_GB2312"/>
          <w:sz w:val="32"/>
          <w:szCs w:val="32"/>
        </w:rPr>
        <w:t>截至2025年12月31日，四川省攀枝花市航务海事中心共有车辆4辆，其中：其他用车4辆（3艘船舶视同车辆），其他用车主要是用于</w:t>
      </w:r>
      <w:r>
        <w:rPr>
          <w:rFonts w:hint="eastAsia" w:ascii="仿宋_GB2312" w:eastAsia="仿宋_GB2312"/>
          <w:sz w:val="32"/>
          <w:szCs w:val="32"/>
        </w:rPr>
        <w:t>航道巡航巡查。</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根据预算绩效管理要求，市航务海事中心在2025年度预算编制阶段，组织对海事管理项目开展了预算事前绩效评估，编制了绩效目标，预算执行过程中，开展绩效监控。</w:t>
      </w:r>
    </w:p>
    <w:p>
      <w:pPr>
        <w:ind w:firstLine="642" w:firstLineChars="200"/>
        <w:rPr>
          <w:rFonts w:ascii="楷体" w:hAnsi="楷体" w:eastAsia="楷体" w:cs="楷体"/>
          <w:b/>
          <w:bCs/>
          <w:sz w:val="32"/>
          <w:szCs w:val="32"/>
        </w:rPr>
      </w:pPr>
      <w:r>
        <w:rPr>
          <w:rFonts w:hint="eastAsia" w:ascii="楷体" w:hAnsi="楷体" w:eastAsia="楷体" w:cs="楷体"/>
          <w:b/>
          <w:bCs/>
          <w:sz w:val="32"/>
          <w:szCs w:val="32"/>
        </w:rPr>
        <w:t>1.项目绩效目标完成情况。</w:t>
      </w:r>
    </w:p>
    <w:p>
      <w:pPr>
        <w:pStyle w:val="9"/>
        <w:rPr>
          <w:rFonts w:ascii="仿宋_GB2312" w:hAnsi="宋体" w:eastAsia="仿宋_GB2312"/>
          <w:color w:val="000000"/>
          <w:sz w:val="32"/>
        </w:rPr>
      </w:pPr>
      <w:r>
        <w:rPr>
          <w:rFonts w:hint="eastAsia" w:ascii="仿宋_GB2312" w:hAnsi="Calibri" w:eastAsia="仿宋_GB2312" w:cs="Calibri"/>
          <w:b/>
          <w:sz w:val="32"/>
          <w:szCs w:val="32"/>
        </w:rPr>
        <w:t xml:space="preserve">    </w:t>
      </w:r>
      <w:r>
        <w:rPr>
          <w:rFonts w:hint="eastAsia" w:ascii="仿宋_GB2312" w:hAnsi="宋体" w:eastAsia="仿宋_GB2312"/>
          <w:b/>
          <w:color w:val="000000"/>
          <w:sz w:val="32"/>
        </w:rPr>
        <w:t>项目名称：海事管理</w:t>
      </w:r>
    </w:p>
    <w:p>
      <w:pPr>
        <w:pStyle w:val="9"/>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项目预算：</w:t>
      </w:r>
      <w:r>
        <w:rPr>
          <w:rFonts w:hint="eastAsia" w:ascii="仿宋_GB2312" w:hAnsi="仿宋_GB2312" w:eastAsia="仿宋_GB2312" w:cs="仿宋_GB2312"/>
          <w:sz w:val="32"/>
          <w:szCs w:val="32"/>
        </w:rPr>
        <w:t>项目全年预算数2万元，执行数为2万元，完成预算的100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p>
    <w:p>
      <w:pPr>
        <w:spacing w:line="560" w:lineRule="exact"/>
        <w:ind w:firstLine="642" w:firstLineChars="200"/>
        <w:rPr>
          <w:rFonts w:ascii="仿宋_GB2312" w:hAnsi="宋体" w:eastAsia="仿宋_GB2312" w:cs="宋体"/>
          <w:kern w:val="0"/>
          <w:sz w:val="32"/>
          <w:szCs w:val="32"/>
        </w:rPr>
      </w:pPr>
      <w:r>
        <w:rPr>
          <w:rFonts w:eastAsia="仿宋_GB2312"/>
          <w:b/>
          <w:kern w:val="0"/>
          <w:sz w:val="32"/>
          <w:szCs w:val="32"/>
        </w:rPr>
        <w:t>项目主要内容</w:t>
      </w:r>
      <w:r>
        <w:rPr>
          <w:rFonts w:hint="eastAsia" w:eastAsia="仿宋_GB2312"/>
          <w:b/>
          <w:kern w:val="0"/>
          <w:sz w:val="32"/>
          <w:szCs w:val="32"/>
        </w:rPr>
        <w:t>：</w:t>
      </w:r>
      <w:r>
        <w:rPr>
          <w:rFonts w:hint="eastAsia" w:ascii="仿宋_GB2312" w:hAnsi="宋体" w:eastAsia="仿宋_GB2312" w:cs="宋体"/>
          <w:kern w:val="0"/>
          <w:sz w:val="32"/>
          <w:szCs w:val="32"/>
        </w:rPr>
        <w:t>根据我市航道现状，对二滩库区、金沙江乌东德库区进行航道巡查。对航道标识标牌（警示牌、分界牌、限速牌、“两线一牌”等）及时进行维护，对破损的航道标识标牌更换。对金沙江乌东德库区涉及船舶碰撞桥梁桥区水面航标制作，确保船舶通航安全，发挥助航作用。进一步强化水运企业和水路运输经营者动态监管，全面掌握行业发展情况。提升水运企业管理水平。为确保水运行业和水路运输经营者落实安全生产主体责任，对从业人员进行教育培训，宣传水路运输、航道港口法律法规。</w:t>
      </w:r>
    </w:p>
    <w:p>
      <w:pPr>
        <w:pStyle w:val="9"/>
        <w:rPr>
          <w:rFonts w:ascii="仿宋_GB2312" w:hAnsi="Times New Roman" w:eastAsia="仿宋_GB2312"/>
          <w:kern w:val="0"/>
          <w:sz w:val="32"/>
          <w:szCs w:val="32"/>
        </w:rPr>
      </w:pPr>
      <w:r>
        <w:rPr>
          <w:rFonts w:hint="eastAsia" w:ascii="仿宋_GB2312" w:hAnsi="Times New Roman" w:eastAsia="仿宋_GB2312"/>
          <w:kern w:val="0"/>
          <w:sz w:val="32"/>
          <w:szCs w:val="32"/>
        </w:rPr>
        <w:t xml:space="preserve">    </w:t>
      </w:r>
      <w:r>
        <w:rPr>
          <w:rFonts w:ascii="Times New Roman" w:hAnsi="Times New Roman" w:eastAsia="仿宋_GB2312"/>
          <w:b/>
          <w:kern w:val="0"/>
          <w:sz w:val="32"/>
          <w:szCs w:val="32"/>
        </w:rPr>
        <w:t>项目</w:t>
      </w:r>
      <w:r>
        <w:rPr>
          <w:rFonts w:hint="eastAsia" w:ascii="Times New Roman" w:hAnsi="Times New Roman" w:eastAsia="仿宋_GB2312"/>
          <w:b/>
          <w:kern w:val="0"/>
          <w:sz w:val="32"/>
          <w:szCs w:val="32"/>
        </w:rPr>
        <w:t>执行情况：</w:t>
      </w:r>
      <w:r>
        <w:rPr>
          <w:rFonts w:hint="eastAsia" w:ascii="仿宋_GB2312" w:hAnsi="Times New Roman" w:eastAsia="仿宋_GB2312"/>
          <w:kern w:val="0"/>
          <w:sz w:val="32"/>
          <w:szCs w:val="32"/>
        </w:rPr>
        <w:t>通过巡航检查，</w:t>
      </w:r>
      <w:r>
        <w:rPr>
          <w:rFonts w:hint="eastAsia" w:ascii="仿宋_GB2312" w:hAnsi="仿宋_GB2312" w:eastAsia="仿宋_GB2312"/>
          <w:sz w:val="32"/>
          <w:szCs w:val="32"/>
        </w:rPr>
        <w:t>巡查，打击非法营运等违章、违法行为，</w:t>
      </w:r>
      <w:r>
        <w:rPr>
          <w:rFonts w:hint="eastAsia" w:ascii="仿宋_GB2312" w:hAnsi="Times New Roman" w:eastAsia="仿宋_GB2312"/>
          <w:kern w:val="0"/>
          <w:sz w:val="32"/>
          <w:szCs w:val="32"/>
        </w:rPr>
        <w:t>保障通航秩序，提升船舶航行安全，促进水路运输业健康发展，</w:t>
      </w:r>
      <w:r>
        <w:rPr>
          <w:rFonts w:hint="eastAsia" w:ascii="仿宋_GB2312" w:hAnsi="仿宋_GB2312" w:eastAsia="仿宋_GB2312"/>
          <w:sz w:val="32"/>
          <w:szCs w:val="32"/>
        </w:rPr>
        <w:t>预防水上交通事故发生。全市水路经营秩序良好，且未发生水上交通安全事故。</w:t>
      </w:r>
      <w:r>
        <w:rPr>
          <w:rFonts w:hint="eastAsia" w:ascii="仿宋_GB2312" w:hAnsi="Times New Roman" w:eastAsia="仿宋_GB2312"/>
          <w:kern w:val="0"/>
          <w:sz w:val="32"/>
          <w:szCs w:val="32"/>
        </w:rPr>
        <w:t>加大航道通航秩序检查力度，推进金沙江乌东德库区库尾航道整治前期工作，全年未发生因航道建设、维护而破坏生态环境事故发生。</w:t>
      </w:r>
    </w:p>
    <w:p>
      <w:pPr>
        <w:pStyle w:val="9"/>
        <w:rPr>
          <w:rFonts w:ascii="仿宋_GB2312" w:hAnsi="Times New Roman" w:eastAsia="仿宋_GB2312"/>
          <w:kern w:val="0"/>
          <w:sz w:val="32"/>
          <w:szCs w:val="32"/>
        </w:rPr>
      </w:pPr>
      <w:r>
        <w:rPr>
          <w:rFonts w:hint="eastAsia" w:ascii="仿宋_GB2312" w:hAnsi="Times New Roman" w:eastAsia="仿宋_GB2312"/>
          <w:kern w:val="0"/>
          <w:sz w:val="32"/>
          <w:szCs w:val="32"/>
        </w:rPr>
        <w:t xml:space="preserve">   </w:t>
      </w:r>
    </w:p>
    <w:p>
      <w:pPr>
        <w:pStyle w:val="9"/>
        <w:rPr>
          <w:rFonts w:ascii="仿宋_GB2312" w:hAnsi="Times New Roman" w:eastAsia="仿宋_GB2312"/>
          <w:kern w:val="0"/>
          <w:sz w:val="32"/>
          <w:szCs w:val="32"/>
        </w:rPr>
      </w:pPr>
    </w:p>
    <w:p>
      <w:pPr>
        <w:spacing w:line="600" w:lineRule="exact"/>
        <w:jc w:val="center"/>
        <w:outlineLvl w:val="0"/>
        <w:rPr>
          <w:rFonts w:eastAsia="黑体"/>
          <w:sz w:val="44"/>
          <w:szCs w:val="44"/>
        </w:rPr>
      </w:pPr>
      <w:bookmarkStart w:id="58" w:name="_Toc15377225"/>
      <w:bookmarkStart w:id="59" w:name="_Toc15396613"/>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r>
        <w:rPr>
          <w:rFonts w:hint="eastAsia" w:eastAsia="黑体"/>
          <w:sz w:val="44"/>
          <w:szCs w:val="44"/>
        </w:rPr>
        <w:t>第三部分  名词解释</w:t>
      </w:r>
      <w:bookmarkEnd w:id="58"/>
      <w:bookmarkEnd w:id="59"/>
    </w:p>
    <w:p>
      <w:pPr>
        <w:spacing w:line="600" w:lineRule="exact"/>
        <w:jc w:val="left"/>
        <w:rPr>
          <w:b/>
          <w:sz w:val="44"/>
          <w:szCs w:val="44"/>
        </w:rPr>
      </w:pPr>
    </w:p>
    <w:p>
      <w:pPr>
        <w:rPr>
          <w:rFonts w:ascii="仿宋_GB2312" w:hAnsi="Calibri" w:eastAsia="仿宋_GB2312" w:cs="仿宋"/>
          <w:kern w:val="0"/>
          <w:sz w:val="32"/>
          <w:szCs w:val="32"/>
        </w:rPr>
      </w:pPr>
      <w:bookmarkStart w:id="60" w:name="_Toc176511737"/>
      <w:r>
        <w:rPr>
          <w:rFonts w:hint="eastAsia" w:ascii="仿宋_GB2312" w:hAnsi="Calibri" w:eastAsia="仿宋_GB2312" w:cs="仿宋"/>
          <w:b/>
          <w:kern w:val="0"/>
          <w:sz w:val="32"/>
          <w:szCs w:val="32"/>
        </w:rPr>
        <w:t xml:space="preserve">   </w:t>
      </w:r>
      <w:r>
        <w:rPr>
          <w:rFonts w:hint="eastAsia" w:ascii="仿宋_GB2312" w:hAnsi="Calibri" w:eastAsia="仿宋_GB2312" w:cs="仿宋"/>
          <w:kern w:val="0"/>
          <w:sz w:val="32"/>
          <w:szCs w:val="32"/>
        </w:rPr>
        <w:t xml:space="preserve"> </w:t>
      </w:r>
      <w:r>
        <w:rPr>
          <w:rFonts w:ascii="仿宋_GB2312" w:hAnsi="Calibri" w:eastAsia="仿宋_GB2312" w:cs="仿宋"/>
          <w:kern w:val="0"/>
          <w:sz w:val="32"/>
          <w:szCs w:val="32"/>
        </w:rPr>
        <w:t>1</w:t>
      </w:r>
      <w:r>
        <w:rPr>
          <w:rFonts w:hint="eastAsia" w:ascii="仿宋_GB2312" w:hAnsi="Calibri" w:eastAsia="仿宋_GB2312" w:cs="仿宋"/>
          <w:kern w:val="0"/>
          <w:sz w:val="32"/>
          <w:szCs w:val="32"/>
        </w:rPr>
        <w:t>.财政拨款收入：指单位从同级财政部门取得的财政预算资金。</w:t>
      </w:r>
      <w:bookmarkEnd w:id="60"/>
    </w:p>
    <w:p>
      <w:pPr>
        <w:rPr>
          <w:rFonts w:ascii="仿宋_GB2312" w:hAnsi="Calibri" w:eastAsia="仿宋_GB2312" w:cs="仿宋"/>
          <w:kern w:val="0"/>
          <w:sz w:val="32"/>
          <w:szCs w:val="32"/>
        </w:rPr>
      </w:pPr>
      <w:r>
        <w:rPr>
          <w:rFonts w:hint="eastAsia" w:ascii="仿宋_GB2312" w:hAnsi="Calibri" w:eastAsia="仿宋_GB2312" w:cs="仿宋"/>
          <w:kern w:val="0"/>
          <w:sz w:val="32"/>
          <w:szCs w:val="32"/>
        </w:rPr>
        <w:t xml:space="preserve">    </w:t>
      </w:r>
      <w:bookmarkStart w:id="61" w:name="_Toc176511738"/>
      <w:r>
        <w:rPr>
          <w:rFonts w:hint="eastAsia" w:ascii="仿宋_GB2312" w:hAnsi="Calibri" w:eastAsia="仿宋_GB2312" w:cs="仿宋"/>
          <w:kern w:val="0"/>
          <w:sz w:val="32"/>
          <w:szCs w:val="32"/>
        </w:rPr>
        <w:t>2.</w:t>
      </w:r>
      <w:r>
        <w:rPr>
          <w:rFonts w:ascii="仿宋_GB2312" w:hAnsi="Calibri" w:eastAsia="仿宋_GB2312" w:cs="仿宋"/>
          <w:kern w:val="0"/>
          <w:sz w:val="32"/>
          <w:szCs w:val="32"/>
        </w:rPr>
        <w:t xml:space="preserve"> </w:t>
      </w:r>
      <w:bookmarkEnd w:id="61"/>
      <w:r>
        <w:rPr>
          <w:rFonts w:hint="eastAsia" w:ascii="仿宋_GB2312" w:hAnsi="Calibri" w:eastAsia="仿宋_GB2312" w:cs="仿宋"/>
          <w:kern w:val="0"/>
          <w:sz w:val="32"/>
          <w:szCs w:val="32"/>
        </w:rPr>
        <w:t>社会保障和就业支出（类）行政事业单位养老支出（款）行政单位离退休（项）：指行政单位（包括实行公务员法管理的事业单位）开支的离退休经费。</w:t>
      </w:r>
    </w:p>
    <w:p>
      <w:pPr>
        <w:rPr>
          <w:rFonts w:ascii="仿宋_GB2312" w:hAnsi="Calibri" w:eastAsia="仿宋_GB2312" w:cs="仿宋"/>
          <w:kern w:val="0"/>
          <w:sz w:val="32"/>
          <w:szCs w:val="32"/>
        </w:rPr>
      </w:pPr>
      <w:r>
        <w:rPr>
          <w:rFonts w:hint="eastAsia" w:ascii="仿宋_GB2312" w:hAnsi="Calibri" w:eastAsia="仿宋_GB2312" w:cs="仿宋"/>
          <w:kern w:val="0"/>
          <w:sz w:val="32"/>
          <w:szCs w:val="32"/>
        </w:rPr>
        <w:t xml:space="preserve">    </w:t>
      </w:r>
      <w:bookmarkStart w:id="62" w:name="_Toc176511739"/>
      <w:r>
        <w:rPr>
          <w:rFonts w:hint="eastAsia" w:ascii="仿宋_GB2312" w:hAnsi="Calibri" w:eastAsia="仿宋_GB2312" w:cs="仿宋"/>
          <w:kern w:val="0"/>
          <w:sz w:val="32"/>
          <w:szCs w:val="32"/>
        </w:rPr>
        <w:t xml:space="preserve">3. </w:t>
      </w:r>
      <w:bookmarkEnd w:id="62"/>
      <w:r>
        <w:rPr>
          <w:rFonts w:hint="eastAsia" w:ascii="仿宋_GB2312" w:hAnsi="Calibri" w:eastAsia="仿宋_GB2312" w:cs="仿宋"/>
          <w:kern w:val="0"/>
          <w:sz w:val="32"/>
          <w:szCs w:val="32"/>
        </w:rPr>
        <w:t>社会保障和就业支出（类）行政事业单位养老支出（款）机关事业单位基本养老保险缴费支出（项）：指机关事业单位实施养老保险制度由单位缴纳的基本养老保险费支出。</w:t>
      </w:r>
    </w:p>
    <w:p>
      <w:pPr>
        <w:spacing w:line="600" w:lineRule="exact"/>
        <w:ind w:firstLine="640" w:firstLineChars="200"/>
        <w:rPr>
          <w:rStyle w:val="18"/>
          <w:rFonts w:ascii="仿宋" w:hAnsi="仿宋" w:eastAsia="仿宋"/>
          <w:bCs/>
          <w:sz w:val="32"/>
          <w:szCs w:val="32"/>
        </w:rPr>
      </w:pPr>
      <w:bookmarkStart w:id="63" w:name="_Toc176511740"/>
      <w:r>
        <w:rPr>
          <w:rFonts w:hint="eastAsia" w:ascii="仿宋_GB2312" w:hAnsi="Calibri" w:eastAsia="仿宋_GB2312" w:cs="仿宋"/>
          <w:kern w:val="0"/>
          <w:sz w:val="32"/>
          <w:szCs w:val="32"/>
        </w:rPr>
        <w:t>4.</w:t>
      </w:r>
      <w:r>
        <w:rPr>
          <w:rFonts w:ascii="仿宋_GB2312" w:hAnsi="Calibri" w:eastAsia="仿宋_GB2312" w:cs="仿宋"/>
          <w:kern w:val="0"/>
          <w:sz w:val="32"/>
          <w:szCs w:val="32"/>
        </w:rPr>
        <w:t xml:space="preserve"> </w:t>
      </w:r>
      <w:bookmarkEnd w:id="63"/>
      <w:r>
        <w:rPr>
          <w:rFonts w:hint="eastAsia" w:ascii="仿宋_GB2312" w:hAnsi="Calibri" w:eastAsia="仿宋_GB2312" w:cs="仿宋"/>
          <w:kern w:val="0"/>
          <w:sz w:val="32"/>
          <w:szCs w:val="32"/>
        </w:rPr>
        <w:t>社会保障和就业支出（类）行政事业单位养老支出（款）</w:t>
      </w:r>
      <w:r>
        <w:rPr>
          <w:rFonts w:hint="eastAsia" w:ascii="仿宋" w:hAnsi="仿宋" w:eastAsia="仿宋"/>
          <w:bCs/>
          <w:sz w:val="32"/>
          <w:szCs w:val="32"/>
        </w:rPr>
        <w:t>机关事业单位职业年金缴费支出（项）:指财政下达的单位职业年金做实资金支出。</w:t>
      </w:r>
    </w:p>
    <w:p>
      <w:pPr>
        <w:rPr>
          <w:rFonts w:ascii="仿宋_GB2312" w:hAnsi="Calibri" w:eastAsia="仿宋_GB2312" w:cs="仿宋"/>
          <w:kern w:val="0"/>
          <w:sz w:val="32"/>
          <w:szCs w:val="32"/>
        </w:rPr>
      </w:pPr>
      <w:r>
        <w:rPr>
          <w:rFonts w:hint="eastAsia" w:ascii="仿宋_GB2312" w:hAnsi="Calibri" w:eastAsia="仿宋_GB2312" w:cs="仿宋"/>
          <w:kern w:val="0"/>
          <w:sz w:val="32"/>
          <w:szCs w:val="32"/>
        </w:rPr>
        <w:t xml:space="preserve">    </w:t>
      </w:r>
      <w:bookmarkStart w:id="64" w:name="_Toc176511741"/>
      <w:r>
        <w:rPr>
          <w:rFonts w:hint="eastAsia" w:ascii="仿宋_GB2312" w:hAnsi="Calibri" w:eastAsia="仿宋_GB2312" w:cs="仿宋"/>
          <w:kern w:val="0"/>
          <w:sz w:val="32"/>
          <w:szCs w:val="32"/>
        </w:rPr>
        <w:t>5.</w:t>
      </w:r>
      <w:r>
        <w:rPr>
          <w:rFonts w:hint="eastAsia" w:ascii="仿宋" w:hAnsi="仿宋" w:eastAsia="仿宋"/>
          <w:bCs/>
          <w:sz w:val="32"/>
          <w:szCs w:val="32"/>
        </w:rPr>
        <w:t>卫生健康</w:t>
      </w:r>
      <w:r>
        <w:rPr>
          <w:rStyle w:val="18"/>
          <w:rFonts w:hint="eastAsia" w:ascii="仿宋" w:hAnsi="仿宋" w:eastAsia="仿宋"/>
          <w:b w:val="0"/>
          <w:bCs/>
          <w:sz w:val="32"/>
          <w:szCs w:val="32"/>
        </w:rPr>
        <w:t>（类）行政事业单位医疗（款）行政单位医疗（项）</w:t>
      </w:r>
      <w:r>
        <w:rPr>
          <w:rStyle w:val="18"/>
          <w:rFonts w:ascii="仿宋" w:hAnsi="仿宋" w:eastAsia="仿宋"/>
          <w:b w:val="0"/>
          <w:bCs/>
          <w:sz w:val="32"/>
          <w:szCs w:val="32"/>
        </w:rPr>
        <w:t>:</w:t>
      </w:r>
      <w:r>
        <w:rPr>
          <w:rFonts w:hint="eastAsia" w:ascii="仿宋_GB2312" w:hAnsi="Calibri" w:eastAsia="仿宋_GB2312" w:cs="仿宋"/>
          <w:kern w:val="0"/>
          <w:sz w:val="32"/>
          <w:szCs w:val="32"/>
        </w:rPr>
        <w:t xml:space="preserve"> 指机关事业单位实施医疗保险制度由单位缴纳的基本医疗保险费支出。</w:t>
      </w:r>
      <w:bookmarkEnd w:id="64"/>
    </w:p>
    <w:p>
      <w:pPr>
        <w:rPr>
          <w:rFonts w:ascii="仿宋_GB2312" w:hAnsi="Calibri" w:eastAsia="仿宋_GB2312" w:cs="仿宋"/>
          <w:kern w:val="0"/>
          <w:sz w:val="32"/>
          <w:szCs w:val="32"/>
        </w:rPr>
      </w:pPr>
      <w:r>
        <w:rPr>
          <w:rStyle w:val="18"/>
          <w:rFonts w:hint="eastAsia" w:ascii="仿宋" w:hAnsi="仿宋" w:eastAsia="仿宋"/>
          <w:b w:val="0"/>
          <w:bCs/>
          <w:sz w:val="32"/>
          <w:szCs w:val="32"/>
        </w:rPr>
        <w:t xml:space="preserve">    6</w:t>
      </w:r>
      <w:r>
        <w:rPr>
          <w:rStyle w:val="18"/>
          <w:rFonts w:ascii="仿宋" w:hAnsi="仿宋" w:eastAsia="仿宋"/>
          <w:b w:val="0"/>
          <w:bCs/>
          <w:sz w:val="32"/>
          <w:szCs w:val="32"/>
        </w:rPr>
        <w:t>.</w:t>
      </w:r>
      <w:r>
        <w:rPr>
          <w:rFonts w:hint="eastAsia" w:ascii="仿宋_GB2312" w:hAnsi="仿宋_GB2312" w:eastAsia="仿宋_GB2312" w:cs="仿宋_GB2312"/>
          <w:b/>
          <w:bCs/>
          <w:sz w:val="32"/>
          <w:szCs w:val="32"/>
        </w:rPr>
        <w:t xml:space="preserve"> </w:t>
      </w:r>
      <w:r>
        <w:rPr>
          <w:rFonts w:hint="eastAsia" w:ascii="仿宋" w:hAnsi="仿宋" w:eastAsia="仿宋"/>
          <w:bCs/>
          <w:sz w:val="32"/>
          <w:szCs w:val="32"/>
        </w:rPr>
        <w:t>卫生健康</w:t>
      </w:r>
      <w:r>
        <w:rPr>
          <w:rStyle w:val="18"/>
          <w:rFonts w:hint="eastAsia" w:ascii="仿宋" w:hAnsi="仿宋" w:eastAsia="仿宋"/>
          <w:b w:val="0"/>
          <w:bCs/>
          <w:sz w:val="32"/>
          <w:szCs w:val="32"/>
        </w:rPr>
        <w:t>（类）行政事业单位医疗（款）公务员医疗补助（项）</w:t>
      </w:r>
      <w:r>
        <w:rPr>
          <w:rStyle w:val="18"/>
          <w:rFonts w:ascii="仿宋" w:hAnsi="仿宋" w:eastAsia="仿宋"/>
          <w:b w:val="0"/>
          <w:bCs/>
          <w:sz w:val="32"/>
          <w:szCs w:val="32"/>
        </w:rPr>
        <w:t>:</w:t>
      </w:r>
      <w:r>
        <w:rPr>
          <w:rFonts w:hint="eastAsia" w:ascii="仿宋_GB2312" w:hAnsi="Calibri" w:eastAsia="仿宋_GB2312" w:cs="仿宋"/>
          <w:b/>
          <w:kern w:val="0"/>
          <w:sz w:val="32"/>
          <w:szCs w:val="32"/>
        </w:rPr>
        <w:t xml:space="preserve"> </w:t>
      </w:r>
      <w:r>
        <w:rPr>
          <w:rFonts w:hint="eastAsia" w:ascii="仿宋_GB2312" w:hAnsi="Calibri" w:eastAsia="仿宋_GB2312" w:cs="仿宋"/>
          <w:kern w:val="0"/>
          <w:sz w:val="32"/>
          <w:szCs w:val="32"/>
        </w:rPr>
        <w:t>指机关事业单位实施医疗保险制度由单位缴纳的公务员医疗补助费支出。</w:t>
      </w:r>
    </w:p>
    <w:p>
      <w:pPr>
        <w:rPr>
          <w:rFonts w:ascii="仿宋_GB2312" w:hAnsi="Calibri" w:eastAsia="仿宋_GB2312" w:cs="仿宋"/>
          <w:kern w:val="0"/>
          <w:sz w:val="32"/>
          <w:szCs w:val="32"/>
        </w:rPr>
      </w:pPr>
      <w:r>
        <w:rPr>
          <w:rStyle w:val="18"/>
          <w:rFonts w:hint="eastAsia" w:ascii="仿宋" w:hAnsi="仿宋" w:eastAsia="仿宋"/>
          <w:b w:val="0"/>
          <w:bCs/>
          <w:sz w:val="32"/>
          <w:szCs w:val="32"/>
        </w:rPr>
        <w:t xml:space="preserve">    7</w:t>
      </w:r>
      <w:r>
        <w:rPr>
          <w:rStyle w:val="18"/>
          <w:rFonts w:ascii="仿宋" w:hAnsi="仿宋" w:eastAsia="仿宋"/>
          <w:b w:val="0"/>
          <w:bCs/>
          <w:sz w:val="32"/>
          <w:szCs w:val="32"/>
        </w:rPr>
        <w:t>.</w:t>
      </w:r>
      <w:r>
        <w:rPr>
          <w:rFonts w:hint="eastAsia" w:ascii="仿宋" w:hAnsi="仿宋" w:eastAsia="仿宋"/>
          <w:bCs/>
          <w:sz w:val="32"/>
          <w:szCs w:val="32"/>
        </w:rPr>
        <w:t>卫生健康</w:t>
      </w:r>
      <w:r>
        <w:rPr>
          <w:rStyle w:val="18"/>
          <w:rFonts w:hint="eastAsia" w:ascii="仿宋" w:hAnsi="仿宋" w:eastAsia="仿宋"/>
          <w:b w:val="0"/>
          <w:bCs/>
          <w:sz w:val="32"/>
          <w:szCs w:val="32"/>
        </w:rPr>
        <w:t>（类）行政事业单位医疗（款）其他行政事业单位医疗支出（项）</w:t>
      </w:r>
      <w:r>
        <w:rPr>
          <w:rStyle w:val="18"/>
          <w:rFonts w:ascii="仿宋" w:hAnsi="仿宋" w:eastAsia="仿宋"/>
          <w:b w:val="0"/>
          <w:bCs/>
          <w:sz w:val="32"/>
          <w:szCs w:val="32"/>
        </w:rPr>
        <w:t>:</w:t>
      </w:r>
      <w:r>
        <w:rPr>
          <w:rFonts w:hint="eastAsia" w:ascii="仿宋_GB2312" w:hAnsi="Calibri" w:eastAsia="仿宋_GB2312" w:cs="仿宋"/>
          <w:kern w:val="0"/>
          <w:sz w:val="32"/>
          <w:szCs w:val="32"/>
        </w:rPr>
        <w:t xml:space="preserve"> 指机关事业单位实施医疗保险制度由单位缴纳的公务员补充医疗保险费支出。</w:t>
      </w:r>
    </w:p>
    <w:p>
      <w:pPr>
        <w:rPr>
          <w:rFonts w:ascii="仿宋_GB2312" w:hAnsi="Calibri" w:eastAsia="仿宋_GB2312" w:cs="仿宋"/>
          <w:kern w:val="0"/>
          <w:sz w:val="32"/>
          <w:szCs w:val="32"/>
        </w:rPr>
      </w:pPr>
      <w:r>
        <w:rPr>
          <w:rFonts w:hint="eastAsia" w:ascii="仿宋_GB2312" w:hAnsi="Calibri" w:eastAsia="仿宋_GB2312" w:cs="仿宋"/>
          <w:kern w:val="0"/>
          <w:sz w:val="32"/>
          <w:szCs w:val="32"/>
        </w:rPr>
        <w:t xml:space="preserve">    </w:t>
      </w:r>
      <w:bookmarkStart w:id="65" w:name="_Toc176511742"/>
      <w:r>
        <w:rPr>
          <w:rFonts w:hint="eastAsia" w:ascii="仿宋_GB2312" w:hAnsi="Calibri" w:eastAsia="仿宋_GB2312" w:cs="仿宋"/>
          <w:kern w:val="0"/>
          <w:sz w:val="32"/>
          <w:szCs w:val="32"/>
        </w:rPr>
        <w:t>8.交通运输支出（类）公路水路运输（款）行政运行（项）：指交通运输方面的行政单位（包括实行公务员法管理的事业单位）的基本支出。</w:t>
      </w:r>
      <w:bookmarkEnd w:id="65"/>
    </w:p>
    <w:p>
      <w:pPr>
        <w:rPr>
          <w:rFonts w:ascii="仿宋_GB2312" w:hAnsi="Calibri" w:eastAsia="仿宋_GB2312" w:cs="仿宋"/>
          <w:kern w:val="0"/>
          <w:sz w:val="32"/>
          <w:szCs w:val="32"/>
        </w:rPr>
      </w:pPr>
      <w:r>
        <w:rPr>
          <w:rFonts w:hint="eastAsia" w:ascii="仿宋_GB2312" w:hAnsi="Calibri" w:eastAsia="仿宋_GB2312" w:cs="仿宋"/>
          <w:kern w:val="0"/>
          <w:sz w:val="32"/>
          <w:szCs w:val="32"/>
        </w:rPr>
        <w:t xml:space="preserve">    </w:t>
      </w:r>
      <w:bookmarkStart w:id="66" w:name="_Toc176511743"/>
      <w:r>
        <w:rPr>
          <w:rFonts w:hint="eastAsia" w:ascii="仿宋_GB2312" w:hAnsi="Calibri" w:eastAsia="仿宋_GB2312" w:cs="仿宋"/>
          <w:kern w:val="0"/>
          <w:sz w:val="32"/>
          <w:szCs w:val="32"/>
        </w:rPr>
        <w:t>9.交通运输支出（类）公路水路运输（款）海事管理（项）：指航务海事中心巡航、巡查工作经费等。</w:t>
      </w:r>
      <w:bookmarkEnd w:id="66"/>
    </w:p>
    <w:p>
      <w:pPr>
        <w:rPr>
          <w:rFonts w:ascii="仿宋_GB2312" w:hAnsi="Calibri" w:eastAsia="仿宋_GB2312" w:cs="仿宋"/>
          <w:kern w:val="0"/>
          <w:sz w:val="32"/>
          <w:szCs w:val="32"/>
        </w:rPr>
      </w:pPr>
      <w:r>
        <w:rPr>
          <w:rFonts w:hint="eastAsia" w:ascii="仿宋_GB2312" w:hAnsi="Calibri" w:eastAsia="仿宋_GB2312" w:cs="仿宋"/>
          <w:kern w:val="0"/>
          <w:sz w:val="32"/>
          <w:szCs w:val="32"/>
        </w:rPr>
        <w:t xml:space="preserve">    </w:t>
      </w:r>
      <w:bookmarkStart w:id="67" w:name="_Toc176511744"/>
      <w:r>
        <w:rPr>
          <w:rFonts w:hint="eastAsia" w:ascii="仿宋_GB2312" w:hAnsi="Calibri" w:eastAsia="仿宋_GB2312" w:cs="仿宋"/>
          <w:kern w:val="0"/>
          <w:sz w:val="32"/>
          <w:szCs w:val="32"/>
        </w:rPr>
        <w:t>10</w:t>
      </w:r>
      <w:r>
        <w:rPr>
          <w:rFonts w:ascii="仿宋_GB2312" w:hAnsi="Calibri" w:eastAsia="仿宋_GB2312" w:cs="仿宋"/>
          <w:kern w:val="0"/>
          <w:sz w:val="32"/>
          <w:szCs w:val="32"/>
        </w:rPr>
        <w:t xml:space="preserve">. </w:t>
      </w:r>
      <w:r>
        <w:rPr>
          <w:rFonts w:hint="eastAsia" w:ascii="仿宋_GB2312" w:hAnsi="Calibri" w:eastAsia="仿宋_GB2312" w:cs="仿宋"/>
          <w:kern w:val="0"/>
          <w:sz w:val="32"/>
          <w:szCs w:val="32"/>
        </w:rPr>
        <w:t>住房保障支出（类）住房改革支出（款）住房公积金（项）：指行政事业单位按人力资源和社会保障部、财政部规定的基本工资和津贴补贴以及规定比例为职工缴纳的住房公积金。</w:t>
      </w:r>
      <w:bookmarkEnd w:id="67"/>
    </w:p>
    <w:p>
      <w:pPr>
        <w:rPr>
          <w:rFonts w:ascii="仿宋_GB2312" w:hAnsi="Calibri" w:eastAsia="仿宋_GB2312" w:cs="仿宋"/>
          <w:kern w:val="0"/>
          <w:sz w:val="32"/>
          <w:szCs w:val="32"/>
        </w:rPr>
      </w:pPr>
      <w:r>
        <w:rPr>
          <w:rFonts w:hint="eastAsia" w:ascii="仿宋_GB2312" w:hAnsi="Calibri" w:eastAsia="仿宋_GB2312" w:cs="仿宋"/>
          <w:kern w:val="0"/>
          <w:sz w:val="32"/>
          <w:szCs w:val="32"/>
        </w:rPr>
        <w:t xml:space="preserve">    </w:t>
      </w:r>
      <w:bookmarkStart w:id="68" w:name="_Toc176511745"/>
      <w:r>
        <w:rPr>
          <w:rFonts w:hint="eastAsia" w:ascii="仿宋_GB2312" w:hAnsi="Calibri" w:eastAsia="仿宋_GB2312" w:cs="仿宋"/>
          <w:kern w:val="0"/>
          <w:sz w:val="32"/>
          <w:szCs w:val="32"/>
        </w:rPr>
        <w:t>11</w:t>
      </w:r>
      <w:r>
        <w:rPr>
          <w:rFonts w:ascii="仿宋_GB2312" w:hAnsi="Calibri" w:eastAsia="仿宋_GB2312" w:cs="仿宋"/>
          <w:kern w:val="0"/>
          <w:sz w:val="32"/>
          <w:szCs w:val="32"/>
        </w:rPr>
        <w:t xml:space="preserve">. </w:t>
      </w:r>
      <w:r>
        <w:rPr>
          <w:rFonts w:hint="eastAsia" w:ascii="仿宋_GB2312" w:hAnsi="Calibri" w:eastAsia="仿宋_GB2312" w:cs="仿宋"/>
          <w:kern w:val="0"/>
          <w:sz w:val="32"/>
          <w:szCs w:val="32"/>
        </w:rPr>
        <w:t>基本支出：指为保障机构正常运转、完成日常工作任务而发生的人员支出和公用支出。</w:t>
      </w:r>
      <w:bookmarkEnd w:id="68"/>
    </w:p>
    <w:p>
      <w:pPr>
        <w:rPr>
          <w:rFonts w:ascii="仿宋_GB2312" w:hAnsi="Calibri" w:eastAsia="仿宋_GB2312" w:cs="仿宋"/>
          <w:kern w:val="0"/>
          <w:sz w:val="32"/>
          <w:szCs w:val="32"/>
        </w:rPr>
      </w:pPr>
      <w:r>
        <w:rPr>
          <w:rFonts w:hint="eastAsia" w:ascii="仿宋_GB2312" w:hAnsi="Calibri" w:eastAsia="仿宋_GB2312" w:cs="仿宋"/>
          <w:kern w:val="0"/>
          <w:sz w:val="32"/>
          <w:szCs w:val="32"/>
        </w:rPr>
        <w:t xml:space="preserve">    </w:t>
      </w:r>
      <w:bookmarkStart w:id="69" w:name="_Toc176511746"/>
      <w:r>
        <w:rPr>
          <w:rFonts w:hint="eastAsia" w:ascii="仿宋_GB2312" w:hAnsi="Calibri" w:eastAsia="仿宋_GB2312" w:cs="仿宋"/>
          <w:kern w:val="0"/>
          <w:sz w:val="32"/>
          <w:szCs w:val="32"/>
        </w:rPr>
        <w:t>12.</w:t>
      </w:r>
      <w:r>
        <w:rPr>
          <w:rFonts w:ascii="仿宋_GB2312" w:hAnsi="Calibri" w:eastAsia="仿宋_GB2312" w:cs="仿宋"/>
          <w:kern w:val="0"/>
          <w:sz w:val="32"/>
          <w:szCs w:val="32"/>
        </w:rPr>
        <w:t xml:space="preserve"> </w:t>
      </w:r>
      <w:r>
        <w:rPr>
          <w:rFonts w:hint="eastAsia" w:ascii="仿宋_GB2312" w:hAnsi="Calibri" w:eastAsia="仿宋_GB2312" w:cs="仿宋"/>
          <w:kern w:val="0"/>
          <w:sz w:val="32"/>
          <w:szCs w:val="32"/>
        </w:rPr>
        <w:t>项目支出：指在基本支出之外为完成特定行政任务和事业发展目标所发生的支出。</w:t>
      </w:r>
      <w:bookmarkEnd w:id="69"/>
    </w:p>
    <w:p>
      <w:pPr>
        <w:rPr>
          <w:rFonts w:ascii="仿宋_GB2312" w:hAnsi="Calibri" w:eastAsia="仿宋_GB2312" w:cs="仿宋"/>
          <w:kern w:val="0"/>
          <w:sz w:val="32"/>
          <w:szCs w:val="32"/>
        </w:rPr>
      </w:pPr>
      <w:r>
        <w:rPr>
          <w:rFonts w:hint="eastAsia" w:ascii="仿宋_GB2312" w:hAnsi="Calibri" w:eastAsia="仿宋_GB2312" w:cs="仿宋"/>
          <w:kern w:val="0"/>
          <w:sz w:val="32"/>
          <w:szCs w:val="32"/>
        </w:rPr>
        <w:t xml:space="preserve">    </w:t>
      </w:r>
      <w:bookmarkStart w:id="70" w:name="_Toc176511747"/>
      <w:r>
        <w:rPr>
          <w:rFonts w:hint="eastAsia" w:ascii="仿宋_GB2312" w:hAnsi="Calibri" w:eastAsia="仿宋_GB2312" w:cs="仿宋"/>
          <w:kern w:val="0"/>
          <w:sz w:val="32"/>
          <w:szCs w:val="32"/>
        </w:rPr>
        <w:t>13. “三公”经费：指单位用财政拨款安排的因公出国（境）费、公务用车购置及运行费和公务接待费。其中，因公出国（境）费反映单位公务出国（境）的国际旅费、国外城市间交通费、住宿费、伙食费、培训费、公杂费等支出；</w:t>
      </w:r>
      <w:bookmarkEnd w:id="70"/>
      <w:bookmarkStart w:id="71" w:name="_Toc176511748"/>
    </w:p>
    <w:p>
      <w:pPr>
        <w:rPr>
          <w:rFonts w:ascii="仿宋_GB2312" w:eastAsia="仿宋_GB2312"/>
          <w:sz w:val="32"/>
          <w:szCs w:val="32"/>
        </w:rPr>
      </w:pPr>
      <w:r>
        <w:rPr>
          <w:rFonts w:hint="eastAsia" w:ascii="仿宋_GB2312" w:hAnsi="Calibri" w:eastAsia="仿宋_GB2312" w:cs="仿宋"/>
          <w:kern w:val="0"/>
          <w:sz w:val="32"/>
          <w:szCs w:val="32"/>
        </w:rPr>
        <w:t xml:space="preserve">    </w:t>
      </w:r>
      <w:r>
        <w:rPr>
          <w:rFonts w:hint="eastAsia" w:ascii="仿宋_GB2312" w:eastAsia="仿宋_GB2312"/>
          <w:sz w:val="32"/>
          <w:szCs w:val="32"/>
        </w:rPr>
        <w:t>14. 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End w:id="71"/>
    </w:p>
    <w:p>
      <w:pPr>
        <w:rPr>
          <w:rFonts w:ascii="仿宋_GB2312" w:eastAsia="仿宋_GB2312"/>
          <w:sz w:val="32"/>
          <w:szCs w:val="32"/>
        </w:rPr>
      </w:pPr>
    </w:p>
    <w:p>
      <w:pPr>
        <w:spacing w:line="600" w:lineRule="exact"/>
        <w:jc w:val="center"/>
        <w:rPr>
          <w:rStyle w:val="29"/>
          <w:rFonts w:eastAsia="黑体"/>
          <w:b w:val="0"/>
        </w:rPr>
      </w:pPr>
      <w:bookmarkStart w:id="72" w:name="_Toc15377226"/>
      <w:r>
        <w:rPr>
          <w:rFonts w:hint="eastAsia" w:eastAsia="仿宋_GB2312" w:cs="仿宋_GB2312"/>
          <w:sz w:val="32"/>
          <w:szCs w:val="32"/>
        </w:rPr>
        <w:br w:type="page"/>
      </w:r>
      <w:bookmarkStart w:id="73" w:name="_Toc15396614"/>
      <w:r>
        <w:rPr>
          <w:rFonts w:hint="eastAsia" w:eastAsia="黑体"/>
          <w:sz w:val="44"/>
          <w:szCs w:val="44"/>
        </w:rPr>
        <w:t>第四部分  附件</w:t>
      </w:r>
      <w:bookmarkEnd w:id="73"/>
    </w:p>
    <w:p>
      <w:pPr>
        <w:spacing w:line="600" w:lineRule="exact"/>
        <w:jc w:val="center"/>
        <w:outlineLvl w:val="0"/>
        <w:rPr>
          <w:rFonts w:ascii="仿宋_GB2312" w:hAnsi="黑体" w:eastAsia="仿宋_GB2312"/>
          <w:color w:val="FF0000"/>
          <w:sz w:val="44"/>
          <w:szCs w:val="44"/>
        </w:rPr>
      </w:pPr>
      <w:bookmarkStart w:id="74" w:name="_Toc176511750"/>
      <w:r>
        <w:rPr>
          <w:rFonts w:hint="eastAsia" w:ascii="仿宋_GB2312" w:eastAsia="仿宋_GB2312"/>
          <w:sz w:val="32"/>
          <w:szCs w:val="32"/>
        </w:rPr>
        <w:t>单位预算项目支出绩效自评表（2025年度）</w:t>
      </w:r>
      <w:bookmarkEnd w:id="74"/>
    </w:p>
    <w:p>
      <w:pPr>
        <w:spacing w:line="572" w:lineRule="exact"/>
        <w:jc w:val="left"/>
        <w:outlineLvl w:val="0"/>
        <w:rPr>
          <w:rFonts w:eastAsia="黑体" w:cs="黑体"/>
          <w:color w:val="FF0000"/>
          <w:sz w:val="32"/>
          <w:szCs w:val="32"/>
        </w:rPr>
      </w:pPr>
    </w:p>
    <w:p>
      <w:pPr>
        <w:widowControl/>
        <w:jc w:val="center"/>
        <w:rPr>
          <w:rFonts w:eastAsia="仿宋"/>
        </w:rPr>
      </w:pPr>
      <w:bookmarkStart w:id="75" w:name="_Toc15396618"/>
      <w:r>
        <w:rPr>
          <w:rFonts w:hint="eastAsia" w:eastAsia="黑体"/>
          <w:sz w:val="44"/>
          <w:szCs w:val="44"/>
        </w:rPr>
        <w:t>第</w:t>
      </w:r>
      <w:r>
        <w:rPr>
          <w:rStyle w:val="29"/>
          <w:rFonts w:hint="eastAsia" w:eastAsia="黑体"/>
          <w:b w:val="0"/>
        </w:rPr>
        <w:t>五部分 附表</w:t>
      </w:r>
      <w:bookmarkEnd w:id="72"/>
      <w:bookmarkEnd w:id="75"/>
      <w:bookmarkStart w:id="76" w:name="_Toc15396619"/>
    </w:p>
    <w:p>
      <w:pPr>
        <w:pStyle w:val="15"/>
        <w:adjustRightInd w:val="0"/>
        <w:snapToGrid w:val="0"/>
        <w:spacing w:line="560" w:lineRule="exact"/>
        <w:jc w:val="left"/>
        <w:rPr>
          <w:rFonts w:eastAsia="仿宋_GB2312" w:cs="仿宋_GB2312"/>
          <w:sz w:val="32"/>
          <w:szCs w:val="32"/>
        </w:rPr>
      </w:pPr>
    </w:p>
    <w:p>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76"/>
    </w:p>
    <w:p>
      <w:pPr>
        <w:pStyle w:val="15"/>
        <w:adjustRightInd w:val="0"/>
        <w:snapToGrid w:val="0"/>
        <w:spacing w:line="560" w:lineRule="exact"/>
        <w:jc w:val="left"/>
        <w:rPr>
          <w:rFonts w:eastAsia="仿宋_GB2312" w:cs="仿宋_GB2312"/>
          <w:sz w:val="32"/>
          <w:szCs w:val="32"/>
        </w:rPr>
      </w:pPr>
      <w:bookmarkStart w:id="77" w:name="_Toc15396620"/>
      <w:r>
        <w:rPr>
          <w:rFonts w:hint="eastAsia" w:eastAsia="仿宋_GB2312" w:cs="仿宋_GB2312"/>
          <w:sz w:val="32"/>
          <w:szCs w:val="32"/>
        </w:rPr>
        <w:t>二、收入决算表</w:t>
      </w:r>
      <w:bookmarkEnd w:id="77"/>
    </w:p>
    <w:p>
      <w:pPr>
        <w:pStyle w:val="15"/>
        <w:adjustRightInd w:val="0"/>
        <w:snapToGrid w:val="0"/>
        <w:spacing w:line="560" w:lineRule="exact"/>
        <w:jc w:val="left"/>
        <w:rPr>
          <w:rFonts w:eastAsia="仿宋_GB2312" w:cs="仿宋_GB2312"/>
          <w:sz w:val="32"/>
          <w:szCs w:val="32"/>
        </w:rPr>
      </w:pPr>
      <w:bookmarkStart w:id="78" w:name="_Toc15396621"/>
      <w:r>
        <w:rPr>
          <w:rFonts w:hint="eastAsia" w:eastAsia="仿宋_GB2312" w:cs="仿宋_GB2312"/>
          <w:sz w:val="32"/>
          <w:szCs w:val="32"/>
        </w:rPr>
        <w:t>三、支出决算表</w:t>
      </w:r>
      <w:bookmarkEnd w:id="78"/>
    </w:p>
    <w:p>
      <w:pPr>
        <w:pStyle w:val="15"/>
        <w:adjustRightInd w:val="0"/>
        <w:snapToGrid w:val="0"/>
        <w:spacing w:line="560" w:lineRule="exact"/>
        <w:jc w:val="left"/>
        <w:rPr>
          <w:rFonts w:eastAsia="仿宋_GB2312" w:cs="仿宋_GB2312"/>
          <w:sz w:val="32"/>
          <w:szCs w:val="32"/>
        </w:rPr>
      </w:pPr>
      <w:bookmarkStart w:id="79" w:name="_Toc15396622"/>
      <w:r>
        <w:rPr>
          <w:rFonts w:hint="eastAsia" w:eastAsia="仿宋_GB2312" w:cs="仿宋_GB2312"/>
          <w:sz w:val="32"/>
          <w:szCs w:val="32"/>
        </w:rPr>
        <w:t>四、财政拨款收入支出决算总表</w:t>
      </w:r>
      <w:bookmarkEnd w:id="79"/>
    </w:p>
    <w:p>
      <w:pPr>
        <w:pStyle w:val="15"/>
        <w:adjustRightInd w:val="0"/>
        <w:snapToGrid w:val="0"/>
        <w:spacing w:line="560" w:lineRule="exact"/>
        <w:jc w:val="left"/>
        <w:rPr>
          <w:rFonts w:eastAsia="仿宋_GB2312" w:cs="仿宋_GB2312"/>
          <w:sz w:val="32"/>
          <w:szCs w:val="32"/>
        </w:rPr>
      </w:pPr>
      <w:bookmarkStart w:id="80" w:name="_Toc15396623"/>
      <w:r>
        <w:rPr>
          <w:rFonts w:hint="eastAsia" w:eastAsia="仿宋_GB2312" w:cs="仿宋_GB2312"/>
          <w:sz w:val="32"/>
          <w:szCs w:val="32"/>
        </w:rPr>
        <w:t>五、财政拨款支出决算明细表</w:t>
      </w:r>
      <w:bookmarkEnd w:id="80"/>
      <w:bookmarkStart w:id="81" w:name="_Toc15396624"/>
    </w:p>
    <w:p>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81"/>
    </w:p>
    <w:p>
      <w:pPr>
        <w:pStyle w:val="15"/>
        <w:adjustRightInd w:val="0"/>
        <w:snapToGrid w:val="0"/>
        <w:spacing w:line="560" w:lineRule="exact"/>
        <w:jc w:val="left"/>
        <w:rPr>
          <w:rFonts w:eastAsia="仿宋_GB2312" w:cs="仿宋_GB2312"/>
          <w:sz w:val="32"/>
          <w:szCs w:val="32"/>
        </w:rPr>
      </w:pPr>
      <w:bookmarkStart w:id="82" w:name="_Toc15396625"/>
      <w:r>
        <w:rPr>
          <w:rFonts w:hint="eastAsia" w:eastAsia="仿宋_GB2312" w:cs="仿宋_GB2312"/>
          <w:sz w:val="32"/>
          <w:szCs w:val="32"/>
        </w:rPr>
        <w:t>七、一般公共预算财政拨款支出决算明细表</w:t>
      </w:r>
      <w:bookmarkEnd w:id="82"/>
    </w:p>
    <w:p>
      <w:pPr>
        <w:pStyle w:val="15"/>
        <w:adjustRightInd w:val="0"/>
        <w:snapToGrid w:val="0"/>
        <w:spacing w:line="560" w:lineRule="exact"/>
        <w:jc w:val="left"/>
        <w:rPr>
          <w:rFonts w:eastAsia="仿宋_GB2312" w:cs="仿宋_GB2312"/>
          <w:sz w:val="32"/>
          <w:szCs w:val="32"/>
        </w:rPr>
      </w:pPr>
      <w:bookmarkStart w:id="83" w:name="_Toc15396626"/>
      <w:r>
        <w:rPr>
          <w:rFonts w:hint="eastAsia" w:eastAsia="仿宋_GB2312" w:cs="仿宋_GB2312"/>
          <w:sz w:val="32"/>
          <w:szCs w:val="32"/>
        </w:rPr>
        <w:t>八、一般公共预算财政拨款基本支出决算表</w:t>
      </w:r>
      <w:bookmarkEnd w:id="83"/>
    </w:p>
    <w:p>
      <w:pPr>
        <w:pStyle w:val="15"/>
        <w:adjustRightInd w:val="0"/>
        <w:snapToGrid w:val="0"/>
        <w:spacing w:line="560" w:lineRule="exact"/>
        <w:jc w:val="left"/>
        <w:rPr>
          <w:rFonts w:eastAsia="仿宋_GB2312" w:cs="仿宋_GB2312"/>
          <w:sz w:val="32"/>
          <w:szCs w:val="32"/>
        </w:rPr>
      </w:pPr>
      <w:bookmarkStart w:id="84" w:name="_Toc15396627"/>
      <w:r>
        <w:rPr>
          <w:rFonts w:hint="eastAsia" w:eastAsia="仿宋_GB2312" w:cs="仿宋_GB2312"/>
          <w:sz w:val="32"/>
          <w:szCs w:val="32"/>
        </w:rPr>
        <w:t>九、一般公共预算财政拨款项目支出决算表</w:t>
      </w:r>
      <w:bookmarkEnd w:id="84"/>
    </w:p>
    <w:p>
      <w:pPr>
        <w:pStyle w:val="15"/>
        <w:adjustRightInd w:val="0"/>
        <w:snapToGrid w:val="0"/>
        <w:spacing w:line="560" w:lineRule="exact"/>
        <w:jc w:val="left"/>
        <w:rPr>
          <w:rFonts w:eastAsia="仿宋_GB2312" w:cs="仿宋_GB2312"/>
          <w:sz w:val="32"/>
          <w:szCs w:val="32"/>
        </w:rPr>
      </w:pPr>
      <w:bookmarkStart w:id="85" w:name="_Toc15396628"/>
      <w:r>
        <w:rPr>
          <w:rFonts w:hint="eastAsia" w:eastAsia="仿宋_GB2312" w:cs="仿宋_GB2312"/>
          <w:sz w:val="32"/>
          <w:szCs w:val="32"/>
        </w:rPr>
        <w:t>十、</w:t>
      </w:r>
      <w:bookmarkEnd w:id="85"/>
      <w:r>
        <w:rPr>
          <w:rFonts w:hint="eastAsia" w:eastAsia="仿宋_GB2312" w:cs="仿宋_GB2312"/>
          <w:sz w:val="32"/>
          <w:szCs w:val="32"/>
        </w:rPr>
        <w:t>政府性基金预算财政拨款收入支出决算表</w:t>
      </w:r>
    </w:p>
    <w:p>
      <w:pPr>
        <w:pStyle w:val="15"/>
        <w:adjustRightInd w:val="0"/>
        <w:snapToGrid w:val="0"/>
        <w:spacing w:line="560" w:lineRule="exact"/>
        <w:jc w:val="left"/>
        <w:rPr>
          <w:rFonts w:eastAsia="仿宋_GB2312" w:cs="仿宋_GB2312"/>
          <w:sz w:val="32"/>
          <w:szCs w:val="32"/>
        </w:rPr>
      </w:pPr>
      <w:bookmarkStart w:id="86" w:name="_Toc15396629"/>
      <w:r>
        <w:rPr>
          <w:rFonts w:hint="eastAsia" w:eastAsia="仿宋_GB2312" w:cs="仿宋_GB2312"/>
          <w:sz w:val="32"/>
          <w:szCs w:val="32"/>
        </w:rPr>
        <w:t>十一、</w:t>
      </w:r>
      <w:bookmarkEnd w:id="86"/>
      <w:r>
        <w:rPr>
          <w:rFonts w:hint="eastAsia" w:eastAsia="仿宋_GB2312" w:cs="仿宋_GB2312"/>
          <w:sz w:val="32"/>
          <w:szCs w:val="32"/>
        </w:rPr>
        <w:t>国有资本经营预算财政拨款收入支出决算表</w:t>
      </w:r>
    </w:p>
    <w:p>
      <w:pPr>
        <w:pStyle w:val="15"/>
        <w:adjustRightInd w:val="0"/>
        <w:snapToGrid w:val="0"/>
        <w:spacing w:line="560" w:lineRule="exact"/>
        <w:jc w:val="left"/>
        <w:rPr>
          <w:rFonts w:eastAsia="仿宋_GB2312" w:cs="仿宋_GB2312"/>
          <w:sz w:val="32"/>
          <w:szCs w:val="32"/>
        </w:rPr>
      </w:pPr>
      <w:bookmarkStart w:id="87" w:name="_Toc15396630"/>
      <w:r>
        <w:rPr>
          <w:rFonts w:hint="eastAsia" w:eastAsia="仿宋_GB2312" w:cs="仿宋_GB2312"/>
          <w:sz w:val="32"/>
          <w:szCs w:val="32"/>
        </w:rPr>
        <w:t>十二、</w:t>
      </w:r>
      <w:bookmarkEnd w:id="87"/>
      <w:r>
        <w:rPr>
          <w:rFonts w:hint="eastAsia" w:eastAsia="仿宋_GB2312" w:cs="仿宋_GB2312"/>
          <w:sz w:val="32"/>
          <w:szCs w:val="32"/>
        </w:rPr>
        <w:t>国有资本经营预算财政拨款支出决算表</w:t>
      </w:r>
    </w:p>
    <w:p>
      <w:pPr>
        <w:pStyle w:val="15"/>
        <w:adjustRightInd w:val="0"/>
        <w:snapToGrid w:val="0"/>
        <w:spacing w:line="560" w:lineRule="exact"/>
        <w:jc w:val="left"/>
        <w:rPr>
          <w:rFonts w:eastAsia="仿宋_GB2312" w:cs="仿宋_GB2312"/>
          <w:sz w:val="32"/>
          <w:szCs w:val="32"/>
        </w:rPr>
      </w:pPr>
      <w:bookmarkStart w:id="88" w:name="_Toc15396631"/>
      <w:r>
        <w:rPr>
          <w:rFonts w:hint="eastAsia" w:eastAsia="仿宋_GB2312" w:cs="仿宋_GB2312"/>
          <w:sz w:val="32"/>
          <w:szCs w:val="32"/>
        </w:rPr>
        <w:t>十三、</w:t>
      </w:r>
      <w:bookmarkEnd w:id="88"/>
      <w:r>
        <w:rPr>
          <w:rFonts w:hint="eastAsia" w:eastAsia="仿宋_GB2312" w:cs="仿宋_GB2312"/>
          <w:sz w:val="32"/>
          <w:szCs w:val="32"/>
        </w:rPr>
        <w:t>财政拨款“三公”经费支出决算表</w:t>
      </w:r>
    </w:p>
    <w:p/>
    <w:sectPr>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
    <w:altName w:val="Times New Roman"/>
    <w:panose1 w:val="00000000000000000000"/>
    <w:charset w:val="00"/>
    <w:family w:val="roman"/>
    <w:pitch w:val="default"/>
    <w:sig w:usb0="00000000" w:usb1="00000000" w:usb2="00000000" w:usb3="00000000" w:csb0="00000000" w:csb1="00000000"/>
  </w:font>
  <w:font w:name="Courier New">
    <w:panose1 w:val="02070309020205020404"/>
    <w:charset w:val="00"/>
    <w:family w:val="modern"/>
    <w:pitch w:val="default"/>
    <w:sig w:usb0="E0002AFF" w:usb1="C0007843" w:usb2="00000009" w:usb3="00000000" w:csb0="400001FF" w:csb1="FFFF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4559928"/>
      <w:docPartObj>
        <w:docPartGallery w:val="AutoText"/>
      </w:docPartObj>
    </w:sdtPr>
    <w:sdtContent>
      <w:p>
        <w:pPr>
          <w:pStyle w:val="11"/>
          <w:jc w:val="center"/>
        </w:pPr>
        <w:r>
          <w:fldChar w:fldCharType="begin"/>
        </w:r>
        <w:r>
          <w:instrText xml:space="preserve"> PAGE   \* MERGEFORMAT </w:instrText>
        </w:r>
        <w:r>
          <w:fldChar w:fldCharType="separate"/>
        </w:r>
        <w:r>
          <w:rPr>
            <w:lang w:val="zh-CN"/>
          </w:rPr>
          <w:t>-</w:t>
        </w:r>
        <w:r>
          <w:t xml:space="preserve"> 14 -</w:t>
        </w:r>
        <w:r>
          <w:fldChar w:fldCharType="end"/>
        </w:r>
      </w:p>
    </w:sdtContent>
  </w:sdt>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4559923"/>
      <w:docPartObj>
        <w:docPartGallery w:val="AutoText"/>
      </w:docPartObj>
    </w:sdtPr>
    <w:sdtContent>
      <w:p>
        <w:pPr>
          <w:pStyle w:val="11"/>
          <w:jc w:val="center"/>
        </w:pPr>
        <w:r>
          <w:fldChar w:fldCharType="begin"/>
        </w:r>
        <w:r>
          <w:instrText xml:space="preserve"> PAGE   \* MERGEFORMAT </w:instrText>
        </w:r>
        <w:r>
          <w:fldChar w:fldCharType="separate"/>
        </w:r>
        <w:r>
          <w:rPr>
            <w:lang w:val="zh-CN"/>
          </w:rPr>
          <w:t>-</w:t>
        </w:r>
        <w:r>
          <w:t xml:space="preserve"> 1 -</w:t>
        </w:r>
        <w:r>
          <w:fldChar w:fldCharType="end"/>
        </w:r>
      </w:p>
    </w:sdtContent>
  </w:sdt>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222C6"/>
    <w:rsid w:val="0002549F"/>
    <w:rsid w:val="000468DB"/>
    <w:rsid w:val="00050866"/>
    <w:rsid w:val="0006423F"/>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23F30"/>
    <w:rsid w:val="0012640F"/>
    <w:rsid w:val="00142216"/>
    <w:rsid w:val="00144D6A"/>
    <w:rsid w:val="0014729F"/>
    <w:rsid w:val="00152A6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280"/>
    <w:rsid w:val="00295495"/>
    <w:rsid w:val="002A31DE"/>
    <w:rsid w:val="002B2613"/>
    <w:rsid w:val="002C28F8"/>
    <w:rsid w:val="002D5B30"/>
    <w:rsid w:val="002D6D05"/>
    <w:rsid w:val="002F1818"/>
    <w:rsid w:val="002F567B"/>
    <w:rsid w:val="003216A9"/>
    <w:rsid w:val="00335A74"/>
    <w:rsid w:val="00357E98"/>
    <w:rsid w:val="0036561B"/>
    <w:rsid w:val="0037013F"/>
    <w:rsid w:val="00377DF6"/>
    <w:rsid w:val="00380C92"/>
    <w:rsid w:val="003A364D"/>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4770"/>
    <w:rsid w:val="00437085"/>
    <w:rsid w:val="00443880"/>
    <w:rsid w:val="004464F4"/>
    <w:rsid w:val="00471401"/>
    <w:rsid w:val="00473F31"/>
    <w:rsid w:val="0048263A"/>
    <w:rsid w:val="00487E5D"/>
    <w:rsid w:val="004A711F"/>
    <w:rsid w:val="004B199D"/>
    <w:rsid w:val="004B4690"/>
    <w:rsid w:val="004E0A2D"/>
    <w:rsid w:val="004E206B"/>
    <w:rsid w:val="004E6DF7"/>
    <w:rsid w:val="004F0FBD"/>
    <w:rsid w:val="004F49BA"/>
    <w:rsid w:val="00505A47"/>
    <w:rsid w:val="00511B5B"/>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732F"/>
    <w:rsid w:val="0066343B"/>
    <w:rsid w:val="00664777"/>
    <w:rsid w:val="006701D6"/>
    <w:rsid w:val="006748A4"/>
    <w:rsid w:val="00681A31"/>
    <w:rsid w:val="00683E73"/>
    <w:rsid w:val="00695E35"/>
    <w:rsid w:val="006A3141"/>
    <w:rsid w:val="006A5E34"/>
    <w:rsid w:val="006B1EC5"/>
    <w:rsid w:val="006B2422"/>
    <w:rsid w:val="006B2B9A"/>
    <w:rsid w:val="006B6C27"/>
    <w:rsid w:val="006C1937"/>
    <w:rsid w:val="006C2372"/>
    <w:rsid w:val="006C4ECD"/>
    <w:rsid w:val="006C6052"/>
    <w:rsid w:val="006D11C2"/>
    <w:rsid w:val="006F020C"/>
    <w:rsid w:val="007127B7"/>
    <w:rsid w:val="00713FC4"/>
    <w:rsid w:val="0071798E"/>
    <w:rsid w:val="007416B6"/>
    <w:rsid w:val="00746F48"/>
    <w:rsid w:val="007471BA"/>
    <w:rsid w:val="0075404D"/>
    <w:rsid w:val="0076182A"/>
    <w:rsid w:val="00767B7E"/>
    <w:rsid w:val="007770C3"/>
    <w:rsid w:val="00784D24"/>
    <w:rsid w:val="00785FBA"/>
    <w:rsid w:val="00786E4A"/>
    <w:rsid w:val="007875EB"/>
    <w:rsid w:val="0079426B"/>
    <w:rsid w:val="007C3455"/>
    <w:rsid w:val="007D1682"/>
    <w:rsid w:val="007D312A"/>
    <w:rsid w:val="007D3DC8"/>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2691"/>
    <w:rsid w:val="00853718"/>
    <w:rsid w:val="00855221"/>
    <w:rsid w:val="00860645"/>
    <w:rsid w:val="00871F71"/>
    <w:rsid w:val="00872FD8"/>
    <w:rsid w:val="00885AF4"/>
    <w:rsid w:val="008939CD"/>
    <w:rsid w:val="008A338D"/>
    <w:rsid w:val="008B768C"/>
    <w:rsid w:val="008C4DB1"/>
    <w:rsid w:val="008C4EAF"/>
    <w:rsid w:val="008C5176"/>
    <w:rsid w:val="008C7FD0"/>
    <w:rsid w:val="008E1DE7"/>
    <w:rsid w:val="008E707C"/>
    <w:rsid w:val="00900B08"/>
    <w:rsid w:val="00902155"/>
    <w:rsid w:val="00902FA3"/>
    <w:rsid w:val="009230A1"/>
    <w:rsid w:val="00923564"/>
    <w:rsid w:val="0092392E"/>
    <w:rsid w:val="00924574"/>
    <w:rsid w:val="00926986"/>
    <w:rsid w:val="009315F9"/>
    <w:rsid w:val="00933499"/>
    <w:rsid w:val="00935C98"/>
    <w:rsid w:val="00944F59"/>
    <w:rsid w:val="00946945"/>
    <w:rsid w:val="00951248"/>
    <w:rsid w:val="0095152F"/>
    <w:rsid w:val="00954C49"/>
    <w:rsid w:val="00955E37"/>
    <w:rsid w:val="0097099F"/>
    <w:rsid w:val="00971997"/>
    <w:rsid w:val="00971FFC"/>
    <w:rsid w:val="0098660A"/>
    <w:rsid w:val="009931C3"/>
    <w:rsid w:val="009A26C1"/>
    <w:rsid w:val="009B2C43"/>
    <w:rsid w:val="009B4EAE"/>
    <w:rsid w:val="009B7573"/>
    <w:rsid w:val="009C0AAE"/>
    <w:rsid w:val="009C22F4"/>
    <w:rsid w:val="009C2A4B"/>
    <w:rsid w:val="009C2AB7"/>
    <w:rsid w:val="009C2E98"/>
    <w:rsid w:val="009D3447"/>
    <w:rsid w:val="009D4711"/>
    <w:rsid w:val="009E5096"/>
    <w:rsid w:val="009F1185"/>
    <w:rsid w:val="009F18CD"/>
    <w:rsid w:val="009F2A13"/>
    <w:rsid w:val="009F5FA7"/>
    <w:rsid w:val="009F7527"/>
    <w:rsid w:val="00A04EB0"/>
    <w:rsid w:val="00A12C15"/>
    <w:rsid w:val="00A13CC1"/>
    <w:rsid w:val="00A16847"/>
    <w:rsid w:val="00A237D8"/>
    <w:rsid w:val="00A268C4"/>
    <w:rsid w:val="00A307CD"/>
    <w:rsid w:val="00A331C8"/>
    <w:rsid w:val="00A40A00"/>
    <w:rsid w:val="00A4142F"/>
    <w:rsid w:val="00A422EB"/>
    <w:rsid w:val="00A45BB7"/>
    <w:rsid w:val="00A47BAB"/>
    <w:rsid w:val="00A56DF2"/>
    <w:rsid w:val="00A56E6E"/>
    <w:rsid w:val="00A67AB5"/>
    <w:rsid w:val="00A733B2"/>
    <w:rsid w:val="00A741C2"/>
    <w:rsid w:val="00A91760"/>
    <w:rsid w:val="00A93B00"/>
    <w:rsid w:val="00A93C21"/>
    <w:rsid w:val="00AB64C9"/>
    <w:rsid w:val="00AC3C6A"/>
    <w:rsid w:val="00AD3F79"/>
    <w:rsid w:val="00AD5620"/>
    <w:rsid w:val="00AD656B"/>
    <w:rsid w:val="00AD7C1B"/>
    <w:rsid w:val="00AE16BA"/>
    <w:rsid w:val="00AE1EBE"/>
    <w:rsid w:val="00AF1700"/>
    <w:rsid w:val="00AF46E5"/>
    <w:rsid w:val="00B03C9D"/>
    <w:rsid w:val="00B060AE"/>
    <w:rsid w:val="00B10517"/>
    <w:rsid w:val="00B10D06"/>
    <w:rsid w:val="00B14E76"/>
    <w:rsid w:val="00B161B8"/>
    <w:rsid w:val="00B2048C"/>
    <w:rsid w:val="00B252BC"/>
    <w:rsid w:val="00B310B9"/>
    <w:rsid w:val="00B35F3F"/>
    <w:rsid w:val="00B36CBB"/>
    <w:rsid w:val="00B373E8"/>
    <w:rsid w:val="00B37CA0"/>
    <w:rsid w:val="00B401C6"/>
    <w:rsid w:val="00B425E0"/>
    <w:rsid w:val="00B440AA"/>
    <w:rsid w:val="00B44B70"/>
    <w:rsid w:val="00B453D7"/>
    <w:rsid w:val="00B47894"/>
    <w:rsid w:val="00B53C56"/>
    <w:rsid w:val="00B57DAF"/>
    <w:rsid w:val="00B77EA6"/>
    <w:rsid w:val="00B81598"/>
    <w:rsid w:val="00B841F1"/>
    <w:rsid w:val="00B944D6"/>
    <w:rsid w:val="00BB4DF0"/>
    <w:rsid w:val="00BC289F"/>
    <w:rsid w:val="00BC2D50"/>
    <w:rsid w:val="00BC5361"/>
    <w:rsid w:val="00BC5460"/>
    <w:rsid w:val="00BC6B50"/>
    <w:rsid w:val="00BD0E25"/>
    <w:rsid w:val="00BE6301"/>
    <w:rsid w:val="00BF3235"/>
    <w:rsid w:val="00BF5BD6"/>
    <w:rsid w:val="00C03449"/>
    <w:rsid w:val="00C03E31"/>
    <w:rsid w:val="00C2001D"/>
    <w:rsid w:val="00C224AE"/>
    <w:rsid w:val="00C33E72"/>
    <w:rsid w:val="00C354B2"/>
    <w:rsid w:val="00C35554"/>
    <w:rsid w:val="00C42709"/>
    <w:rsid w:val="00C533CC"/>
    <w:rsid w:val="00C5751C"/>
    <w:rsid w:val="00C61BFC"/>
    <w:rsid w:val="00C62B85"/>
    <w:rsid w:val="00C65438"/>
    <w:rsid w:val="00C74C7E"/>
    <w:rsid w:val="00C87FD8"/>
    <w:rsid w:val="00C91381"/>
    <w:rsid w:val="00C91CBB"/>
    <w:rsid w:val="00CA27AB"/>
    <w:rsid w:val="00CB4E70"/>
    <w:rsid w:val="00CC09B6"/>
    <w:rsid w:val="00CC5E4D"/>
    <w:rsid w:val="00CC666F"/>
    <w:rsid w:val="00CD1E3F"/>
    <w:rsid w:val="00CE44F6"/>
    <w:rsid w:val="00CE47DB"/>
    <w:rsid w:val="00CE49DA"/>
    <w:rsid w:val="00CE70BB"/>
    <w:rsid w:val="00CE7B61"/>
    <w:rsid w:val="00D00095"/>
    <w:rsid w:val="00D114F0"/>
    <w:rsid w:val="00D20620"/>
    <w:rsid w:val="00D254F7"/>
    <w:rsid w:val="00D26091"/>
    <w:rsid w:val="00D2685C"/>
    <w:rsid w:val="00D34E7C"/>
    <w:rsid w:val="00D35489"/>
    <w:rsid w:val="00D36AFE"/>
    <w:rsid w:val="00D47AD5"/>
    <w:rsid w:val="00D51276"/>
    <w:rsid w:val="00D7035F"/>
    <w:rsid w:val="00D8196D"/>
    <w:rsid w:val="00D8376F"/>
    <w:rsid w:val="00DA634F"/>
    <w:rsid w:val="00DA65AC"/>
    <w:rsid w:val="00DB1913"/>
    <w:rsid w:val="00DC410D"/>
    <w:rsid w:val="00DC4316"/>
    <w:rsid w:val="00DC5A81"/>
    <w:rsid w:val="00DC68CA"/>
    <w:rsid w:val="00DC7CBA"/>
    <w:rsid w:val="00DD73B7"/>
    <w:rsid w:val="00DF27FD"/>
    <w:rsid w:val="00DF28BC"/>
    <w:rsid w:val="00DF34B9"/>
    <w:rsid w:val="00DF7717"/>
    <w:rsid w:val="00E01053"/>
    <w:rsid w:val="00E07ACF"/>
    <w:rsid w:val="00E10EE3"/>
    <w:rsid w:val="00E222F7"/>
    <w:rsid w:val="00E331A1"/>
    <w:rsid w:val="00E33202"/>
    <w:rsid w:val="00E336A9"/>
    <w:rsid w:val="00E35870"/>
    <w:rsid w:val="00E472B1"/>
    <w:rsid w:val="00E50624"/>
    <w:rsid w:val="00E54633"/>
    <w:rsid w:val="00E568DF"/>
    <w:rsid w:val="00E57267"/>
    <w:rsid w:val="00E64269"/>
    <w:rsid w:val="00E82267"/>
    <w:rsid w:val="00E853CE"/>
    <w:rsid w:val="00E867B6"/>
    <w:rsid w:val="00E94ABB"/>
    <w:rsid w:val="00EA010F"/>
    <w:rsid w:val="00EC10F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C37F9"/>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EFFADC7"/>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link w:val="37"/>
    <w:qFormat/>
    <w:uiPriority w:val="0"/>
    <w:rPr>
      <w:rFonts w:ascii="宋体" w:hAnsi="Courier New"/>
    </w:r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7"/>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rFonts w:ascii="Calibri" w:hAnsi="Calibri" w:eastAsia="宋体" w:cs="Times New Roman"/>
      <w:sz w:val="18"/>
      <w:szCs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7">
    <w:name w:val="纯文本 Char"/>
    <w:basedOn w:val="17"/>
    <w:link w:val="9"/>
    <w:qFormat/>
    <w:uiPriority w:val="0"/>
    <w:rPr>
      <w:rFonts w:ascii="宋体" w:hAnsi="Courier New" w:eastAsia="宋体" w:cs="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收入支出对比</a:t>
            </a:r>
            <a:endParaRPr lang="zh-CN" altLang="en-US">
              <a:solidFill>
                <a:schemeClr val="tx1">
                  <a:lumMod val="50000"/>
                </a:schemeClr>
              </a:solidFill>
              <a:uFillTx/>
            </a:endParaRPr>
          </a:p>
        </c:rich>
      </c:tx>
      <c:layout/>
      <c:overlay val="false"/>
      <c:spPr>
        <a:noFill/>
        <a:ln w="25358">
          <a:noFill/>
        </a:ln>
      </c:spPr>
    </c:title>
    <c:autoTitleDeleted val="false"/>
    <c:plotArea>
      <c:layout/>
      <c:barChart>
        <c:barDir val="col"/>
        <c:grouping val="clustered"/>
        <c:varyColors val="false"/>
        <c:ser>
          <c:idx val="0"/>
          <c:order val="0"/>
          <c:tx>
            <c:strRef>
              <c:f>Sheet1!$B$1</c:f>
              <c:strCache>
                <c:ptCount val="1"/>
                <c:pt idx="0">
                  <c:v>2024年度</c:v>
                </c:pt>
              </c:strCache>
            </c:strRef>
          </c:tx>
          <c:spPr>
            <a:solidFill>
              <a:srgbClr val="4F81BD"/>
            </a:solidFill>
            <a:ln w="25358">
              <a:noFill/>
            </a:ln>
          </c:spPr>
          <c:invertIfNegative val="false"/>
          <c:dLbls>
            <c:spPr>
              <a:noFill/>
              <a:ln w="25358">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f>Sheet1!$A$2:$A$3</c:f>
              <c:strCache>
                <c:ptCount val="2"/>
                <c:pt idx="0">
                  <c:v>收入</c:v>
                </c:pt>
                <c:pt idx="1">
                  <c:v>支出</c:v>
                </c:pt>
              </c:strCache>
            </c:strRef>
          </c:cat>
          <c:val>
            <c:numRef>
              <c:f>Sheet1!$B$2:$B$3</c:f>
              <c:numCache>
                <c:formatCode>General</c:formatCode>
                <c:ptCount val="2"/>
                <c:pt idx="0">
                  <c:v>252.18</c:v>
                </c:pt>
                <c:pt idx="1">
                  <c:v>252.18</c:v>
                </c:pt>
              </c:numCache>
            </c:numRef>
          </c:val>
        </c:ser>
        <c:ser>
          <c:idx val="1"/>
          <c:order val="1"/>
          <c:tx>
            <c:strRef>
              <c:f>Sheet1!$C$1</c:f>
              <c:strCache>
                <c:ptCount val="1"/>
                <c:pt idx="0">
                  <c:v>2025年度</c:v>
                </c:pt>
              </c:strCache>
            </c:strRef>
          </c:tx>
          <c:spPr>
            <a:solidFill>
              <a:srgbClr val="C0504D"/>
            </a:solidFill>
            <a:ln w="25358">
              <a:noFill/>
            </a:ln>
          </c:spPr>
          <c:invertIfNegative val="false"/>
          <c:dLbls>
            <c:dLbl>
              <c:idx val="0"/>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270.62</a:t>
                    </a:r>
                    <a:endParaRPr lang="en-US" altLang="en-US"/>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spPr>
              <a:noFill/>
              <a:ln w="25358">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f>Sheet1!$A$2:$A$3</c:f>
              <c:strCache>
                <c:ptCount val="2"/>
                <c:pt idx="0">
                  <c:v>收入</c:v>
                </c:pt>
                <c:pt idx="1">
                  <c:v>支出</c:v>
                </c:pt>
              </c:strCache>
            </c:strRef>
          </c:cat>
          <c:val>
            <c:numRef>
              <c:f>Sheet1!$C$2:$C$3</c:f>
              <c:numCache>
                <c:formatCode>General</c:formatCode>
                <c:ptCount val="2"/>
                <c:pt idx="0">
                  <c:v>270.62</c:v>
                </c:pt>
                <c:pt idx="1">
                  <c:v>270.62</c:v>
                </c:pt>
              </c:numCache>
            </c:numRef>
          </c:val>
        </c:ser>
        <c:dLbls>
          <c:showLegendKey val="false"/>
          <c:showVal val="true"/>
          <c:showCatName val="false"/>
          <c:showSerName val="false"/>
          <c:showPercent val="false"/>
          <c:showBubbleSize val="false"/>
        </c:dLbls>
        <c:gapWidth val="219"/>
        <c:overlap val="-27"/>
        <c:axId val="446786560"/>
        <c:axId val="183898624"/>
      </c:barChart>
      <c:catAx>
        <c:axId val="446786560"/>
        <c:scaling>
          <c:orientation val="minMax"/>
        </c:scaling>
        <c:delete val="false"/>
        <c:axPos val="b"/>
        <c:numFmt formatCode="General" sourceLinked="false"/>
        <c:majorTickMark val="none"/>
        <c:minorTickMark val="none"/>
        <c:tickLblPos val="nextTo"/>
        <c:spPr>
          <a:noFill/>
          <a:ln w="9509" cap="flat" cmpd="sng" algn="ctr">
            <a:solidFill>
              <a:schemeClr val="tx1">
                <a:lumMod val="15000"/>
                <a:lumOff val="85000"/>
              </a:schemeClr>
            </a:solid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83898624"/>
        <c:crosses val="autoZero"/>
        <c:auto val="true"/>
        <c:lblAlgn val="ctr"/>
        <c:lblOffset val="100"/>
        <c:noMultiLvlLbl val="false"/>
      </c:catAx>
      <c:valAx>
        <c:axId val="183898624"/>
        <c:scaling>
          <c:orientation val="minMax"/>
        </c:scaling>
        <c:delete val="false"/>
        <c:axPos val="l"/>
        <c:majorGridlines>
          <c:spPr>
            <a:ln w="9509" cap="flat" cmpd="sng" algn="ctr">
              <a:solidFill>
                <a:schemeClr val="tx1">
                  <a:lumMod val="15000"/>
                  <a:lumOff val="85000"/>
                </a:schemeClr>
              </a:solidFill>
              <a:prstDash val="solid"/>
              <a:round/>
            </a:ln>
            <a:effectLst/>
          </c:spPr>
        </c:majorGridlines>
        <c:numFmt formatCode="General" sourceLinked="true"/>
        <c:majorTickMark val="none"/>
        <c:minorTickMark val="none"/>
        <c:tickLblPos val="nextTo"/>
        <c:spPr>
          <a:ln w="9509" cap="flat" cmpd="sng" algn="ctr">
            <a:noFill/>
            <a:prstDash val="solid"/>
            <a:round/>
          </a:ln>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46786560"/>
        <c:crosses val="autoZero"/>
        <c:crossBetween val="between"/>
      </c:valAx>
      <c:spPr>
        <a:noFill/>
        <a:ln w="25358">
          <a:noFill/>
        </a:ln>
      </c:spPr>
    </c:plotArea>
    <c:legend>
      <c:legendPos val="b"/>
      <c:layout/>
      <c:overlay val="false"/>
      <c:spPr>
        <a:noFill/>
        <a:ln w="25358">
          <a:noFill/>
        </a:ln>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09"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收入决算结构</a:t>
            </a:r>
            <a:endParaRPr lang="zh-CN" altLang="en-US">
              <a:solidFill>
                <a:schemeClr val="tx1">
                  <a:lumMod val="50000"/>
                </a:schemeClr>
              </a:solidFill>
              <a:uFillTx/>
            </a:endParaRPr>
          </a:p>
        </c:rich>
      </c:tx>
      <c:layout/>
      <c:overlay val="false"/>
      <c:spPr>
        <a:noFill/>
        <a:ln w="25363">
          <a:noFill/>
        </a:ln>
      </c:spPr>
    </c:title>
    <c:autoTitleDeleted val="false"/>
    <c:plotArea>
      <c:layout/>
      <c:pieChart>
        <c:varyColors val="true"/>
        <c:ser>
          <c:idx val="0"/>
          <c:order val="0"/>
          <c:tx>
            <c:strRef>
              <c:f>Sheet1!$B$1</c:f>
              <c:strCache>
                <c:ptCount val="1"/>
                <c:pt idx="0">
                  <c:v>收入</c:v>
                </c:pt>
              </c:strCache>
            </c:strRef>
          </c:tx>
          <c:spPr>
            <a:scene3d>
              <a:camera prst="orthographicFront"/>
              <a:lightRig rig="threePt" dir="t"/>
            </a:scene3d>
            <a:sp3d contourW="25400"/>
          </c:spPr>
          <c:explosion val="0"/>
          <c:dPt>
            <c:idx val="0"/>
            <c:bubble3D val="false"/>
            <c:spPr>
              <a:solidFill>
                <a:srgbClr val="4F81BD"/>
              </a:solidFill>
              <a:ln w="25363">
                <a:solidFill>
                  <a:srgbClr val="FFFFFF"/>
                </a:solidFill>
                <a:prstDash val="solid"/>
              </a:ln>
            </c:spPr>
          </c:dPt>
          <c:dLbls>
            <c:dLbl>
              <c:idx val="0"/>
              <c:layout>
                <c:manualLayout>
                  <c:x val="0.116193332976235"/>
                  <c:y val="-0.264305654974946"/>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zh-CN" altLang="en-US"/>
                      <a:t>一般公共预算</a:t>
                    </a:r>
                    <a:r>
                      <a:rPr lang="en-US" altLang="zh-CN"/>
                      <a:t>270.62</a:t>
                    </a:r>
                    <a:r>
                      <a:rPr lang="zh-CN" altLang="en-US"/>
                      <a:t>万元</a:t>
                    </a:r>
                    <a:endParaRPr lang="zh-CN" altLang="en-US"/>
                  </a:p>
                </c:rich>
              </c:tx>
              <c:numFmt formatCode="General" sourceLinked="true"/>
              <c:spPr>
                <a:noFill/>
                <a:ln w="25363">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false"/>
              <c:showVal val="fals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false"/>
            <c:showCatName val="false"/>
            <c:showSerName val="false"/>
            <c:showPercent val="false"/>
            <c:showBubbleSize val="false"/>
            <c:showLeaderLines val="true"/>
            <c:extLst>
              <c:ext xmlns:c15="http://schemas.microsoft.com/office/drawing/2012/chart" uri="{CE6537A1-D6FC-4f65-9D91-7224C49458BB}">
                <c15:layout/>
                <c15:showLeaderLines val="true"/>
                <c15:leaderLines/>
              </c:ext>
            </c:extLst>
          </c:dLbls>
          <c:cat>
            <c:strRef>
              <c:f>Sheet1!$A$2</c:f>
              <c:strCache>
                <c:ptCount val="1"/>
                <c:pt idx="0">
                  <c:v>一般公共预算</c:v>
                </c:pt>
              </c:strCache>
            </c:strRef>
          </c:cat>
          <c:val>
            <c:numRef>
              <c:f>Sheet1!$B$2</c:f>
              <c:numCache>
                <c:formatCode>General</c:formatCode>
                <c:ptCount val="1"/>
                <c:pt idx="0">
                  <c:v>270.62</c:v>
                </c:pt>
              </c:numCache>
            </c:numRef>
          </c:val>
        </c:ser>
        <c:dLbls>
          <c:showLegendKey val="false"/>
          <c:showVal val="false"/>
          <c:showCatName val="false"/>
          <c:showSerName val="false"/>
          <c:showPercent val="false"/>
          <c:showBubbleSize val="false"/>
          <c:showLeaderLines val="true"/>
        </c:dLbls>
        <c:firstSliceAng val="0"/>
      </c:pieChart>
      <c:spPr>
        <a:noFill/>
        <a:ln w="25363">
          <a:noFill/>
        </a:ln>
      </c:spPr>
    </c:plotArea>
    <c:legend>
      <c:legendPos val="b"/>
      <c:layout/>
      <c:overlay val="false"/>
      <c:spPr>
        <a:noFill/>
        <a:ln w="25363">
          <a:noFill/>
        </a:ln>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zero"/>
    <c:showDLblsOverMax val="false"/>
  </c:chart>
  <c:spPr>
    <a:solidFill>
      <a:schemeClr val="bg1"/>
    </a:solidFill>
    <a:ln w="9511"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支出决算结构</a:t>
            </a:r>
            <a:endParaRPr lang="zh-CN" altLang="en-US">
              <a:solidFill>
                <a:schemeClr val="tx1">
                  <a:lumMod val="50000"/>
                </a:schemeClr>
              </a:solidFill>
              <a:uFillTx/>
            </a:endParaRPr>
          </a:p>
        </c:rich>
      </c:tx>
      <c:layout/>
      <c:overlay val="false"/>
      <c:spPr>
        <a:noFill/>
        <a:ln w="25398">
          <a:noFill/>
        </a:ln>
      </c:spPr>
    </c:title>
    <c:autoTitleDeleted val="false"/>
    <c:plotArea>
      <c:layout/>
      <c:pieChart>
        <c:varyColors val="true"/>
        <c:ser>
          <c:idx val="0"/>
          <c:order val="0"/>
          <c:tx>
            <c:strRef>
              <c:f>Sheet1!$B$1</c:f>
              <c:strCache>
                <c:ptCount val="1"/>
                <c:pt idx="0">
                  <c:v>支出决算结构</c:v>
                </c:pt>
              </c:strCache>
            </c:strRef>
          </c:tx>
          <c:explosion val="0"/>
          <c:dPt>
            <c:idx val="0"/>
            <c:bubble3D val="false"/>
            <c:spPr>
              <a:solidFill>
                <a:srgbClr val="4F81BD"/>
              </a:solidFill>
              <a:ln w="12699">
                <a:solidFill>
                  <a:srgbClr val="FFFFFF"/>
                </a:solidFill>
                <a:prstDash val="solid"/>
              </a:ln>
            </c:spPr>
          </c:dPt>
          <c:dPt>
            <c:idx val="1"/>
            <c:bubble3D val="false"/>
            <c:spPr>
              <a:solidFill>
                <a:srgbClr val="C0504D"/>
              </a:solidFill>
              <a:ln w="12699">
                <a:solidFill>
                  <a:srgbClr val="FFFFFF"/>
                </a:solidFill>
                <a:prstDash val="solid"/>
              </a:ln>
            </c:spPr>
          </c:dPt>
          <c:dLbls>
            <c:dLbl>
              <c:idx val="0"/>
              <c:layout>
                <c:manualLayout>
                  <c:x val="-0.219404978223876"/>
                  <c:y val="-0.306880116806591"/>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zh-CN" altLang="en-US"/>
                      <a:t>基本支出</a:t>
                    </a:r>
                    <a:r>
                      <a:rPr lang="en-US" altLang="zh-CN"/>
                      <a:t>268.62</a:t>
                    </a:r>
                    <a:r>
                      <a:rPr lang="zh-CN" altLang="en-US"/>
                      <a:t>万元，占</a:t>
                    </a:r>
                    <a:r>
                      <a:rPr lang="en-US" altLang="zh-CN"/>
                      <a:t>99.3%</a:t>
                    </a:r>
                    <a:endParaRPr lang="en-US" altLang="zh-CN"/>
                  </a:p>
                </c:rich>
              </c:tx>
              <c:dLblPos val="bestFit"/>
              <c:showLegendKey val="false"/>
              <c:showVal val="false"/>
              <c:showCatName val="false"/>
              <c:showSerName val="false"/>
              <c:showPercent val="false"/>
              <c:showBubbleSize val="false"/>
              <c:extLst>
                <c:ext xmlns:c15="http://schemas.microsoft.com/office/drawing/2012/chart" uri="{CE6537A1-D6FC-4f65-9D91-7224C49458BB}">
                  <c15:layout/>
                </c:ext>
              </c:extLst>
            </c:dLbl>
            <c:dLbl>
              <c:idx val="1"/>
              <c:layout>
                <c:manualLayout>
                  <c:x val="0.139418463103071"/>
                  <c:y val="0.151101160064916"/>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zh-CN" altLang="en-US"/>
                      <a:t>项目支出</a:t>
                    </a:r>
                    <a:r>
                      <a:rPr lang="en-US" altLang="zh-CN"/>
                      <a:t>2</a:t>
                    </a:r>
                    <a:r>
                      <a:rPr lang="zh-CN" altLang="en-US"/>
                      <a:t>万元 ，占</a:t>
                    </a:r>
                    <a:r>
                      <a:rPr lang="en-US" altLang="zh-CN"/>
                      <a:t>0.7%</a:t>
                    </a:r>
                    <a:endParaRPr lang="en-US" altLang="zh-CN"/>
                  </a:p>
                </c:rich>
              </c:tx>
              <c:dLblPos val="bestFit"/>
              <c:showLegendKey val="false"/>
              <c:showVal val="false"/>
              <c:showCatName val="false"/>
              <c:showSerName val="false"/>
              <c:showPercent val="false"/>
              <c:showBubbleSize val="false"/>
              <c:extLst>
                <c:ext xmlns:c15="http://schemas.microsoft.com/office/drawing/2012/chart" uri="{CE6537A1-D6FC-4f65-9D91-7224C49458BB}">
                  <c15:layout/>
                </c:ext>
              </c:extLst>
            </c:dLbl>
            <c:spPr>
              <a:noFill/>
              <a:ln w="25398">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ext>
            </c:extLst>
          </c:dLbls>
          <c:cat>
            <c:strRef>
              <c:f>Sheet1!$A$2:$A$3</c:f>
              <c:strCache>
                <c:ptCount val="2"/>
                <c:pt idx="0">
                  <c:v>基本支出</c:v>
                </c:pt>
                <c:pt idx="1">
                  <c:v>项目支出</c:v>
                </c:pt>
              </c:strCache>
            </c:strRef>
          </c:cat>
          <c:val>
            <c:numRef>
              <c:f>Sheet1!$B$2:$B$3</c:f>
              <c:numCache>
                <c:formatCode>General</c:formatCode>
                <c:ptCount val="2"/>
                <c:pt idx="0">
                  <c:v>268.62</c:v>
                </c:pt>
                <c:pt idx="1">
                  <c:v>2</c:v>
                </c:pt>
              </c:numCache>
            </c:numRef>
          </c:val>
        </c:ser>
        <c:dLbls>
          <c:showLegendKey val="false"/>
          <c:showVal val="true"/>
          <c:showCatName val="false"/>
          <c:showSerName val="false"/>
          <c:showPercent val="false"/>
          <c:showBubbleSize val="false"/>
          <c:showLeaderLines val="true"/>
        </c:dLbls>
        <c:firstSliceAng val="0"/>
      </c:pieChart>
      <c:spPr>
        <a:noFill/>
        <a:ln w="25398">
          <a:noFill/>
        </a:ln>
      </c:spPr>
    </c:plotArea>
    <c:legend>
      <c:legendPos val="b"/>
      <c:layout/>
      <c:overlay val="false"/>
      <c:spPr>
        <a:noFill/>
        <a:ln w="25398">
          <a:noFill/>
        </a:ln>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zero"/>
    <c:showDLblsOverMax val="false"/>
  </c:chart>
  <c:spPr>
    <a:solidFill>
      <a:schemeClr val="bg1"/>
    </a:solidFill>
    <a:ln w="9524"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26"/>
    </mc:Choice>
    <mc:Fallback>
      <c:style val="26"/>
    </mc:Fallback>
  </mc:AlternateContent>
  <c:chart>
    <c:title>
      <c:tx>
        <c:rich>
          <a:bodyPr rot="0" spcFirstLastPara="0" vertOverflow="ellipsis" vert="horz" wrap="square" anchor="ctr" anchorCtr="true"/>
          <a:lstStyle/>
          <a:p>
            <a:pPr>
              <a:defRPr lang="zh-CN" sz="1800" b="1" i="0" u="none" strike="noStrike" kern="1200" baseline="0">
                <a:solidFill>
                  <a:schemeClr val="tx1"/>
                </a:solidFill>
                <a:latin typeface="+mn-lt"/>
                <a:ea typeface="+mn-ea"/>
                <a:cs typeface="+mn-cs"/>
              </a:defRPr>
            </a:pPr>
            <a:r>
              <a:rPr lang="zh-CN"/>
              <a:t>财政拨款收支对比表</a:t>
            </a:r>
            <a:endParaRPr lang="zh-CN"/>
          </a:p>
        </c:rich>
      </c:tx>
      <c:layout>
        <c:manualLayout>
          <c:xMode val="edge"/>
          <c:yMode val="edge"/>
          <c:x val="0.308568628091614"/>
          <c:y val="0.0157350012099552"/>
        </c:manualLayout>
      </c:layout>
      <c:overlay val="false"/>
    </c:title>
    <c:autoTitleDeleted val="false"/>
    <c:plotArea>
      <c:layout>
        <c:manualLayout>
          <c:layoutTarget val="inner"/>
          <c:xMode val="edge"/>
          <c:yMode val="edge"/>
          <c:x val="0.0841107361579803"/>
          <c:y val="0.179059847248824"/>
          <c:w val="0.829287427457251"/>
          <c:h val="0.633085999385212"/>
        </c:manualLayout>
      </c:layout>
      <c:barChart>
        <c:barDir val="col"/>
        <c:grouping val="clustered"/>
        <c:varyColors val="false"/>
        <c:ser>
          <c:idx val="0"/>
          <c:order val="0"/>
          <c:tx>
            <c:strRef>
              <c:f>Sheet1!$B$1</c:f>
              <c:strCache>
                <c:ptCount val="1"/>
                <c:pt idx="0">
                  <c:v>2024年度</c:v>
                </c:pt>
              </c:strCache>
            </c:strRef>
          </c:tx>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f>Sheet1!$A$2:$A$3</c:f>
              <c:strCache>
                <c:ptCount val="2"/>
                <c:pt idx="0">
                  <c:v>财政拨款收入</c:v>
                </c:pt>
                <c:pt idx="1">
                  <c:v>财政拨款支出</c:v>
                </c:pt>
              </c:strCache>
            </c:strRef>
          </c:cat>
          <c:val>
            <c:numRef>
              <c:f>Sheet1!$B$2:$B$3</c:f>
              <c:numCache>
                <c:formatCode>General</c:formatCode>
                <c:ptCount val="2"/>
                <c:pt idx="0">
                  <c:v>252.18</c:v>
                </c:pt>
                <c:pt idx="1">
                  <c:v>252.18</c:v>
                </c:pt>
              </c:numCache>
            </c:numRef>
          </c:val>
        </c:ser>
        <c:ser>
          <c:idx val="1"/>
          <c:order val="1"/>
          <c:tx>
            <c:strRef>
              <c:f>Sheet1!$C$1</c:f>
              <c:strCache>
                <c:ptCount val="1"/>
                <c:pt idx="0">
                  <c:v>2025年度</c:v>
                </c:pt>
              </c:strCache>
            </c:strRef>
          </c:tx>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f>Sheet1!$A$2:$A$3</c:f>
              <c:strCache>
                <c:ptCount val="2"/>
                <c:pt idx="0">
                  <c:v>财政拨款收入</c:v>
                </c:pt>
                <c:pt idx="1">
                  <c:v>财政拨款支出</c:v>
                </c:pt>
              </c:strCache>
            </c:strRef>
          </c:cat>
          <c:val>
            <c:numRef>
              <c:f>Sheet1!$C$2:$C$3</c:f>
              <c:numCache>
                <c:formatCode>General</c:formatCode>
                <c:ptCount val="2"/>
                <c:pt idx="0">
                  <c:v>270.62</c:v>
                </c:pt>
                <c:pt idx="1">
                  <c:v>270.62</c:v>
                </c:pt>
              </c:numCache>
            </c:numRef>
          </c:val>
        </c:ser>
        <c:ser>
          <c:idx val="2"/>
          <c:order val="2"/>
          <c:tx>
            <c:strRef>
              <c:f>Sheet1!$D$1</c:f>
              <c:strCache>
                <c:ptCount val="1"/>
                <c:pt idx="0">
                  <c:v/>
                </c:pt>
              </c:strCache>
            </c:strRef>
          </c:tx>
          <c:invertIfNegative val="false"/>
          <c:dLbls>
            <c:delete val="true"/>
          </c:dLbls>
          <c:cat>
            <c:strRef>
              <c:f>Sheet1!$A$2:$A$3</c:f>
              <c:strCache>
                <c:ptCount val="2"/>
                <c:pt idx="0">
                  <c:v>财政拨款收入</c:v>
                </c:pt>
                <c:pt idx="1">
                  <c:v>财政拨款支出</c:v>
                </c:pt>
              </c:strCache>
            </c:strRef>
          </c:cat>
          <c:val>
            <c:numRef>
              <c:f>Sheet1!$D$2:$D$3</c:f>
              <c:numCache>
                <c:formatCode>General</c:formatCode>
                <c:ptCount val="2"/>
              </c:numCache>
            </c:numRef>
          </c:val>
        </c:ser>
        <c:dLbls>
          <c:showLegendKey val="false"/>
          <c:showVal val="true"/>
          <c:showCatName val="false"/>
          <c:showSerName val="false"/>
          <c:showPercent val="false"/>
          <c:showBubbleSize val="false"/>
        </c:dLbls>
        <c:gapWidth val="219"/>
        <c:overlap val="-27"/>
        <c:axId val="446787072"/>
        <c:axId val="307047232"/>
      </c:barChart>
      <c:catAx>
        <c:axId val="446787072"/>
        <c:scaling>
          <c:orientation val="minMax"/>
        </c:scaling>
        <c:delete val="false"/>
        <c:axPos val="b"/>
        <c:numFmt formatCode="General" sourceLinked="false"/>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307047232"/>
        <c:crosses val="autoZero"/>
        <c:auto val="true"/>
        <c:lblAlgn val="ctr"/>
        <c:lblOffset val="100"/>
        <c:noMultiLvlLbl val="false"/>
      </c:catAx>
      <c:valAx>
        <c:axId val="307047232"/>
        <c:scaling>
          <c:orientation val="minMax"/>
        </c:scaling>
        <c:delete val="false"/>
        <c:axPos val="l"/>
        <c:majorGridlines/>
        <c:numFmt formatCode="General" sourceLinked="true"/>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446787072"/>
        <c:crosses val="autoZero"/>
        <c:crossBetween val="between"/>
      </c:valAx>
    </c:plotArea>
    <c:legend>
      <c:legendPos val="b"/>
      <c:legendEntry>
        <c:idx val="2"/>
        <c:delete val="true"/>
      </c:legendEntry>
      <c:layout>
        <c:manualLayout>
          <c:xMode val="edge"/>
          <c:yMode val="edge"/>
          <c:x val="0.340762788468869"/>
          <c:y val="0.912005361031999"/>
        </c:manualLayout>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bg2">
                    <a:lumMod val="10000"/>
                  </a:schemeClr>
                </a:solidFill>
                <a:uFillTx/>
              </a:rPr>
              <a:t>一般公共预算财政拨款支出对比</a:t>
            </a:r>
            <a:endParaRPr lang="zh-CN" altLang="en-US">
              <a:solidFill>
                <a:schemeClr val="bg2">
                  <a:lumMod val="10000"/>
                </a:schemeClr>
              </a:solidFill>
              <a:uFillTx/>
            </a:endParaRPr>
          </a:p>
        </c:rich>
      </c:tx>
      <c:layout/>
      <c:overlay val="false"/>
      <c:spPr>
        <a:noFill/>
        <a:ln w="25369">
          <a:noFill/>
        </a:ln>
      </c:spPr>
    </c:title>
    <c:autoTitleDeleted val="false"/>
    <c:plotArea>
      <c:layout/>
      <c:barChart>
        <c:barDir val="col"/>
        <c:grouping val="clustered"/>
        <c:varyColors val="false"/>
        <c:ser>
          <c:idx val="0"/>
          <c:order val="0"/>
          <c:tx>
            <c:strRef>
              <c:f>Sheet1!$B$1</c:f>
              <c:strCache>
                <c:ptCount val="1"/>
                <c:pt idx="0">
                  <c:v>2024年</c:v>
                </c:pt>
              </c:strCache>
            </c:strRef>
          </c:tx>
          <c:spPr>
            <a:gradFill rotWithShape="false">
              <a:gsLst>
                <a:gs pos="0">
                  <a:srgbClr val="012D86"/>
                </a:gs>
                <a:gs pos="100000">
                  <a:srgbClr val="0E2557"/>
                </a:gs>
              </a:gsLst>
              <a:lin ang="5400000"/>
            </a:gradFill>
            <a:ln w="25369">
              <a:noFill/>
            </a:ln>
          </c:spPr>
          <c:invertIfNegative val="false"/>
          <c:dLbls>
            <c:spPr>
              <a:noFill/>
              <a:ln w="25369">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numRef>
              <c:f>Sheet1!$A$2</c:f>
              <c:numCache>
                <c:formatCode>General</c:formatCode>
                <c:ptCount val="1"/>
              </c:numCache>
            </c:numRef>
          </c:cat>
          <c:val>
            <c:numRef>
              <c:f>Sheet1!$B$2</c:f>
              <c:numCache>
                <c:formatCode>General</c:formatCode>
                <c:ptCount val="1"/>
                <c:pt idx="0">
                  <c:v>252.18</c:v>
                </c:pt>
              </c:numCache>
            </c:numRef>
          </c:val>
        </c:ser>
        <c:ser>
          <c:idx val="1"/>
          <c:order val="1"/>
          <c:tx>
            <c:strRef>
              <c:f>Sheet1!$C$1</c:f>
              <c:strCache>
                <c:ptCount val="1"/>
                <c:pt idx="0">
                  <c:v>2025年</c:v>
                </c:pt>
              </c:strCache>
            </c:strRef>
          </c:tx>
          <c:spPr>
            <a:gradFill rotWithShape="false">
              <a:gsLst>
                <a:gs pos="0">
                  <a:srgbClr val="FE4444"/>
                </a:gs>
                <a:gs pos="100000">
                  <a:srgbClr val="832B2B"/>
                </a:gs>
              </a:gsLst>
              <a:lin ang="5400000"/>
            </a:gradFill>
            <a:ln w="25369">
              <a:noFill/>
            </a:ln>
          </c:spPr>
          <c:invertIfNegative val="false"/>
          <c:dLbls>
            <c:spPr>
              <a:noFill/>
              <a:ln w="25369">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numRef>
              <c:f>Sheet1!$A$2</c:f>
              <c:numCache>
                <c:formatCode>General</c:formatCode>
                <c:ptCount val="1"/>
              </c:numCache>
            </c:numRef>
          </c:cat>
          <c:val>
            <c:numRef>
              <c:f>Sheet1!$C$2</c:f>
              <c:numCache>
                <c:formatCode>General</c:formatCode>
                <c:ptCount val="1"/>
                <c:pt idx="0">
                  <c:v>270.62</c:v>
                </c:pt>
              </c:numCache>
            </c:numRef>
          </c:val>
        </c:ser>
        <c:ser>
          <c:idx val="2"/>
          <c:order val="2"/>
          <c:tx>
            <c:strRef>
              <c:f>Sheet1!$D$1</c:f>
              <c:strCache>
                <c:ptCount val="1"/>
                <c:pt idx="0">
                  <c:v/>
                </c:pt>
              </c:strCache>
            </c:strRef>
          </c:tx>
          <c:spPr>
            <a:gradFill rotWithShape="false">
              <a:gsLst>
                <a:gs pos="0">
                  <a:srgbClr val="7B32B2"/>
                </a:gs>
                <a:gs pos="100000">
                  <a:srgbClr val="401A5D"/>
                </a:gs>
              </a:gsLst>
              <a:lin ang="5400000"/>
            </a:gradFill>
            <a:ln w="25369">
              <a:noFill/>
            </a:ln>
          </c:spPr>
          <c:invertIfNegative val="false"/>
          <c:dLbls>
            <c:dLbl>
              <c:idx val="0"/>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zh-CN" altLang="en-US"/>
                      <a:t>幅度</a:t>
                    </a:r>
                    <a:r>
                      <a:rPr lang="en-US" altLang="zh-CN"/>
                      <a:t>70%</a:t>
                    </a:r>
                    <a:endParaRPr lang="en-US" altLang="zh-CN"/>
                  </a:p>
                </c:rich>
              </c:tx>
              <c:dLblPos val="outEnd"/>
              <c:showLegendKey val="false"/>
              <c:showVal val="false"/>
              <c:showCatName val="false"/>
              <c:showSerName val="false"/>
              <c:showPercent val="false"/>
              <c:showBubbleSize val="false"/>
              <c:extLst>
                <c:ext xmlns:c15="http://schemas.microsoft.com/office/drawing/2012/chart" uri="{CE6537A1-D6FC-4f65-9D91-7224C49458BB}"/>
              </c:extLst>
            </c:dLbl>
            <c:spPr>
              <a:noFill/>
              <a:ln w="25369">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numRef>
              <c:f>Sheet1!$A$2</c:f>
              <c:numCache>
                <c:formatCode>General</c:formatCode>
                <c:ptCount val="1"/>
              </c:numCache>
            </c:numRef>
          </c:cat>
          <c:val>
            <c:numRef>
              <c:f>Sheet1!$D$2</c:f>
              <c:numCache>
                <c:formatCode>General</c:formatCode>
                <c:ptCount val="1"/>
              </c:numCache>
            </c:numRef>
          </c:val>
        </c:ser>
        <c:dLbls>
          <c:showLegendKey val="false"/>
          <c:showVal val="true"/>
          <c:showCatName val="false"/>
          <c:showSerName val="false"/>
          <c:showPercent val="false"/>
          <c:showBubbleSize val="false"/>
        </c:dLbls>
        <c:gapWidth val="219"/>
        <c:overlap val="-27"/>
        <c:axId val="450381312"/>
        <c:axId val="307050112"/>
      </c:barChart>
      <c:catAx>
        <c:axId val="450381312"/>
        <c:scaling>
          <c:orientation val="minMax"/>
        </c:scaling>
        <c:delete val="false"/>
        <c:axPos val="b"/>
        <c:numFmt formatCode="General" sourceLinked="false"/>
        <c:majorTickMark val="none"/>
        <c:minorTickMark val="none"/>
        <c:tickLblPos val="nextTo"/>
        <c:spPr>
          <a:noFill/>
          <a:ln w="9513" cap="flat" cmpd="sng" algn="ctr">
            <a:solidFill>
              <a:schemeClr val="tx1">
                <a:lumMod val="15000"/>
                <a:lumOff val="85000"/>
              </a:schemeClr>
            </a:solid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307050112"/>
        <c:crosses val="autoZero"/>
        <c:auto val="true"/>
        <c:lblAlgn val="ctr"/>
        <c:lblOffset val="100"/>
        <c:noMultiLvlLbl val="false"/>
      </c:catAx>
      <c:valAx>
        <c:axId val="307050112"/>
        <c:scaling>
          <c:orientation val="minMax"/>
        </c:scaling>
        <c:delete val="false"/>
        <c:axPos val="l"/>
        <c:majorGridlines>
          <c:spPr>
            <a:ln w="9513" cap="flat" cmpd="sng" algn="ctr">
              <a:solidFill>
                <a:schemeClr val="tx1">
                  <a:lumMod val="15000"/>
                  <a:lumOff val="85000"/>
                </a:schemeClr>
              </a:solidFill>
              <a:prstDash val="solid"/>
              <a:round/>
            </a:ln>
            <a:effectLst/>
          </c:spPr>
        </c:majorGridlines>
        <c:numFmt formatCode="General" sourceLinked="true"/>
        <c:majorTickMark val="none"/>
        <c:minorTickMark val="none"/>
        <c:tickLblPos val="nextTo"/>
        <c:spPr>
          <a:ln w="9513" cap="flat" cmpd="sng" algn="ctr">
            <a:noFill/>
            <a:prstDash val="solid"/>
            <a:round/>
          </a:ln>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50381312"/>
        <c:crosses val="autoZero"/>
        <c:crossBetween val="between"/>
      </c:valAx>
      <c:spPr>
        <a:noFill/>
        <a:ln w="25369">
          <a:noFill/>
        </a:ln>
      </c:spPr>
    </c:plotArea>
    <c:legend>
      <c:legendPos val="b"/>
      <c:legendEntry>
        <c:idx val="2"/>
        <c:delete val="true"/>
      </c:legendEntry>
      <c:layout/>
      <c:overlay val="false"/>
      <c:spPr>
        <a:noFill/>
        <a:ln w="25369">
          <a:noFill/>
        </a:ln>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13"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a:defRPr lang="zh-CN" sz="1800" b="1" i="0" u="none" strike="noStrike" kern="1200" baseline="0">
                <a:solidFill>
                  <a:schemeClr val="tx1"/>
                </a:solidFill>
                <a:latin typeface="+mn-lt"/>
                <a:ea typeface="+mn-ea"/>
                <a:cs typeface="+mn-cs"/>
              </a:defRPr>
            </a:pPr>
            <a:r>
              <a:rPr lang="zh-CN"/>
              <a:t>一般公共预算财政拨款支出</a:t>
            </a:r>
            <a:endParaRPr lang="zh-CN"/>
          </a:p>
        </c:rich>
      </c:tx>
      <c:layout>
        <c:manualLayout>
          <c:xMode val="edge"/>
          <c:yMode val="edge"/>
          <c:x val="0.0829403198577264"/>
          <c:y val="0.0451600559275885"/>
        </c:manualLayout>
      </c:layout>
      <c:overlay val="false"/>
    </c:title>
    <c:autoTitleDeleted val="false"/>
    <c:plotArea>
      <c:layout>
        <c:manualLayout>
          <c:layoutTarget val="inner"/>
          <c:xMode val="edge"/>
          <c:yMode val="edge"/>
          <c:x val="0.00187187957972131"/>
          <c:y val="0.162682379934296"/>
          <c:w val="0.895092002388591"/>
          <c:h val="0.717320374015748"/>
        </c:manualLayout>
      </c:layout>
      <c:pieChart>
        <c:varyColors val="true"/>
        <c:ser>
          <c:idx val="0"/>
          <c:order val="0"/>
          <c:tx>
            <c:strRef>
              <c:f>Sheet1!$B$1</c:f>
              <c:strCache>
                <c:ptCount val="1"/>
                <c:pt idx="0">
                  <c:v>支出金额</c:v>
                </c:pt>
              </c:strCache>
            </c:strRef>
          </c:tx>
          <c:explosion val="0"/>
          <c:dPt>
            <c:idx val="0"/>
            <c:bubble3D val="false"/>
            <c:explosion val="85"/>
          </c:dPt>
          <c:dPt>
            <c:idx val="1"/>
            <c:bubble3D val="false"/>
            <c:explosion val="108"/>
          </c:dPt>
          <c:dPt>
            <c:idx val="2"/>
            <c:bubble3D val="false"/>
            <c:explosion val="71"/>
          </c:dPt>
          <c:dPt>
            <c:idx val="3"/>
            <c:bubble3D val="false"/>
          </c:dPt>
          <c:dLbls>
            <c:dLbl>
              <c:idx val="0"/>
              <c:layout>
                <c:manualLayout>
                  <c:x val="-0.00723631768251191"/>
                  <c:y val="0.132100674915635"/>
                </c:manualLayout>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zh-CN" altLang="en-US"/>
                      <a:t>社会保障 和就业支出</a:t>
                    </a:r>
                    <a:r>
                      <a:rPr lang="en-US" altLang="zh-CN"/>
                      <a:t>42.43</a:t>
                    </a:r>
                    <a:r>
                      <a:rPr lang="zh-CN" altLang="en-US"/>
                      <a:t>万元</a:t>
                    </a:r>
                    <a:r>
                      <a:rPr lang="en-US" altLang="zh-CN"/>
                      <a:t>,</a:t>
                    </a:r>
                    <a:r>
                      <a:rPr lang="zh-CN" altLang="en-US"/>
                      <a:t>占</a:t>
                    </a:r>
                    <a:r>
                      <a:rPr lang="en-US" altLang="zh-CN"/>
                      <a:t>15.7%</a:t>
                    </a:r>
                    <a:endParaRPr lang="en-US" altLang="zh-CN"/>
                  </a:p>
                </c:rich>
              </c:tx>
              <c:dLblPos val="bestFit"/>
              <c:showLegendKey val="false"/>
              <c:showVal val="false"/>
              <c:showCatName val="false"/>
              <c:showSerName val="false"/>
              <c:showPercent val="false"/>
              <c:showBubbleSize val="false"/>
              <c:extLst>
                <c:ext xmlns:c15="http://schemas.microsoft.com/office/drawing/2012/chart" uri="{CE6537A1-D6FC-4f65-9D91-7224C49458BB}">
                  <c15:layout/>
                </c:ext>
              </c:extLst>
            </c:dLbl>
            <c:dLbl>
              <c:idx val="1"/>
              <c:layout>
                <c:manualLayout>
                  <c:x val="-0.0971705091691689"/>
                  <c:y val="-0.248877768783575"/>
                </c:manualLayout>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zh-CN" altLang="en-US"/>
                      <a:t>交通运输支出</a:t>
                    </a:r>
                    <a:r>
                      <a:rPr lang="en-US" altLang="zh-CN"/>
                      <a:t>196.88</a:t>
                    </a:r>
                    <a:r>
                      <a:rPr lang="zh-CN" altLang="en-US"/>
                      <a:t>万元，占</a:t>
                    </a:r>
                    <a:r>
                      <a:rPr lang="en-US" altLang="zh-CN"/>
                      <a:t>72.7%</a:t>
                    </a:r>
                    <a:endParaRPr lang="en-US" altLang="zh-CN"/>
                  </a:p>
                </c:rich>
              </c:tx>
              <c:dLblPos val="bestFit"/>
              <c:showLegendKey val="false"/>
              <c:showVal val="false"/>
              <c:showCatName val="false"/>
              <c:showSerName val="false"/>
              <c:showPercent val="false"/>
              <c:showBubbleSize val="false"/>
              <c:extLst>
                <c:ext xmlns:c15="http://schemas.microsoft.com/office/drawing/2012/chart" uri="{CE6537A1-D6FC-4f65-9D91-7224C49458BB}">
                  <c15:layout/>
                </c:ext>
              </c:extLst>
            </c:dLbl>
            <c:dLbl>
              <c:idx val="2"/>
              <c:layout>
                <c:manualLayout>
                  <c:x val="-0.216068662448291"/>
                  <c:y val="0.173590894596119"/>
                </c:manualLayout>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zh-CN" altLang="en-US"/>
                      <a:t>住房保障支出</a:t>
                    </a:r>
                    <a:r>
                      <a:rPr lang="en-US" altLang="zh-CN"/>
                      <a:t>17.26</a:t>
                    </a:r>
                    <a:r>
                      <a:rPr lang="zh-CN" altLang="en-US"/>
                      <a:t>万元，占</a:t>
                    </a:r>
                    <a:r>
                      <a:rPr lang="en-US" altLang="zh-CN"/>
                      <a:t>6.4%</a:t>
                    </a:r>
                    <a:endParaRPr lang="en-US" altLang="zh-CN"/>
                  </a:p>
                </c:rich>
              </c:tx>
              <c:dLblPos val="bestFit"/>
              <c:showLegendKey val="false"/>
              <c:showVal val="false"/>
              <c:showCatName val="false"/>
              <c:showSerName val="false"/>
              <c:showPercent val="false"/>
              <c:showBubbleSize val="false"/>
              <c:extLst>
                <c:ext xmlns:c15="http://schemas.microsoft.com/office/drawing/2012/chart" uri="{CE6537A1-D6FC-4f65-9D91-7224C49458BB}">
                  <c15:layout/>
                </c:ext>
              </c:extLst>
            </c:dLbl>
            <c:dLbl>
              <c:idx val="3"/>
              <c:layout>
                <c:manualLayout>
                  <c:x val="-0.068688995708597"/>
                  <c:y val="0.417302720337528"/>
                </c:manualLayout>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zh-CN" altLang="en-US"/>
                      <a:t>卫生健康支出</a:t>
                    </a:r>
                    <a:r>
                      <a:rPr lang="en-US" altLang="zh-CN"/>
                      <a:t>14.05</a:t>
                    </a:r>
                    <a:r>
                      <a:rPr lang="zh-CN" altLang="en-US"/>
                      <a:t>万元，占</a:t>
                    </a:r>
                    <a:r>
                      <a:rPr lang="en-US" altLang="zh-CN"/>
                      <a:t>5.2</a:t>
                    </a:r>
                    <a:r>
                      <a:rPr lang="zh-CN" altLang="en-US"/>
                      <a:t>％</a:t>
                    </a:r>
                    <a:endParaRPr lang="zh-CN" altLang="en-US"/>
                  </a:p>
                </c:rich>
              </c:tx>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ext>
            </c:extLst>
          </c:dLbls>
          <c:cat>
            <c:strRef>
              <c:f>Sheet1!$A$2:$A$5</c:f>
              <c:strCache>
                <c:ptCount val="4"/>
                <c:pt idx="0">
                  <c:v>社会保障和就业支出</c:v>
                </c:pt>
                <c:pt idx="1">
                  <c:v>交通运输支出</c:v>
                </c:pt>
                <c:pt idx="2">
                  <c:v>住房保障支出</c:v>
                </c:pt>
                <c:pt idx="3">
                  <c:v>卫生健康支出</c:v>
                </c:pt>
              </c:strCache>
            </c:strRef>
          </c:cat>
          <c:val>
            <c:numRef>
              <c:f>Sheet1!$B$2:$B$5</c:f>
              <c:numCache>
                <c:formatCode>General</c:formatCode>
                <c:ptCount val="4"/>
                <c:pt idx="0">
                  <c:v>42.43</c:v>
                </c:pt>
                <c:pt idx="1">
                  <c:v>196.88</c:v>
                </c:pt>
                <c:pt idx="2">
                  <c:v>17.26</c:v>
                </c:pt>
                <c:pt idx="3">
                  <c:v>14.05</c:v>
                </c:pt>
              </c:numCache>
            </c:numRef>
          </c:val>
        </c:ser>
        <c:dLbls>
          <c:showLegendKey val="false"/>
          <c:showVal val="true"/>
          <c:showCatName val="false"/>
          <c:showSerName val="false"/>
          <c:showPercent val="false"/>
          <c:showBubbleSize val="false"/>
          <c:showLeaderLines val="true"/>
        </c:dLbls>
        <c:firstSliceAng val="43"/>
      </c:pieChart>
      <c:spPr>
        <a:noFill/>
        <a:ln>
          <a:noFill/>
        </a:ln>
        <a:effectLst/>
      </c:spPr>
    </c:plotArea>
    <c:legend>
      <c:legendPos val="b"/>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zero"/>
    <c:showDLblsOverMax val="false"/>
  </c:chart>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395"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“三公”经费财政拨款支出决算</a:t>
            </a:r>
            <a:endParaRPr lang="zh-CN" altLang="en-US">
              <a:solidFill>
                <a:schemeClr val="tx1">
                  <a:lumMod val="50000"/>
                </a:schemeClr>
              </a:solidFill>
              <a:uFillTx/>
            </a:endParaRPr>
          </a:p>
        </c:rich>
      </c:tx>
      <c:layout/>
      <c:overlay val="false"/>
      <c:spPr>
        <a:noFill/>
        <a:ln w="25323">
          <a:noFill/>
        </a:ln>
      </c:spPr>
    </c:title>
    <c:autoTitleDeleted val="false"/>
    <c:plotArea>
      <c:layout/>
      <c:pieChart>
        <c:varyColors val="true"/>
        <c:ser>
          <c:idx val="0"/>
          <c:order val="0"/>
          <c:tx>
            <c:strRef>
              <c:f>Sheet1!$B$1</c:f>
              <c:strCache>
                <c:ptCount val="1"/>
                <c:pt idx="0">
                  <c:v>支出决算结构</c:v>
                </c:pt>
              </c:strCache>
            </c:strRef>
          </c:tx>
          <c:explosion val="0"/>
          <c:dPt>
            <c:idx val="0"/>
            <c:bubble3D val="false"/>
            <c:spPr>
              <a:solidFill>
                <a:srgbClr val="4F81BD"/>
              </a:solidFill>
              <a:ln w="12661">
                <a:solidFill>
                  <a:srgbClr val="FFFFFF"/>
                </a:solidFill>
                <a:prstDash val="solid"/>
              </a:ln>
            </c:spPr>
          </c:dPt>
          <c:dPt>
            <c:idx val="1"/>
            <c:bubble3D val="false"/>
            <c:spPr>
              <a:solidFill>
                <a:srgbClr val="C0504D"/>
              </a:solidFill>
              <a:ln w="12661">
                <a:solidFill>
                  <a:srgbClr val="FFFFFF"/>
                </a:solidFill>
                <a:prstDash val="solid"/>
              </a:ln>
            </c:spPr>
          </c:dPt>
          <c:dLbls>
            <c:dLbl>
              <c:idx val="0"/>
              <c:layout>
                <c:manualLayout>
                  <c:x val="0.122997651609338"/>
                  <c:y val="-0.259085959291685"/>
                </c:manualLayout>
              </c:layout>
              <c:tx>
                <c:rich>
                  <a:bodyPr rot="0" spcFirstLastPara="0" vertOverflow="ellipsis" vert="horz" wrap="square" lIns="38100" tIns="19050" rIns="38100" bIns="19050" anchor="ctr" anchorCtr="true"/>
                  <a:lstStyle/>
                  <a:p>
                    <a:pPr>
                      <a:defRPr lang="zh-CN" sz="895" b="0" i="0" u="none" strike="noStrike" kern="1200" baseline="0">
                        <a:solidFill>
                          <a:schemeClr val="tx1">
                            <a:lumMod val="75000"/>
                            <a:lumOff val="25000"/>
                          </a:schemeClr>
                        </a:solidFill>
                        <a:latin typeface="+mn-lt"/>
                        <a:ea typeface="+mn-ea"/>
                        <a:cs typeface="+mn-cs"/>
                      </a:defRPr>
                    </a:pPr>
                    <a:r>
                      <a:rPr lang="zh-CN" altLang="en-US"/>
                      <a:t>公务用车支行维护支出</a:t>
                    </a:r>
                    <a:r>
                      <a:rPr lang="en-US" altLang="zh-CN"/>
                      <a:t>3.45</a:t>
                    </a:r>
                    <a:r>
                      <a:rPr lang="zh-CN" altLang="en-US"/>
                      <a:t>万元，占</a:t>
                    </a:r>
                    <a:r>
                      <a:rPr lang="en-US" altLang="zh-CN"/>
                      <a:t>92.3%</a:t>
                    </a:r>
                    <a:endParaRPr lang="en-US" altLang="zh-CN"/>
                  </a:p>
                </c:rich>
              </c:tx>
              <c:dLblPos val="bestFit"/>
              <c:showLegendKey val="false"/>
              <c:showVal val="false"/>
              <c:showCatName val="false"/>
              <c:showSerName val="false"/>
              <c:showPercent val="false"/>
              <c:showBubbleSize val="false"/>
              <c:extLst>
                <c:ext xmlns:c15="http://schemas.microsoft.com/office/drawing/2012/chart" uri="{CE6537A1-D6FC-4f65-9D91-7224C49458BB}">
                  <c15:layout/>
                </c:ext>
              </c:extLst>
            </c:dLbl>
            <c:dLbl>
              <c:idx val="1"/>
              <c:layout>
                <c:manualLayout>
                  <c:x val="-0.0887670930897417"/>
                  <c:y val="0.192459778405562"/>
                </c:manualLayout>
              </c:layout>
              <c:tx>
                <c:rich>
                  <a:bodyPr rot="0" spcFirstLastPara="0" vertOverflow="ellipsis" vert="horz" wrap="square" lIns="38100" tIns="19050" rIns="38100" bIns="19050" anchor="ctr" anchorCtr="true"/>
                  <a:lstStyle/>
                  <a:p>
                    <a:pPr>
                      <a:defRPr lang="zh-CN" sz="895" b="0" i="0" u="none" strike="noStrike" kern="1200" baseline="0">
                        <a:solidFill>
                          <a:schemeClr val="tx1">
                            <a:lumMod val="75000"/>
                            <a:lumOff val="25000"/>
                          </a:schemeClr>
                        </a:solidFill>
                        <a:latin typeface="+mn-lt"/>
                        <a:ea typeface="+mn-ea"/>
                        <a:cs typeface="+mn-cs"/>
                      </a:defRPr>
                    </a:pPr>
                    <a:r>
                      <a:rPr lang="zh-CN" altLang="en-US"/>
                      <a:t>公务接待支出</a:t>
                    </a:r>
                    <a:r>
                      <a:rPr lang="en-US" altLang="zh-CN"/>
                      <a:t>0.29</a:t>
                    </a:r>
                    <a:r>
                      <a:rPr lang="zh-CN" altLang="en-US"/>
                      <a:t>万元 ，占</a:t>
                    </a:r>
                    <a:r>
                      <a:rPr lang="en-US" altLang="zh-CN"/>
                      <a:t>7.7%</a:t>
                    </a:r>
                    <a:endParaRPr lang="en-US" altLang="zh-CN"/>
                  </a:p>
                </c:rich>
              </c:tx>
              <c:dLblPos val="bestFit"/>
              <c:showLegendKey val="false"/>
              <c:showVal val="false"/>
              <c:showCatName val="false"/>
              <c:showSerName val="false"/>
              <c:showPercent val="false"/>
              <c:showBubbleSize val="false"/>
              <c:extLst>
                <c:ext xmlns:c15="http://schemas.microsoft.com/office/drawing/2012/chart" uri="{CE6537A1-D6FC-4f65-9D91-7224C49458BB}">
                  <c15:layout/>
                </c:ext>
              </c:extLst>
            </c:dLbl>
            <c:spPr>
              <a:noFill/>
              <a:ln w="25323">
                <a:noFill/>
              </a:ln>
              <a:effectLst/>
            </c:spPr>
            <c:txPr>
              <a:bodyPr rot="0" spcFirstLastPara="0" vertOverflow="ellipsis" vert="horz" wrap="square" lIns="38100" tIns="19050" rIns="38100" bIns="19050" anchor="ctr" anchorCtr="true"/>
              <a:lstStyle/>
              <a:p>
                <a:pPr>
                  <a:defRPr lang="zh-CN" sz="895"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ext>
            </c:extLst>
          </c:dLbls>
          <c:cat>
            <c:strRef>
              <c:f>Sheet1!$A$2:$A$3</c:f>
              <c:strCache>
                <c:ptCount val="2"/>
                <c:pt idx="0">
                  <c:v>公务用车运行维护支出</c:v>
                </c:pt>
                <c:pt idx="1">
                  <c:v>公务接待支出</c:v>
                </c:pt>
              </c:strCache>
            </c:strRef>
          </c:cat>
          <c:val>
            <c:numRef>
              <c:f>Sheet1!$B$2:$B$3</c:f>
              <c:numCache>
                <c:formatCode>General</c:formatCode>
                <c:ptCount val="2"/>
                <c:pt idx="0">
                  <c:v>4.67</c:v>
                </c:pt>
                <c:pt idx="1">
                  <c:v>0.27</c:v>
                </c:pt>
              </c:numCache>
            </c:numRef>
          </c:val>
        </c:ser>
        <c:dLbls>
          <c:showLegendKey val="false"/>
          <c:showVal val="true"/>
          <c:showCatName val="false"/>
          <c:showSerName val="false"/>
          <c:showPercent val="false"/>
          <c:showBubbleSize val="false"/>
          <c:showLeaderLines val="true"/>
        </c:dLbls>
        <c:firstSliceAng val="0"/>
      </c:pieChart>
      <c:spPr>
        <a:noFill/>
        <a:ln w="25323">
          <a:noFill/>
        </a:ln>
      </c:spPr>
    </c:plotArea>
    <c:legend>
      <c:legendPos val="b"/>
      <c:layout/>
      <c:overlay val="false"/>
      <c:spPr>
        <a:noFill/>
        <a:ln w="25323">
          <a:noFill/>
        </a:ln>
      </c:spPr>
      <c:txPr>
        <a:bodyPr rot="0" spcFirstLastPara="0" vertOverflow="ellipsis" vert="horz" wrap="square" anchor="ctr" anchorCtr="true"/>
        <a:lstStyle/>
        <a:p>
          <a:pPr>
            <a:defRPr lang="zh-CN" sz="895" b="0" i="0" u="none" strike="noStrike" kern="1200" baseline="0">
              <a:solidFill>
                <a:schemeClr val="tx1">
                  <a:lumMod val="65000"/>
                  <a:lumOff val="35000"/>
                </a:schemeClr>
              </a:solidFill>
              <a:latin typeface="+mn-lt"/>
              <a:ea typeface="+mn-ea"/>
              <a:cs typeface="+mn-cs"/>
            </a:defRPr>
          </a:pPr>
        </a:p>
      </c:txPr>
    </c:legend>
    <c:plotVisOnly val="true"/>
    <c:dispBlanksAs val="zero"/>
    <c:showDLblsOverMax val="false"/>
  </c:chart>
  <c:spPr>
    <a:solidFill>
      <a:schemeClr val="bg1"/>
    </a:solidFill>
    <a:ln w="9496"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18</Pages>
  <Words>839</Words>
  <Characters>4785</Characters>
  <Lines>39</Lines>
  <Paragraphs>11</Paragraphs>
  <TotalTime>0</TotalTime>
  <ScaleCrop>false</ScaleCrop>
  <LinksUpToDate>false</LinksUpToDate>
  <CharactersWithSpaces>5613</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2026-09-14T09:54:00Z</dcterms:created>
  <dc:creator>曹颖</dc:creator>
  <cp:lastModifiedBy>李颉妍</cp:lastModifiedBy>
  <cp:lastPrinted>2025-08-07T01:34:00Z</cp:lastPrinted>
  <dcterms:modified xsi:type="dcterms:W3CDTF">2026-09-17T09:50:47Z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04787F2533EB45DC91BCDE4AB213247F</vt:lpwstr>
  </property>
</Properties>
</file>