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Lines="0"/>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96475"/>
      <w:bookmarkStart w:id="2" w:name="_Toc15377193"/>
      <w:bookmarkStart w:id="3" w:name="_Toc15396597"/>
      <w:bookmarkStart w:id="4" w:name="_Toc15378441"/>
      <w:bookmarkStart w:id="5" w:name="_Toc15377425"/>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bookmarkEnd w:id="0"/>
    <w:bookmarkEnd w:id="1"/>
    <w:bookmarkEnd w:id="2"/>
    <w:bookmarkEnd w:id="3"/>
    <w:bookmarkEnd w:id="4"/>
    <w:bookmarkEnd w:id="5"/>
    <w:p>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6495"/>
      <w:bookmarkStart w:id="7" w:name="_Toc10619"/>
      <w:bookmarkStart w:id="8" w:name="_Toc15377196"/>
      <w:bookmarkStart w:id="9" w:name="_Toc15396599"/>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bookmarkEnd w:id="6"/>
      <w:bookmarkEnd w:id="7"/>
    </w:p>
    <w:p>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bookmarkStart w:id="10" w:name="_Toc15396598"/>
      <w:bookmarkStart w:id="11" w:name="_Toc8485"/>
      <w:bookmarkStart w:id="12" w:name="_Toc15378442"/>
      <w:bookmarkStart w:id="13" w:name="_Toc15377426"/>
      <w:bookmarkStart w:id="14" w:name="_Toc15377194"/>
      <w:bookmarkStart w:id="15" w:name="_Toc3455"/>
      <w:bookmarkStart w:id="16" w:name="_Toc15396476"/>
      <w:r>
        <w:rPr>
          <w:rFonts w:hint="eastAsia" w:ascii="方正小标宋简体" w:hAnsi="方正小标宋简体" w:eastAsia="方正小标宋简体" w:cs="方正小标宋简体"/>
          <w:sz w:val="72"/>
          <w:szCs w:val="72"/>
          <w:lang w:eastAsia="zh-CN"/>
        </w:rPr>
        <w:t>四川省</w:t>
      </w:r>
      <w:r>
        <w:rPr>
          <w:rFonts w:hint="eastAsia" w:ascii="方正小标宋简体" w:hAnsi="方正小标宋简体" w:eastAsia="方正小标宋简体" w:cs="方正小标宋简体"/>
          <w:sz w:val="72"/>
          <w:szCs w:val="72"/>
        </w:rPr>
        <w:t>攀枝花市</w:t>
      </w:r>
      <w:bookmarkStart w:id="17" w:name="_Toc15306268"/>
      <w:r>
        <w:rPr>
          <w:rFonts w:hint="eastAsia" w:ascii="方正小标宋简体" w:hAnsi="方正小标宋简体" w:eastAsia="方正小标宋简体" w:cs="方正小标宋简体"/>
          <w:sz w:val="72"/>
          <w:szCs w:val="72"/>
          <w:lang w:val="en-US" w:eastAsia="zh-CN"/>
        </w:rPr>
        <w:t>公路养护总段</w:t>
      </w:r>
      <w:r>
        <w:rPr>
          <w:rFonts w:hint="eastAsia" w:ascii="方正小标宋简体" w:hAnsi="方正小标宋简体" w:eastAsia="方正小标宋简体" w:cs="方正小标宋简体"/>
          <w:sz w:val="72"/>
          <w:szCs w:val="72"/>
        </w:rPr>
        <w:t>单位决算</w:t>
      </w:r>
      <w:bookmarkEnd w:id="10"/>
      <w:bookmarkEnd w:id="11"/>
      <w:bookmarkEnd w:id="12"/>
      <w:bookmarkEnd w:id="13"/>
      <w:bookmarkEnd w:id="14"/>
      <w:bookmarkEnd w:id="15"/>
      <w:bookmarkEnd w:id="16"/>
      <w:bookmarkEnd w:id="17"/>
    </w:p>
    <w:p>
      <w:pPr>
        <w:rPr>
          <w:rFonts w:hint="eastAsia"/>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sdt>
      <w:sdtPr>
        <w:rPr>
          <w:rFonts w:ascii="宋体" w:hAnsi="宋体" w:eastAsia="宋体" w:cs="Times New Roman"/>
          <w:kern w:val="2"/>
          <w:sz w:val="21"/>
          <w:szCs w:val="24"/>
          <w:lang w:val="en-US" w:eastAsia="zh-CN" w:bidi="ar-SA"/>
        </w:rPr>
        <w:id w:val="147470717"/>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sz w:val="21"/>
            </w:rPr>
          </w:pPr>
          <w:r>
            <w:rPr>
              <w:rFonts w:ascii="宋体" w:hAnsi="宋体" w:eastAsia="宋体"/>
              <w:sz w:val="21"/>
            </w:rPr>
            <w:t>目录</w:t>
          </w:r>
        </w:p>
        <w:p>
          <w:pPr>
            <w:pStyle w:val="2"/>
          </w:pPr>
        </w:p>
        <w:p>
          <w:pPr>
            <w:pStyle w:val="13"/>
          </w:pPr>
          <w:r>
            <w:rPr>
              <w:rFonts w:hint="eastAsia"/>
            </w:rPr>
            <w:t>公开时间：2026年9月</w:t>
          </w:r>
          <w:r>
            <w:rPr>
              <w:rFonts w:hint="eastAsia"/>
              <w:highlight w:val="none"/>
              <w:lang w:val="en-US" w:eastAsia="zh-CN"/>
            </w:rPr>
            <w:t>15</w:t>
          </w:r>
          <w:r>
            <w:rPr>
              <w:rFonts w:hint="eastAsia"/>
            </w:rPr>
            <w:t>日</w:t>
          </w:r>
        </w:p>
        <w:p>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pPr>
            <w:pStyle w:val="37"/>
            <w:tabs>
              <w:tab w:val="right" w:leader="dot" w:pos="8306"/>
            </w:tabs>
            <w:rPr>
              <w:b/>
            </w:rPr>
          </w:pPr>
          <w:r>
            <w:fldChar w:fldCharType="begin"/>
          </w:r>
          <w:r>
            <w:instrText xml:space="preserve">TOC \o "1-2" \h \u </w:instrText>
          </w:r>
          <w:r>
            <w:fldChar w:fldCharType="separate"/>
          </w:r>
          <w:r>
            <w:rPr>
              <w:b/>
            </w:rPr>
            <w:fldChar w:fldCharType="begin"/>
          </w:r>
          <w:r>
            <w:rPr>
              <w:b/>
            </w:rPr>
            <w:instrText xml:space="preserve"> HYPERLINK \l _Toc7479 </w:instrText>
          </w:r>
          <w:r>
            <w:rPr>
              <w:b/>
            </w:rPr>
            <w:fldChar w:fldCharType="separate"/>
          </w:r>
          <w:r>
            <w:rPr>
              <w:rFonts w:hint="eastAsia" w:ascii="Times New Roman" w:hAnsi="Times New Roman" w:eastAsia="方正小标宋简体" w:cs="方正小标宋简体"/>
              <w:b/>
              <w:highlight w:val="none"/>
            </w:rPr>
            <w:t>第一部分</w:t>
          </w:r>
          <w:r>
            <w:rPr>
              <w:rFonts w:hint="eastAsia" w:ascii="Times New Roman" w:hAnsi="Times New Roman" w:eastAsia="方正小标宋简体" w:cs="方正小标宋简体"/>
              <w:b/>
              <w:highlight w:val="none"/>
              <w:lang w:val="en-US" w:eastAsia="zh-CN"/>
            </w:rPr>
            <w:t xml:space="preserve"> </w:t>
          </w:r>
          <w:r>
            <w:rPr>
              <w:rFonts w:hint="eastAsia" w:ascii="Times New Roman" w:hAnsi="Times New Roman" w:eastAsia="方正小标宋简体" w:cs="方正小标宋简体"/>
              <w:b/>
              <w:highlight w:val="none"/>
            </w:rPr>
            <w:t xml:space="preserve"> </w:t>
          </w:r>
          <w:r>
            <w:rPr>
              <w:rFonts w:hint="eastAsia" w:eastAsia="方正小标宋简体" w:cs="方正小标宋简体"/>
              <w:b/>
              <w:bCs w:val="0"/>
              <w:highlight w:val="none"/>
              <w:lang w:eastAsia="zh-CN"/>
            </w:rPr>
            <w:t>单位</w:t>
          </w:r>
          <w:r>
            <w:rPr>
              <w:rFonts w:hint="eastAsia" w:ascii="Times New Roman" w:hAnsi="Times New Roman" w:eastAsia="方正小标宋简体" w:cs="方正小标宋简体"/>
              <w:b/>
              <w:bCs w:val="0"/>
              <w:highlight w:val="none"/>
            </w:rPr>
            <w:t>概况</w:t>
          </w:r>
          <w:r>
            <w:rPr>
              <w:b/>
            </w:rPr>
            <w:tab/>
          </w:r>
          <w:r>
            <w:rPr>
              <w:b/>
            </w:rPr>
            <w:fldChar w:fldCharType="begin"/>
          </w:r>
          <w:r>
            <w:rPr>
              <w:b/>
            </w:rPr>
            <w:instrText xml:space="preserve"> PAGEREF _Toc7479 \h </w:instrText>
          </w:r>
          <w:r>
            <w:rPr>
              <w:b/>
            </w:rPr>
            <w:fldChar w:fldCharType="separate"/>
          </w:r>
          <w:r>
            <w:rPr>
              <w:b/>
            </w:rPr>
            <w:t>2</w:t>
          </w:r>
          <w:r>
            <w:rPr>
              <w:b/>
            </w:rPr>
            <w:fldChar w:fldCharType="end"/>
          </w:r>
          <w:r>
            <w:rPr>
              <w:b/>
            </w:rPr>
            <w:fldChar w:fldCharType="end"/>
          </w:r>
        </w:p>
        <w:p>
          <w:pPr>
            <w:pStyle w:val="38"/>
            <w:tabs>
              <w:tab w:val="right" w:leader="dot" w:pos="8306"/>
            </w:tabs>
          </w:pPr>
          <w:r>
            <w:fldChar w:fldCharType="begin"/>
          </w:r>
          <w:r>
            <w:instrText xml:space="preserve"> HYPERLINK \l _Toc17909 </w:instrText>
          </w:r>
          <w:r>
            <w:fldChar w:fldCharType="separate"/>
          </w:r>
          <w:r>
            <w:rPr>
              <w:rFonts w:hint="eastAsia" w:ascii="Times New Roman" w:hAnsi="Times New Roman" w:eastAsia="黑体"/>
              <w:highlight w:val="none"/>
              <w:lang w:val="en-US" w:eastAsia="zh-CN"/>
            </w:rPr>
            <w:t>一</w:t>
          </w:r>
          <w:r>
            <w:rPr>
              <w:rFonts w:hint="eastAsia" w:ascii="Times New Roman" w:hAnsi="Times New Roman" w:eastAsia="黑体"/>
              <w:highlight w:val="none"/>
            </w:rPr>
            <w:t>、</w:t>
          </w:r>
          <w:r>
            <w:rPr>
              <w:rFonts w:hint="eastAsia" w:ascii="Times New Roman" w:hAnsi="Times New Roman" w:eastAsia="黑体"/>
              <w:highlight w:val="none"/>
              <w:lang w:val="en-US" w:eastAsia="zh-CN"/>
            </w:rPr>
            <w:t>主要职责</w:t>
          </w:r>
          <w:r>
            <w:tab/>
          </w:r>
          <w:r>
            <w:fldChar w:fldCharType="begin"/>
          </w:r>
          <w:r>
            <w:instrText xml:space="preserve"> PAGEREF _Toc17909 \h </w:instrText>
          </w:r>
          <w:r>
            <w:fldChar w:fldCharType="separate"/>
          </w:r>
          <w:r>
            <w:t>2</w:t>
          </w:r>
          <w:r>
            <w:fldChar w:fldCharType="end"/>
          </w:r>
          <w:r>
            <w:fldChar w:fldCharType="end"/>
          </w:r>
        </w:p>
        <w:p>
          <w:pPr>
            <w:pStyle w:val="38"/>
            <w:tabs>
              <w:tab w:val="right" w:leader="dot" w:pos="8306"/>
            </w:tabs>
          </w:pPr>
          <w:r>
            <w:fldChar w:fldCharType="begin"/>
          </w:r>
          <w:r>
            <w:instrText xml:space="preserve"> HYPERLINK \l _Toc17740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_Toc17740 \h </w:instrText>
          </w:r>
          <w:r>
            <w:fldChar w:fldCharType="separate"/>
          </w:r>
          <w:r>
            <w:t>3</w:t>
          </w:r>
          <w:r>
            <w:fldChar w:fldCharType="end"/>
          </w:r>
          <w:r>
            <w:fldChar w:fldCharType="end"/>
          </w:r>
        </w:p>
        <w:p>
          <w:pPr>
            <w:pStyle w:val="37"/>
            <w:tabs>
              <w:tab w:val="right" w:leader="dot" w:pos="8306"/>
            </w:tabs>
            <w:rPr>
              <w:b/>
            </w:rPr>
          </w:pPr>
          <w:r>
            <w:rPr>
              <w:b/>
            </w:rPr>
            <w:fldChar w:fldCharType="begin"/>
          </w:r>
          <w:r>
            <w:rPr>
              <w:b/>
            </w:rPr>
            <w:instrText xml:space="preserve"> HYPERLINK \l _Toc21405 </w:instrText>
          </w:r>
          <w:r>
            <w:rPr>
              <w:b/>
            </w:rPr>
            <w:fldChar w:fldCharType="separate"/>
          </w:r>
          <w:r>
            <w:rPr>
              <w:rFonts w:hint="eastAsia" w:ascii="Times New Roman" w:hAnsi="Times New Roman" w:eastAsia="方正小标宋简体" w:cs="方正小标宋简体"/>
              <w:b/>
              <w:highlight w:val="none"/>
            </w:rPr>
            <w:t>第二部分</w:t>
          </w:r>
          <w:r>
            <w:rPr>
              <w:rFonts w:hint="eastAsia" w:ascii="Times New Roman" w:hAnsi="Times New Roman" w:eastAsia="方正小标宋简体" w:cs="方正小标宋简体"/>
              <w:b/>
              <w:highlight w:val="none"/>
              <w:lang w:val="en-US" w:eastAsia="zh-CN"/>
            </w:rPr>
            <w:t xml:space="preserve"> </w:t>
          </w:r>
          <w:r>
            <w:rPr>
              <w:rFonts w:hint="eastAsia" w:ascii="Times New Roman" w:hAnsi="Times New Roman" w:eastAsia="方正小标宋简体" w:cs="方正小标宋简体"/>
              <w:b/>
              <w:highlight w:val="none"/>
            </w:rPr>
            <w:t xml:space="preserve"> </w:t>
          </w:r>
          <w:r>
            <w:rPr>
              <w:rFonts w:hint="eastAsia" w:ascii="Times New Roman" w:hAnsi="Times New Roman" w:eastAsia="方正小标宋简体" w:cs="方正小标宋简体"/>
              <w:b/>
              <w:highlight w:val="none"/>
              <w:lang w:val="en-US" w:eastAsia="zh-CN"/>
            </w:rPr>
            <w:t>202</w:t>
          </w:r>
          <w:r>
            <w:rPr>
              <w:rFonts w:hint="eastAsia" w:eastAsia="方正小标宋简体" w:cs="方正小标宋简体"/>
              <w:b/>
              <w:highlight w:val="none"/>
              <w:lang w:val="en-US" w:eastAsia="zh-CN"/>
            </w:rPr>
            <w:t>5</w:t>
          </w:r>
          <w:r>
            <w:rPr>
              <w:rFonts w:hint="eastAsia" w:ascii="Times New Roman" w:hAnsi="Times New Roman" w:eastAsia="方正小标宋简体" w:cs="方正小标宋简体"/>
              <w:b/>
              <w:highlight w:val="none"/>
              <w:lang w:val="en-US" w:eastAsia="zh-CN"/>
            </w:rPr>
            <w:t>年度</w:t>
          </w:r>
          <w:r>
            <w:rPr>
              <w:rFonts w:hint="eastAsia" w:eastAsia="方正小标宋简体" w:cs="方正小标宋简体"/>
              <w:b/>
              <w:highlight w:val="none"/>
              <w:lang w:eastAsia="zh-CN"/>
            </w:rPr>
            <w:t>单位</w:t>
          </w:r>
          <w:r>
            <w:rPr>
              <w:rFonts w:hint="eastAsia" w:ascii="Times New Roman" w:hAnsi="Times New Roman" w:eastAsia="方正小标宋简体" w:cs="方正小标宋简体"/>
              <w:b/>
              <w:highlight w:val="none"/>
            </w:rPr>
            <w:t>决算情况说明</w:t>
          </w:r>
          <w:r>
            <w:rPr>
              <w:b/>
            </w:rPr>
            <w:tab/>
          </w:r>
          <w:r>
            <w:rPr>
              <w:b/>
            </w:rPr>
            <w:fldChar w:fldCharType="begin"/>
          </w:r>
          <w:r>
            <w:rPr>
              <w:b/>
            </w:rPr>
            <w:instrText xml:space="preserve"> PAGEREF _Toc21405 \h </w:instrText>
          </w:r>
          <w:r>
            <w:rPr>
              <w:b/>
            </w:rPr>
            <w:fldChar w:fldCharType="separate"/>
          </w:r>
          <w:r>
            <w:rPr>
              <w:b/>
            </w:rPr>
            <w:t>4</w:t>
          </w:r>
          <w:r>
            <w:rPr>
              <w:b/>
            </w:rPr>
            <w:fldChar w:fldCharType="end"/>
          </w:r>
          <w:r>
            <w:rPr>
              <w:b/>
            </w:rPr>
            <w:fldChar w:fldCharType="end"/>
          </w:r>
        </w:p>
        <w:p>
          <w:pPr>
            <w:pStyle w:val="38"/>
            <w:tabs>
              <w:tab w:val="right" w:leader="dot" w:pos="8306"/>
            </w:tabs>
          </w:pPr>
          <w:r>
            <w:fldChar w:fldCharType="begin"/>
          </w:r>
          <w:r>
            <w:instrText xml:space="preserve"> HYPERLINK \l _Toc9367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_Toc9367 \h </w:instrText>
          </w:r>
          <w:r>
            <w:fldChar w:fldCharType="separate"/>
          </w:r>
          <w:r>
            <w:t>4</w:t>
          </w:r>
          <w:r>
            <w:fldChar w:fldCharType="end"/>
          </w:r>
          <w:r>
            <w:fldChar w:fldCharType="end"/>
          </w:r>
        </w:p>
        <w:p>
          <w:pPr>
            <w:pStyle w:val="38"/>
            <w:tabs>
              <w:tab w:val="right" w:leader="dot" w:pos="8306"/>
            </w:tabs>
          </w:pPr>
          <w:r>
            <w:fldChar w:fldCharType="begin"/>
          </w:r>
          <w:r>
            <w:instrText xml:space="preserve"> HYPERLINK \l _Toc6612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_Toc6612 \h </w:instrText>
          </w:r>
          <w:r>
            <w:fldChar w:fldCharType="separate"/>
          </w:r>
          <w:r>
            <w:t>4</w:t>
          </w:r>
          <w:r>
            <w:fldChar w:fldCharType="end"/>
          </w:r>
          <w:r>
            <w:fldChar w:fldCharType="end"/>
          </w:r>
        </w:p>
        <w:p>
          <w:pPr>
            <w:pStyle w:val="38"/>
            <w:tabs>
              <w:tab w:val="right" w:leader="dot" w:pos="8306"/>
            </w:tabs>
          </w:pPr>
          <w:r>
            <w:fldChar w:fldCharType="begin"/>
          </w:r>
          <w:r>
            <w:instrText xml:space="preserve"> HYPERLINK \l _Toc8670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_Toc8670 \h </w:instrText>
          </w:r>
          <w:r>
            <w:fldChar w:fldCharType="separate"/>
          </w:r>
          <w:r>
            <w:t>5</w:t>
          </w:r>
          <w:r>
            <w:fldChar w:fldCharType="end"/>
          </w:r>
          <w:r>
            <w:fldChar w:fldCharType="end"/>
          </w:r>
        </w:p>
        <w:p>
          <w:pPr>
            <w:pStyle w:val="38"/>
            <w:tabs>
              <w:tab w:val="right" w:leader="dot" w:pos="8306"/>
            </w:tabs>
          </w:pPr>
          <w:r>
            <w:fldChar w:fldCharType="begin"/>
          </w:r>
          <w:r>
            <w:instrText xml:space="preserve"> HYPERLINK \l _Toc3859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_Toc3859 \h </w:instrText>
          </w:r>
          <w:r>
            <w:fldChar w:fldCharType="separate"/>
          </w:r>
          <w:r>
            <w:t>6</w:t>
          </w:r>
          <w:r>
            <w:fldChar w:fldCharType="end"/>
          </w:r>
          <w:r>
            <w:fldChar w:fldCharType="end"/>
          </w:r>
        </w:p>
        <w:p>
          <w:pPr>
            <w:pStyle w:val="38"/>
            <w:tabs>
              <w:tab w:val="right" w:leader="dot" w:pos="8306"/>
            </w:tabs>
          </w:pPr>
          <w:r>
            <w:fldChar w:fldCharType="begin"/>
          </w:r>
          <w:r>
            <w:instrText xml:space="preserve"> HYPERLINK \l _Toc24361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_Toc24361 \h </w:instrText>
          </w:r>
          <w:r>
            <w:fldChar w:fldCharType="separate"/>
          </w:r>
          <w:r>
            <w:t>6</w:t>
          </w:r>
          <w:r>
            <w:fldChar w:fldCharType="end"/>
          </w:r>
          <w:r>
            <w:fldChar w:fldCharType="end"/>
          </w:r>
        </w:p>
        <w:p>
          <w:pPr>
            <w:pStyle w:val="38"/>
            <w:tabs>
              <w:tab w:val="right" w:leader="dot" w:pos="8306"/>
            </w:tabs>
          </w:pPr>
          <w:r>
            <w:fldChar w:fldCharType="begin"/>
          </w:r>
          <w:r>
            <w:instrText xml:space="preserve"> HYPERLINK \l _Toc18905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_Toc18905 \h </w:instrText>
          </w:r>
          <w:r>
            <w:fldChar w:fldCharType="separate"/>
          </w:r>
          <w:r>
            <w:t>9</w:t>
          </w:r>
          <w:r>
            <w:fldChar w:fldCharType="end"/>
          </w:r>
          <w:r>
            <w:fldChar w:fldCharType="end"/>
          </w:r>
        </w:p>
        <w:p>
          <w:pPr>
            <w:pStyle w:val="38"/>
            <w:tabs>
              <w:tab w:val="right" w:leader="dot" w:pos="8306"/>
            </w:tabs>
          </w:pPr>
          <w:r>
            <w:fldChar w:fldCharType="begin"/>
          </w:r>
          <w:r>
            <w:instrText xml:space="preserve"> HYPERLINK \l _Toc28001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_Toc28001 \h </w:instrText>
          </w:r>
          <w:r>
            <w:fldChar w:fldCharType="separate"/>
          </w:r>
          <w:r>
            <w:t>10</w:t>
          </w:r>
          <w:r>
            <w:fldChar w:fldCharType="end"/>
          </w:r>
          <w:r>
            <w:fldChar w:fldCharType="end"/>
          </w:r>
        </w:p>
        <w:p>
          <w:pPr>
            <w:pStyle w:val="38"/>
            <w:tabs>
              <w:tab w:val="right" w:leader="dot" w:pos="8306"/>
            </w:tabs>
          </w:pPr>
          <w:r>
            <w:fldChar w:fldCharType="begin"/>
          </w:r>
          <w:r>
            <w:instrText xml:space="preserve"> HYPERLINK \l _Toc17158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_Toc17158 \h </w:instrText>
          </w:r>
          <w:r>
            <w:fldChar w:fldCharType="separate"/>
          </w:r>
          <w:r>
            <w:t>10</w:t>
          </w:r>
          <w:r>
            <w:fldChar w:fldCharType="end"/>
          </w:r>
          <w:r>
            <w:fldChar w:fldCharType="end"/>
          </w:r>
        </w:p>
        <w:p>
          <w:pPr>
            <w:pStyle w:val="38"/>
            <w:tabs>
              <w:tab w:val="right" w:leader="dot" w:pos="8306"/>
            </w:tabs>
          </w:pPr>
          <w:r>
            <w:fldChar w:fldCharType="begin"/>
          </w:r>
          <w:r>
            <w:instrText xml:space="preserve"> HYPERLINK \l _Toc20847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_Toc20847 \h </w:instrText>
          </w:r>
          <w:r>
            <w:fldChar w:fldCharType="separate"/>
          </w:r>
          <w:r>
            <w:t>11</w:t>
          </w:r>
          <w:r>
            <w:fldChar w:fldCharType="end"/>
          </w:r>
          <w:r>
            <w:fldChar w:fldCharType="end"/>
          </w:r>
        </w:p>
        <w:p>
          <w:pPr>
            <w:pStyle w:val="38"/>
            <w:tabs>
              <w:tab w:val="right" w:leader="dot" w:pos="8306"/>
            </w:tabs>
          </w:pPr>
          <w:r>
            <w:fldChar w:fldCharType="begin"/>
          </w:r>
          <w:r>
            <w:instrText xml:space="preserve"> HYPERLINK \l _Toc31718 </w:instrText>
          </w:r>
          <w:r>
            <w:fldChar w:fldCharType="separate"/>
          </w:r>
          <w:r>
            <w:rPr>
              <w:rFonts w:hint="eastAsia" w:eastAsia="黑体"/>
              <w:highlight w:val="none"/>
              <w:lang w:val="en-US" w:eastAsia="zh-CN"/>
            </w:rPr>
            <w:t>十、</w:t>
          </w:r>
          <w:r>
            <w:rPr>
              <w:rFonts w:hint="eastAsia" w:ascii="Times New Roman" w:hAnsi="Times New Roman" w:eastAsia="黑体"/>
              <w:highlight w:val="none"/>
            </w:rPr>
            <w:t>其他重要事项的情况说明</w:t>
          </w:r>
          <w:r>
            <w:tab/>
          </w:r>
          <w:r>
            <w:fldChar w:fldCharType="begin"/>
          </w:r>
          <w:r>
            <w:instrText xml:space="preserve"> PAGEREF _Toc31718 \h </w:instrText>
          </w:r>
          <w:r>
            <w:fldChar w:fldCharType="separate"/>
          </w:r>
          <w:r>
            <w:t>11</w:t>
          </w:r>
          <w:r>
            <w:fldChar w:fldCharType="end"/>
          </w:r>
          <w:r>
            <w:fldChar w:fldCharType="end"/>
          </w:r>
        </w:p>
        <w:p>
          <w:pPr>
            <w:pStyle w:val="37"/>
            <w:tabs>
              <w:tab w:val="right" w:leader="dot" w:pos="8306"/>
            </w:tabs>
            <w:rPr>
              <w:b/>
            </w:rPr>
          </w:pPr>
          <w:r>
            <w:rPr>
              <w:b/>
            </w:rPr>
            <w:fldChar w:fldCharType="begin"/>
          </w:r>
          <w:r>
            <w:rPr>
              <w:b/>
            </w:rPr>
            <w:instrText xml:space="preserve"> HYPERLINK \l _Toc28243 </w:instrText>
          </w:r>
          <w:r>
            <w:rPr>
              <w:b/>
            </w:rPr>
            <w:fldChar w:fldCharType="separate"/>
          </w:r>
          <w:r>
            <w:rPr>
              <w:rFonts w:hint="eastAsia" w:ascii="Times New Roman" w:hAnsi="Times New Roman" w:eastAsia="黑体"/>
              <w:b/>
              <w:szCs w:val="44"/>
              <w:highlight w:val="none"/>
            </w:rPr>
            <w:t>第</w:t>
          </w:r>
          <w:r>
            <w:rPr>
              <w:rFonts w:hint="eastAsia" w:eastAsia="黑体"/>
              <w:b/>
              <w:szCs w:val="44"/>
              <w:highlight w:val="none"/>
              <w:lang w:eastAsia="zh-CN"/>
            </w:rPr>
            <w:t>三</w:t>
          </w:r>
          <w:r>
            <w:rPr>
              <w:rFonts w:hint="eastAsia" w:ascii="Times New Roman" w:hAnsi="Times New Roman" w:eastAsia="黑体"/>
              <w:b/>
              <w:szCs w:val="44"/>
              <w:highlight w:val="none"/>
            </w:rPr>
            <w:t>部分</w:t>
          </w:r>
          <w:r>
            <w:rPr>
              <w:rFonts w:hint="eastAsia" w:ascii="Times New Roman" w:hAnsi="Times New Roman" w:eastAsia="黑体"/>
              <w:b/>
              <w:szCs w:val="44"/>
              <w:highlight w:val="none"/>
              <w:lang w:val="en-US" w:eastAsia="zh-CN"/>
            </w:rPr>
            <w:t xml:space="preserve"> </w:t>
          </w:r>
          <w:r>
            <w:rPr>
              <w:rFonts w:hint="eastAsia" w:eastAsia="黑体"/>
              <w:b/>
              <w:szCs w:val="44"/>
              <w:highlight w:val="none"/>
              <w:lang w:val="en-US" w:eastAsia="zh-CN"/>
            </w:rPr>
            <w:t xml:space="preserve"> </w:t>
          </w:r>
          <w:r>
            <w:rPr>
              <w:rFonts w:hint="eastAsia" w:ascii="Times New Roman" w:hAnsi="Times New Roman" w:eastAsia="黑体"/>
              <w:b/>
              <w:szCs w:val="44"/>
              <w:highlight w:val="none"/>
            </w:rPr>
            <w:t>名词解释</w:t>
          </w:r>
          <w:r>
            <w:rPr>
              <w:b/>
            </w:rPr>
            <w:tab/>
          </w:r>
          <w:r>
            <w:rPr>
              <w:b/>
            </w:rPr>
            <w:fldChar w:fldCharType="begin"/>
          </w:r>
          <w:r>
            <w:rPr>
              <w:b/>
            </w:rPr>
            <w:instrText xml:space="preserve"> PAGEREF _Toc28243 \h </w:instrText>
          </w:r>
          <w:r>
            <w:rPr>
              <w:b/>
            </w:rPr>
            <w:fldChar w:fldCharType="separate"/>
          </w:r>
          <w:r>
            <w:rPr>
              <w:b/>
            </w:rPr>
            <w:t>13</w:t>
          </w:r>
          <w:r>
            <w:rPr>
              <w:b/>
            </w:rPr>
            <w:fldChar w:fldCharType="end"/>
          </w:r>
          <w:r>
            <w:rPr>
              <w:b/>
            </w:rPr>
            <w:fldChar w:fldCharType="end"/>
          </w:r>
        </w:p>
        <w:p>
          <w:pPr>
            <w:pStyle w:val="37"/>
            <w:tabs>
              <w:tab w:val="right" w:leader="dot" w:pos="8306"/>
            </w:tabs>
            <w:rPr>
              <w:b/>
            </w:rPr>
          </w:pPr>
          <w:r>
            <w:rPr>
              <w:b/>
            </w:rPr>
            <w:fldChar w:fldCharType="begin"/>
          </w:r>
          <w:r>
            <w:rPr>
              <w:b/>
            </w:rPr>
            <w:instrText xml:space="preserve"> HYPERLINK \l _Toc11762 </w:instrText>
          </w:r>
          <w:r>
            <w:rPr>
              <w:b/>
            </w:rPr>
            <w:fldChar w:fldCharType="separate"/>
          </w:r>
          <w:r>
            <w:rPr>
              <w:rFonts w:hint="eastAsia" w:ascii="Times New Roman" w:hAnsi="Times New Roman" w:eastAsia="黑体"/>
              <w:b/>
              <w:szCs w:val="44"/>
            </w:rPr>
            <w:t xml:space="preserve">第四部分 </w:t>
          </w:r>
          <w:r>
            <w:rPr>
              <w:rFonts w:hint="eastAsia" w:ascii="Times New Roman" w:hAnsi="Times New Roman" w:eastAsia="黑体"/>
              <w:b/>
              <w:szCs w:val="44"/>
              <w:highlight w:val="none"/>
            </w:rPr>
            <w:t>附件</w:t>
          </w:r>
          <w:r>
            <w:rPr>
              <w:b/>
            </w:rPr>
            <w:tab/>
          </w:r>
          <w:r>
            <w:rPr>
              <w:b/>
            </w:rPr>
            <w:fldChar w:fldCharType="begin"/>
          </w:r>
          <w:r>
            <w:rPr>
              <w:b/>
            </w:rPr>
            <w:instrText xml:space="preserve"> PAGEREF _Toc11762 \h </w:instrText>
          </w:r>
          <w:r>
            <w:rPr>
              <w:b/>
            </w:rPr>
            <w:fldChar w:fldCharType="separate"/>
          </w:r>
          <w:r>
            <w:rPr>
              <w:b/>
            </w:rPr>
            <w:t>16</w:t>
          </w:r>
          <w:r>
            <w:rPr>
              <w:b/>
            </w:rPr>
            <w:fldChar w:fldCharType="end"/>
          </w:r>
          <w:r>
            <w:rPr>
              <w:b/>
            </w:rPr>
            <w:fldChar w:fldCharType="end"/>
          </w:r>
        </w:p>
        <w:p>
          <w:pPr>
            <w:pStyle w:val="37"/>
            <w:tabs>
              <w:tab w:val="right" w:leader="dot" w:pos="8306"/>
            </w:tabs>
            <w:rPr>
              <w:b/>
            </w:rPr>
          </w:pPr>
          <w:r>
            <w:rPr>
              <w:b/>
            </w:rPr>
            <w:fldChar w:fldCharType="begin"/>
          </w:r>
          <w:r>
            <w:rPr>
              <w:b/>
            </w:rPr>
            <w:instrText xml:space="preserve"> HYPERLINK \l _Toc21709 </w:instrText>
          </w:r>
          <w:r>
            <w:rPr>
              <w:b/>
            </w:rPr>
            <w:fldChar w:fldCharType="separate"/>
          </w:r>
          <w:r>
            <w:rPr>
              <w:rFonts w:hint="eastAsia" w:ascii="Times New Roman" w:hAnsi="Times New Roman" w:eastAsia="黑体"/>
              <w:b/>
            </w:rPr>
            <w:t xml:space="preserve">第五部分 </w:t>
          </w:r>
          <w:r>
            <w:rPr>
              <w:rFonts w:hint="eastAsia" w:ascii="Times New Roman" w:hAnsi="Times New Roman" w:eastAsia="黑体"/>
              <w:b/>
              <w:highlight w:val="none"/>
            </w:rPr>
            <w:t>附表</w:t>
          </w:r>
          <w:r>
            <w:rPr>
              <w:b/>
            </w:rPr>
            <w:tab/>
          </w:r>
          <w:r>
            <w:rPr>
              <w:b/>
            </w:rPr>
            <w:fldChar w:fldCharType="begin"/>
          </w:r>
          <w:r>
            <w:rPr>
              <w:b/>
            </w:rPr>
            <w:instrText xml:space="preserve"> PAGEREF _Toc21709 \h </w:instrText>
          </w:r>
          <w:r>
            <w:rPr>
              <w:b/>
            </w:rPr>
            <w:fldChar w:fldCharType="separate"/>
          </w:r>
          <w:r>
            <w:rPr>
              <w:b/>
            </w:rPr>
            <w:t>17</w:t>
          </w:r>
          <w:r>
            <w:rPr>
              <w:b/>
            </w:rPr>
            <w:fldChar w:fldCharType="end"/>
          </w:r>
          <w:r>
            <w:rPr>
              <w:b/>
            </w:rPr>
            <w:fldChar w:fldCharType="end"/>
          </w:r>
        </w:p>
        <w:p>
          <w:pPr>
            <w:pStyle w:val="38"/>
            <w:tabs>
              <w:tab w:val="right" w:leader="dot" w:pos="8306"/>
            </w:tabs>
          </w:pPr>
          <w:r>
            <w:fldChar w:fldCharType="begin"/>
          </w:r>
          <w:r>
            <w:instrText xml:space="preserve"> HYPERLINK \l _Toc28612 </w:instrText>
          </w:r>
          <w:r>
            <w:fldChar w:fldCharType="separate"/>
          </w:r>
          <w:r>
            <w:rPr>
              <w:rFonts w:hint="eastAsia" w:ascii="Times New Roman" w:hAnsi="Times New Roman" w:eastAsia="仿宋_GB2312" w:cs="仿宋_GB2312"/>
              <w:bCs w:val="0"/>
              <w:kern w:val="2"/>
              <w:szCs w:val="32"/>
              <w:highlight w:val="none"/>
              <w:lang w:val="en-US" w:eastAsia="zh-CN" w:bidi="ar-SA"/>
            </w:rPr>
            <w:t>二、收入决算表</w:t>
          </w:r>
          <w:r>
            <w:tab/>
          </w:r>
          <w:r>
            <w:fldChar w:fldCharType="begin"/>
          </w:r>
          <w:r>
            <w:instrText xml:space="preserve"> PAGEREF _Toc28612 \h </w:instrText>
          </w:r>
          <w:r>
            <w:fldChar w:fldCharType="separate"/>
          </w:r>
          <w:r>
            <w:t>17</w:t>
          </w:r>
          <w:r>
            <w:fldChar w:fldCharType="end"/>
          </w:r>
          <w:r>
            <w:fldChar w:fldCharType="end"/>
          </w:r>
        </w:p>
        <w:p>
          <w:pPr>
            <w:pStyle w:val="38"/>
            <w:tabs>
              <w:tab w:val="right" w:leader="dot" w:pos="8306"/>
            </w:tabs>
          </w:pPr>
          <w:r>
            <w:fldChar w:fldCharType="begin"/>
          </w:r>
          <w:r>
            <w:instrText xml:space="preserve"> HYPERLINK \l _Toc28217 </w:instrText>
          </w:r>
          <w:r>
            <w:fldChar w:fldCharType="separate"/>
          </w:r>
          <w:r>
            <w:rPr>
              <w:rFonts w:hint="eastAsia" w:ascii="Times New Roman" w:hAnsi="Times New Roman" w:eastAsia="仿宋_GB2312" w:cs="仿宋_GB2312"/>
              <w:bCs w:val="0"/>
              <w:kern w:val="2"/>
              <w:szCs w:val="32"/>
              <w:highlight w:val="none"/>
              <w:lang w:val="en-US" w:eastAsia="zh-CN" w:bidi="ar-SA"/>
            </w:rPr>
            <w:t>三、支出决算表</w:t>
          </w:r>
          <w:r>
            <w:tab/>
          </w:r>
          <w:r>
            <w:fldChar w:fldCharType="begin"/>
          </w:r>
          <w:r>
            <w:instrText xml:space="preserve"> PAGEREF _Toc28217 \h </w:instrText>
          </w:r>
          <w:r>
            <w:fldChar w:fldCharType="separate"/>
          </w:r>
          <w:r>
            <w:t>17</w:t>
          </w:r>
          <w:r>
            <w:fldChar w:fldCharType="end"/>
          </w:r>
          <w:r>
            <w:fldChar w:fldCharType="end"/>
          </w:r>
        </w:p>
        <w:p>
          <w:pPr>
            <w:pStyle w:val="38"/>
            <w:tabs>
              <w:tab w:val="right" w:leader="dot" w:pos="8306"/>
            </w:tabs>
          </w:pPr>
          <w:r>
            <w:fldChar w:fldCharType="begin"/>
          </w:r>
          <w:r>
            <w:instrText xml:space="preserve"> HYPERLINK \l _Toc19192 </w:instrText>
          </w:r>
          <w:r>
            <w:fldChar w:fldCharType="separate"/>
          </w:r>
          <w:r>
            <w:rPr>
              <w:rFonts w:hint="eastAsia" w:ascii="Times New Roman" w:hAnsi="Times New Roman" w:eastAsia="仿宋_GB2312" w:cs="仿宋_GB2312"/>
              <w:bCs w:val="0"/>
              <w:kern w:val="2"/>
              <w:szCs w:val="32"/>
              <w:highlight w:val="none"/>
              <w:lang w:val="en-US" w:eastAsia="zh-CN" w:bidi="ar-SA"/>
            </w:rPr>
            <w:t>四、财政拨款收入支出决算总表</w:t>
          </w:r>
          <w:r>
            <w:tab/>
          </w:r>
          <w:r>
            <w:fldChar w:fldCharType="begin"/>
          </w:r>
          <w:r>
            <w:instrText xml:space="preserve"> PAGEREF _Toc19192 \h </w:instrText>
          </w:r>
          <w:r>
            <w:fldChar w:fldCharType="separate"/>
          </w:r>
          <w:r>
            <w:t>17</w:t>
          </w:r>
          <w:r>
            <w:fldChar w:fldCharType="end"/>
          </w:r>
          <w:r>
            <w:fldChar w:fldCharType="end"/>
          </w:r>
        </w:p>
        <w:p>
          <w:pPr>
            <w:pStyle w:val="38"/>
            <w:tabs>
              <w:tab w:val="right" w:leader="dot" w:pos="8306"/>
            </w:tabs>
          </w:pPr>
          <w:r>
            <w:fldChar w:fldCharType="begin"/>
          </w:r>
          <w:r>
            <w:instrText xml:space="preserve"> HYPERLINK \l _Toc6615 </w:instrText>
          </w:r>
          <w:r>
            <w:fldChar w:fldCharType="separate"/>
          </w:r>
          <w:r>
            <w:rPr>
              <w:rFonts w:hint="eastAsia" w:ascii="Times New Roman" w:hAnsi="Times New Roman" w:eastAsia="仿宋_GB2312" w:cs="仿宋_GB2312"/>
              <w:bCs w:val="0"/>
              <w:kern w:val="2"/>
              <w:szCs w:val="32"/>
              <w:highlight w:val="none"/>
              <w:lang w:val="en-US" w:eastAsia="zh-CN" w:bidi="ar-SA"/>
            </w:rPr>
            <w:t>五、财政拨款支出决算明细表</w:t>
          </w:r>
          <w:r>
            <w:tab/>
          </w:r>
          <w:r>
            <w:fldChar w:fldCharType="begin"/>
          </w:r>
          <w:r>
            <w:instrText xml:space="preserve"> PAGEREF _Toc6615 \h </w:instrText>
          </w:r>
          <w:r>
            <w:fldChar w:fldCharType="separate"/>
          </w:r>
          <w:r>
            <w:t>17</w:t>
          </w:r>
          <w:r>
            <w:fldChar w:fldCharType="end"/>
          </w:r>
          <w:r>
            <w:fldChar w:fldCharType="end"/>
          </w:r>
        </w:p>
        <w:p>
          <w:pPr>
            <w:pStyle w:val="38"/>
            <w:tabs>
              <w:tab w:val="right" w:leader="dot" w:pos="8306"/>
            </w:tabs>
          </w:pPr>
          <w:r>
            <w:fldChar w:fldCharType="begin"/>
          </w:r>
          <w:r>
            <w:instrText xml:space="preserve"> HYPERLINK \l _Toc30106 </w:instrText>
          </w:r>
          <w:r>
            <w:fldChar w:fldCharType="separate"/>
          </w:r>
          <w:r>
            <w:rPr>
              <w:rFonts w:hint="eastAsia" w:ascii="Times New Roman" w:hAnsi="Times New Roman" w:eastAsia="仿宋_GB2312" w:cs="仿宋_GB2312"/>
              <w:bCs w:val="0"/>
              <w:kern w:val="2"/>
              <w:szCs w:val="32"/>
              <w:highlight w:val="none"/>
              <w:lang w:val="en-US" w:eastAsia="zh-CN" w:bidi="ar-SA"/>
            </w:rPr>
            <w:t>六、一般公共预算财政拨款支出决算表</w:t>
          </w:r>
          <w:r>
            <w:tab/>
          </w:r>
          <w:r>
            <w:fldChar w:fldCharType="begin"/>
          </w:r>
          <w:r>
            <w:instrText xml:space="preserve"> PAGEREF _Toc30106 \h </w:instrText>
          </w:r>
          <w:r>
            <w:fldChar w:fldCharType="separate"/>
          </w:r>
          <w:r>
            <w:t>17</w:t>
          </w:r>
          <w:r>
            <w:fldChar w:fldCharType="end"/>
          </w:r>
          <w:r>
            <w:fldChar w:fldCharType="end"/>
          </w:r>
        </w:p>
        <w:p>
          <w:pPr>
            <w:pStyle w:val="38"/>
            <w:tabs>
              <w:tab w:val="right" w:leader="dot" w:pos="8306"/>
            </w:tabs>
          </w:pPr>
          <w:r>
            <w:fldChar w:fldCharType="begin"/>
          </w:r>
          <w:r>
            <w:instrText xml:space="preserve"> HYPERLINK \l _Toc25115 </w:instrText>
          </w:r>
          <w:r>
            <w:fldChar w:fldCharType="separate"/>
          </w:r>
          <w:r>
            <w:rPr>
              <w:rFonts w:hint="eastAsia" w:ascii="Times New Roman" w:hAnsi="Times New Roman" w:eastAsia="仿宋_GB2312" w:cs="仿宋_GB2312"/>
              <w:bCs w:val="0"/>
              <w:kern w:val="2"/>
              <w:szCs w:val="32"/>
              <w:highlight w:val="none"/>
              <w:lang w:val="en-US" w:eastAsia="zh-CN" w:bidi="ar-SA"/>
            </w:rPr>
            <w:t>七、一般公共预算财政拨款支出决算明细表</w:t>
          </w:r>
          <w:r>
            <w:tab/>
          </w:r>
          <w:r>
            <w:fldChar w:fldCharType="begin"/>
          </w:r>
          <w:r>
            <w:instrText xml:space="preserve"> PAGEREF _Toc25115 \h </w:instrText>
          </w:r>
          <w:r>
            <w:fldChar w:fldCharType="separate"/>
          </w:r>
          <w:r>
            <w:t>17</w:t>
          </w:r>
          <w:r>
            <w:fldChar w:fldCharType="end"/>
          </w:r>
          <w:r>
            <w:fldChar w:fldCharType="end"/>
          </w:r>
        </w:p>
        <w:p>
          <w:pPr>
            <w:pStyle w:val="38"/>
            <w:tabs>
              <w:tab w:val="right" w:leader="dot" w:pos="8306"/>
            </w:tabs>
          </w:pPr>
          <w:r>
            <w:fldChar w:fldCharType="begin"/>
          </w:r>
          <w:r>
            <w:instrText xml:space="preserve"> HYPERLINK \l _Toc21094 </w:instrText>
          </w:r>
          <w:r>
            <w:fldChar w:fldCharType="separate"/>
          </w:r>
          <w:r>
            <w:rPr>
              <w:rFonts w:hint="eastAsia" w:ascii="Times New Roman" w:hAnsi="Times New Roman" w:eastAsia="仿宋_GB2312" w:cs="仿宋_GB2312"/>
              <w:bCs w:val="0"/>
              <w:kern w:val="2"/>
              <w:szCs w:val="32"/>
              <w:highlight w:val="none"/>
              <w:lang w:val="en-US" w:eastAsia="zh-CN" w:bidi="ar-SA"/>
            </w:rPr>
            <w:t>八、一般公共预算财政拨款基本支出决算表</w:t>
          </w:r>
          <w:r>
            <w:tab/>
          </w:r>
          <w:r>
            <w:fldChar w:fldCharType="begin"/>
          </w:r>
          <w:r>
            <w:instrText xml:space="preserve"> PAGEREF _Toc21094 \h </w:instrText>
          </w:r>
          <w:r>
            <w:fldChar w:fldCharType="separate"/>
          </w:r>
          <w:r>
            <w:t>17</w:t>
          </w:r>
          <w:r>
            <w:fldChar w:fldCharType="end"/>
          </w:r>
          <w:r>
            <w:fldChar w:fldCharType="end"/>
          </w:r>
        </w:p>
        <w:p>
          <w:pPr>
            <w:pStyle w:val="38"/>
            <w:tabs>
              <w:tab w:val="right" w:leader="dot" w:pos="8306"/>
            </w:tabs>
          </w:pPr>
          <w:r>
            <w:fldChar w:fldCharType="begin"/>
          </w:r>
          <w:r>
            <w:instrText xml:space="preserve"> HYPERLINK \l _Toc142 </w:instrText>
          </w:r>
          <w:r>
            <w:fldChar w:fldCharType="separate"/>
          </w:r>
          <w:r>
            <w:rPr>
              <w:rFonts w:hint="eastAsia" w:ascii="Times New Roman" w:hAnsi="Times New Roman" w:eastAsia="仿宋_GB2312" w:cs="仿宋_GB2312"/>
              <w:bCs w:val="0"/>
              <w:kern w:val="2"/>
              <w:szCs w:val="32"/>
              <w:highlight w:val="none"/>
              <w:lang w:val="en-US" w:eastAsia="zh-CN" w:bidi="ar-SA"/>
            </w:rPr>
            <w:t>九、一般公共预算财政拨款项目支出决算表</w:t>
          </w:r>
          <w:r>
            <w:tab/>
          </w:r>
          <w:r>
            <w:fldChar w:fldCharType="begin"/>
          </w:r>
          <w:r>
            <w:instrText xml:space="preserve"> PAGEREF _Toc142 \h </w:instrText>
          </w:r>
          <w:r>
            <w:fldChar w:fldCharType="separate"/>
          </w:r>
          <w:r>
            <w:t>17</w:t>
          </w:r>
          <w:r>
            <w:fldChar w:fldCharType="end"/>
          </w:r>
          <w:r>
            <w:fldChar w:fldCharType="end"/>
          </w:r>
        </w:p>
        <w:p>
          <w:pPr>
            <w:pStyle w:val="38"/>
            <w:tabs>
              <w:tab w:val="right" w:leader="dot" w:pos="8306"/>
            </w:tabs>
          </w:pPr>
          <w:r>
            <w:fldChar w:fldCharType="begin"/>
          </w:r>
          <w:r>
            <w:instrText xml:space="preserve"> HYPERLINK \l _Toc22445 </w:instrText>
          </w:r>
          <w:r>
            <w:fldChar w:fldCharType="separate"/>
          </w:r>
          <w:r>
            <w:rPr>
              <w:rFonts w:hint="eastAsia" w:ascii="Times New Roman" w:hAnsi="Times New Roman" w:eastAsia="仿宋_GB2312" w:cs="仿宋_GB2312"/>
              <w:bCs w:val="0"/>
              <w:kern w:val="2"/>
              <w:szCs w:val="32"/>
              <w:highlight w:val="none"/>
              <w:lang w:val="en-US" w:eastAsia="zh-CN" w:bidi="ar-SA"/>
            </w:rPr>
            <w:t>十、政府性基金预算财政拨款收入支出决算表</w:t>
          </w:r>
          <w:r>
            <w:tab/>
          </w:r>
          <w:r>
            <w:fldChar w:fldCharType="begin"/>
          </w:r>
          <w:r>
            <w:instrText xml:space="preserve"> PAGEREF _Toc22445 \h </w:instrText>
          </w:r>
          <w:r>
            <w:fldChar w:fldCharType="separate"/>
          </w:r>
          <w:r>
            <w:t>17</w:t>
          </w:r>
          <w:r>
            <w:fldChar w:fldCharType="end"/>
          </w:r>
          <w:r>
            <w:fldChar w:fldCharType="end"/>
          </w:r>
        </w:p>
        <w:p>
          <w:pPr>
            <w:pStyle w:val="38"/>
            <w:tabs>
              <w:tab w:val="right" w:leader="dot" w:pos="8306"/>
            </w:tabs>
          </w:pPr>
          <w:r>
            <w:fldChar w:fldCharType="begin"/>
          </w:r>
          <w:r>
            <w:instrText xml:space="preserve"> HYPERLINK \l _Toc20857 </w:instrText>
          </w:r>
          <w:r>
            <w:fldChar w:fldCharType="separate"/>
          </w:r>
          <w:r>
            <w:rPr>
              <w:rFonts w:hint="eastAsia" w:ascii="Times New Roman" w:hAnsi="Times New Roman" w:eastAsia="仿宋_GB2312" w:cs="仿宋_GB2312"/>
              <w:bCs w:val="0"/>
              <w:kern w:val="2"/>
              <w:szCs w:val="32"/>
              <w:highlight w:val="none"/>
              <w:lang w:val="en-US" w:eastAsia="zh-CN" w:bidi="ar-SA"/>
            </w:rPr>
            <w:t>十一、国有资本经营预算财政拨款收入支出决算表（此表无数据）</w:t>
          </w:r>
          <w:r>
            <w:tab/>
          </w:r>
          <w:r>
            <w:fldChar w:fldCharType="begin"/>
          </w:r>
          <w:r>
            <w:instrText xml:space="preserve"> PAGEREF _Toc20857 \h </w:instrText>
          </w:r>
          <w:r>
            <w:fldChar w:fldCharType="separate"/>
          </w:r>
          <w:r>
            <w:t>17</w:t>
          </w:r>
          <w:r>
            <w:fldChar w:fldCharType="end"/>
          </w:r>
          <w:r>
            <w:fldChar w:fldCharType="end"/>
          </w:r>
        </w:p>
        <w:p>
          <w:pPr>
            <w:pStyle w:val="38"/>
            <w:tabs>
              <w:tab w:val="right" w:leader="dot" w:pos="8306"/>
            </w:tabs>
          </w:pPr>
          <w:r>
            <w:fldChar w:fldCharType="begin"/>
          </w:r>
          <w:r>
            <w:instrText xml:space="preserve"> HYPERLINK \l _Toc15053 </w:instrText>
          </w:r>
          <w:r>
            <w:fldChar w:fldCharType="separate"/>
          </w:r>
          <w:r>
            <w:rPr>
              <w:rFonts w:hint="eastAsia" w:ascii="Times New Roman" w:hAnsi="Times New Roman" w:eastAsia="仿宋_GB2312" w:cs="仿宋_GB2312"/>
              <w:bCs w:val="0"/>
              <w:kern w:val="2"/>
              <w:szCs w:val="32"/>
              <w:highlight w:val="none"/>
              <w:lang w:val="en-US" w:eastAsia="zh-CN" w:bidi="ar-SA"/>
            </w:rPr>
            <w:t>十二、国有资本经营预算财政拨款支出决算表（此表无数据）</w:t>
          </w:r>
          <w:r>
            <w:tab/>
          </w:r>
          <w:r>
            <w:fldChar w:fldCharType="begin"/>
          </w:r>
          <w:r>
            <w:instrText xml:space="preserve"> PAGEREF _Toc15053 \h </w:instrText>
          </w:r>
          <w:r>
            <w:fldChar w:fldCharType="separate"/>
          </w:r>
          <w:r>
            <w:t>17</w:t>
          </w:r>
          <w:r>
            <w:fldChar w:fldCharType="end"/>
          </w:r>
          <w:r>
            <w:fldChar w:fldCharType="end"/>
          </w:r>
        </w:p>
        <w:p>
          <w:pPr>
            <w:pStyle w:val="38"/>
            <w:tabs>
              <w:tab w:val="right" w:leader="dot" w:pos="8306"/>
            </w:tabs>
          </w:pPr>
          <w:r>
            <w:fldChar w:fldCharType="begin"/>
          </w:r>
          <w:r>
            <w:instrText xml:space="preserve"> HYPERLINK \l _Toc15053 </w:instrText>
          </w:r>
          <w:r>
            <w:fldChar w:fldCharType="separate"/>
          </w:r>
          <w:r>
            <w:rPr>
              <w:rFonts w:hint="eastAsia" w:ascii="Times New Roman" w:hAnsi="Times New Roman" w:eastAsia="仿宋_GB2312" w:cs="仿宋_GB2312"/>
              <w:bCs w:val="0"/>
              <w:kern w:val="2"/>
              <w:szCs w:val="32"/>
              <w:highlight w:val="none"/>
              <w:lang w:val="en-US" w:eastAsia="zh-CN" w:bidi="ar-SA"/>
            </w:rPr>
            <w:t>十三、</w:t>
          </w:r>
          <w:r>
            <w:rPr>
              <w:rFonts w:hint="eastAsia" w:ascii="仿宋" w:hAnsi="仿宋" w:eastAsia="仿宋"/>
              <w:bCs w:val="0"/>
            </w:rPr>
            <w:t>财政拨款“三公”经费支出决算表</w:t>
          </w:r>
          <w:r>
            <w:rPr>
              <w:rFonts w:hint="eastAsia" w:ascii="Times New Roman" w:hAnsi="Times New Roman" w:eastAsia="仿宋_GB2312" w:cs="仿宋_GB2312"/>
              <w:bCs w:val="0"/>
              <w:kern w:val="2"/>
              <w:szCs w:val="32"/>
              <w:highlight w:val="none"/>
              <w:lang w:val="en-US" w:eastAsia="zh-CN" w:bidi="ar-SA"/>
            </w:rPr>
            <w:t>（此表无数据）</w:t>
          </w:r>
          <w:r>
            <w:tab/>
          </w:r>
          <w:r>
            <w:fldChar w:fldCharType="begin"/>
          </w:r>
          <w:r>
            <w:instrText xml:space="preserve"> PAGEREF _Toc15053 \h </w:instrText>
          </w:r>
          <w:r>
            <w:fldChar w:fldCharType="separate"/>
          </w:r>
          <w:r>
            <w:t>17</w:t>
          </w:r>
          <w:r>
            <w:fldChar w:fldCharType="end"/>
          </w:r>
          <w:r>
            <w:fldChar w:fldCharType="end"/>
          </w:r>
        </w:p>
        <w:p>
          <w:pPr>
            <w:pStyle w:val="38"/>
            <w:tabs>
              <w:tab w:val="right" w:leader="dot" w:pos="8306"/>
            </w:tabs>
          </w:pPr>
        </w:p>
        <w:p>
          <w:r>
            <w:rPr>
              <w:b/>
            </w:rPr>
            <w:fldChar w:fldCharType="end"/>
          </w:r>
        </w:p>
      </w:sdtContent>
    </w:sdt>
    <w:p>
      <w:pPr>
        <w:pStyle w:val="5"/>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pPr>
      <w:bookmarkStart w:id="18" w:name="_Toc7479"/>
    </w:p>
    <w:p>
      <w:pPr>
        <w:pStyle w:val="5"/>
        <w:keepNext/>
        <w:keepLines/>
        <w:pageBreakBefore w:val="0"/>
        <w:widowControl w:val="0"/>
        <w:kinsoku/>
        <w:wordWrap/>
        <w:overflowPunct/>
        <w:topLinePunct w:val="0"/>
        <w:autoSpaceDE/>
        <w:autoSpaceDN/>
        <w:bidi w:val="0"/>
        <w:adjustRightInd/>
        <w:snapToGrid/>
        <w:spacing w:line="579" w:lineRule="auto"/>
        <w:jc w:val="center"/>
        <w:textAlignment w:val="auto"/>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eastAsia="方正小标宋简体" w:cs="方正小标宋简体"/>
          <w:b w:val="0"/>
          <w:bCs w:val="0"/>
          <w:color w:val="auto"/>
          <w:highlight w:val="none"/>
          <w:lang w:eastAsia="zh-CN"/>
        </w:rPr>
        <w:t>单位</w:t>
      </w:r>
      <w:r>
        <w:rPr>
          <w:rStyle w:val="30"/>
          <w:rFonts w:hint="eastAsia" w:ascii="Times New Roman" w:hAnsi="Times New Roman" w:eastAsia="方正小标宋简体" w:cs="方正小标宋简体"/>
          <w:b w:val="0"/>
          <w:bCs w:val="0"/>
          <w:color w:val="auto"/>
          <w:highlight w:val="none"/>
        </w:rPr>
        <w:t>概况</w:t>
      </w:r>
      <w:bookmarkEnd w:id="8"/>
      <w:bookmarkEnd w:id="9"/>
      <w:bookmarkEnd w:id="18"/>
    </w:p>
    <w:p>
      <w:pPr>
        <w:pStyle w:val="6"/>
        <w:keepNext/>
        <w:keepLines/>
        <w:pageBreakBefore w:val="0"/>
        <w:widowControl w:val="0"/>
        <w:numPr>
          <w:ilvl w:val="0"/>
          <w:numId w:val="0"/>
        </w:numPr>
        <w:kinsoku/>
        <w:wordWrap/>
        <w:overflowPunct/>
        <w:topLinePunct w:val="0"/>
        <w:autoSpaceDE/>
        <w:autoSpaceDN/>
        <w:bidi w:val="0"/>
        <w:adjustRightInd/>
        <w:snapToGrid/>
        <w:spacing w:line="416" w:lineRule="auto"/>
        <w:textAlignment w:val="auto"/>
        <w:rPr>
          <w:rFonts w:hint="eastAsia" w:ascii="Times New Roman" w:hAnsi="Times New Roman" w:eastAsia="黑体"/>
          <w:b w:val="0"/>
          <w:color w:val="auto"/>
          <w:highlight w:val="none"/>
          <w:lang w:val="en-US" w:eastAsia="zh-CN"/>
        </w:rPr>
      </w:pPr>
      <w:bookmarkStart w:id="19" w:name="_Toc17909"/>
      <w:r>
        <w:rPr>
          <w:rFonts w:hint="eastAsia" w:ascii="Times New Roman" w:hAnsi="Times New Roman" w:eastAsia="黑体"/>
          <w:b w:val="0"/>
          <w:color w:val="auto"/>
          <w:highlight w:val="none"/>
          <w:lang w:val="en-US" w:eastAsia="zh-CN"/>
        </w:rPr>
        <w:t>一</w:t>
      </w:r>
      <w:r>
        <w:rPr>
          <w:rFonts w:hint="eastAsia" w:ascii="Times New Roman" w:hAnsi="Times New Roman" w:eastAsia="黑体"/>
          <w:b w:val="0"/>
          <w:color w:val="auto"/>
          <w:highlight w:val="none"/>
        </w:rPr>
        <w:t>、</w:t>
      </w:r>
      <w:r>
        <w:rPr>
          <w:rFonts w:hint="eastAsia" w:ascii="Times New Roman" w:hAnsi="Times New Roman" w:eastAsia="黑体"/>
          <w:b w:val="0"/>
          <w:color w:val="auto"/>
          <w:highlight w:val="none"/>
          <w:lang w:val="en-US" w:eastAsia="zh-CN"/>
        </w:rPr>
        <w:t>主要职责</w:t>
      </w:r>
      <w:bookmarkEnd w:id="19"/>
      <w:bookmarkStart w:id="20" w:name="_Toc15377200"/>
      <w:bookmarkStart w:id="21" w:name="_Toc15396601"/>
    </w:p>
    <w:p>
      <w:pPr>
        <w:pStyle w:val="6"/>
        <w:numPr>
          <w:ilvl w:val="0"/>
          <w:numId w:val="0"/>
        </w:numPr>
        <w:ind w:firstLine="640" w:firstLineChars="200"/>
        <w:rPr>
          <w:rFonts w:hint="default" w:ascii="仿宋_GB2312" w:hAnsi="仿宋_GB2312" w:eastAsia="仿宋_GB2312" w:cs="仿宋_GB2312"/>
          <w:b w:val="0"/>
          <w:bCs w:val="0"/>
          <w:color w:val="auto"/>
          <w:sz w:val="32"/>
          <w:szCs w:val="32"/>
          <w:lang w:val="en-US" w:eastAsia="zh-CN"/>
        </w:rPr>
      </w:pPr>
      <w:bookmarkStart w:id="22" w:name="_Toc12156"/>
      <w:r>
        <w:rPr>
          <w:rFonts w:hint="default" w:ascii="仿宋_GB2312" w:hAnsi="仿宋_GB2312" w:eastAsia="仿宋_GB2312" w:cs="仿宋_GB2312"/>
          <w:b w:val="0"/>
          <w:bCs w:val="0"/>
          <w:color w:val="auto"/>
          <w:sz w:val="32"/>
          <w:szCs w:val="32"/>
          <w:lang w:val="en-US" w:eastAsia="zh-CN"/>
        </w:rPr>
        <w:t>目前总段属于暂缓分类事业单位，随着经济社会发展带来的变化和行业发展的需要，总段履行的职责随之发生变化</w:t>
      </w:r>
      <w:r>
        <w:rPr>
          <w:rFonts w:hint="eastAsia" w:ascii="仿宋_GB2312" w:hAnsi="仿宋_GB2312" w:eastAsia="仿宋_GB2312" w:cs="仿宋_GB2312"/>
          <w:b w:val="0"/>
          <w:bCs w:val="0"/>
          <w:color w:val="auto"/>
          <w:sz w:val="32"/>
          <w:szCs w:val="32"/>
          <w:lang w:val="en-US" w:eastAsia="zh-CN"/>
        </w:rPr>
        <w:t>，目前实际承担职能职责为：</w:t>
      </w:r>
      <w:r>
        <w:rPr>
          <w:rFonts w:hint="default" w:ascii="仿宋_GB2312" w:hAnsi="仿宋_GB2312" w:eastAsia="仿宋_GB2312" w:cs="仿宋_GB2312"/>
          <w:b w:val="0"/>
          <w:bCs w:val="0"/>
          <w:color w:val="auto"/>
          <w:sz w:val="32"/>
          <w:szCs w:val="32"/>
          <w:lang w:val="en-US" w:eastAsia="zh-CN"/>
        </w:rPr>
        <w:t>公路（含桥梁与隧道）日常养护、养护工程管理、公路灾害抢修与应急抢险保通、灾后恢复工程建设、公路养护质量监督检查与路况评定、公路绿化、公路行业统计、公路行业普查、公路数据库建设与维护、公路交通量调查、四新技术运用、公路信息化建设、公路养护节能减排及环保工作监督指导、国省干线战备保障、国省干线公路迎接上级政府目标绩效考核工作和上级临时安排的任务。总段管养公路10条，其中国道3条、省道4条、县乡道3条，总里程428.927公里；养护桥梁117座，其中特大桥6座，大桥24座；隧道3座。</w:t>
      </w:r>
      <w:bookmarkEnd w:id="22"/>
    </w:p>
    <w:p>
      <w:pPr>
        <w:pStyle w:val="6"/>
        <w:numPr>
          <w:ilvl w:val="0"/>
          <w:numId w:val="0"/>
        </w:numPr>
        <w:rPr>
          <w:rFonts w:hint="eastAsia" w:ascii="Times New Roman" w:hAnsi="Times New Roman" w:eastAsia="黑体"/>
          <w:b w:val="0"/>
          <w:color w:val="auto"/>
          <w:highlight w:val="none"/>
        </w:rPr>
      </w:pPr>
      <w:bookmarkStart w:id="23" w:name="_Toc17740"/>
    </w:p>
    <w:p>
      <w:pPr>
        <w:pStyle w:val="6"/>
        <w:numPr>
          <w:ilvl w:val="0"/>
          <w:numId w:val="0"/>
        </w:numPr>
        <w:rPr>
          <w:rFonts w:hint="eastAsia" w:ascii="Times New Roman" w:hAnsi="Times New Roman" w:eastAsia="黑体"/>
          <w:b w:val="0"/>
          <w:color w:val="auto"/>
          <w:highlight w:val="none"/>
        </w:rPr>
      </w:pPr>
    </w:p>
    <w:p>
      <w:pPr>
        <w:pStyle w:val="6"/>
        <w:numPr>
          <w:ilvl w:val="0"/>
          <w:numId w:val="0"/>
        </w:numPr>
        <w:rPr>
          <w:rFonts w:hint="eastAsia" w:ascii="Times New Roman" w:hAnsi="Times New Roman" w:eastAsia="黑体"/>
          <w:b w:val="0"/>
          <w:color w:val="auto"/>
          <w:highlight w:val="none"/>
        </w:rPr>
      </w:pPr>
    </w:p>
    <w:p>
      <w:pPr>
        <w:pStyle w:val="6"/>
        <w:numPr>
          <w:ilvl w:val="0"/>
          <w:numId w:val="0"/>
        </w:numPr>
        <w:rPr>
          <w:rFonts w:hint="eastAsia" w:ascii="Times New Roman" w:hAnsi="Times New Roman" w:eastAsia="黑体"/>
          <w:b w:val="0"/>
          <w:color w:val="auto"/>
          <w:highlight w:val="none"/>
        </w:rPr>
      </w:pPr>
    </w:p>
    <w:p>
      <w:pPr>
        <w:pStyle w:val="6"/>
        <w:numPr>
          <w:ilvl w:val="0"/>
          <w:numId w:val="0"/>
        </w:numPr>
        <w:rPr>
          <w:rStyle w:val="31"/>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20"/>
      <w:bookmarkEnd w:id="21"/>
      <w:bookmarkEnd w:id="23"/>
    </w:p>
    <w:p>
      <w:pPr>
        <w:widowControl/>
        <w:ind w:firstLine="640" w:firstLineChars="200"/>
        <w:jc w:val="left"/>
        <w:rPr>
          <w:rFonts w:ascii="Times New Roman" w:hAnsi="Times New Roman" w:eastAsia="仿宋"/>
          <w:color w:val="auto"/>
          <w:kern w:val="0"/>
          <w:sz w:val="32"/>
          <w:szCs w:val="32"/>
          <w:highlight w:val="none"/>
        </w:rPr>
      </w:pPr>
      <w:r>
        <w:rPr>
          <w:rFonts w:hint="eastAsia" w:ascii="仿宋_GB2312" w:hAnsi="仿宋_GB2312" w:eastAsia="仿宋_GB2312" w:cs="仿宋_GB2312"/>
          <w:color w:val="auto"/>
          <w:sz w:val="32"/>
          <w:szCs w:val="32"/>
          <w:lang w:val="en-US" w:eastAsia="zh-CN"/>
        </w:rPr>
        <w:t>总段机关内设12个科（室）：计划养护科、公路实验室、科技教育科、办公室、政工科、财务审计科、劳动人事科、纪检监察科、安全保卫科、工会、离退休人员管理科、资产管理科。下属单位7家：大渡口公路养护段、河门口公路养护段、金江公路养护段、米易公路养护段、桥梁养护队、桥梁检测中心和机械工程站。</w:t>
      </w:r>
      <w:r>
        <w:rPr>
          <w:rFonts w:ascii="Times New Roman" w:hAnsi="Times New Roman" w:eastAsia="仿宋"/>
          <w:color w:val="auto"/>
          <w:sz w:val="32"/>
          <w:szCs w:val="32"/>
          <w:highlight w:val="none"/>
        </w:rPr>
        <w:br w:type="page"/>
      </w:r>
    </w:p>
    <w:p>
      <w:pPr>
        <w:pStyle w:val="5"/>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pPr>
      <w:bookmarkStart w:id="24" w:name="_Toc15377204"/>
      <w:bookmarkStart w:id="25" w:name="_Toc15396602"/>
      <w:bookmarkStart w:id="26" w:name="_Toc21405"/>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eastAsia="方正小标宋简体" w:cs="方正小标宋简体"/>
          <w:b w:val="0"/>
          <w:color w:val="auto"/>
          <w:highlight w:val="none"/>
          <w:lang w:eastAsia="zh-CN"/>
        </w:rPr>
        <w:t>单位</w:t>
      </w:r>
      <w:r>
        <w:rPr>
          <w:rFonts w:hint="eastAsia" w:ascii="Times New Roman" w:hAnsi="Times New Roman" w:eastAsia="方正小标宋简体" w:cs="方正小标宋简体"/>
          <w:b w:val="0"/>
          <w:color w:val="auto"/>
          <w:highlight w:val="none"/>
        </w:rPr>
        <w:t>决算情况说明</w:t>
      </w:r>
      <w:bookmarkEnd w:id="24"/>
      <w:bookmarkEnd w:id="25"/>
      <w:bookmarkEnd w:id="26"/>
    </w:p>
    <w:p>
      <w:pPr>
        <w:rPr>
          <w:rFonts w:ascii="Times New Roman" w:hAnsi="Times New Roman"/>
          <w:color w:val="auto"/>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Style w:val="31"/>
          <w:rFonts w:hint="eastAsia" w:ascii="Times New Roman" w:hAnsi="Times New Roman" w:eastAsia="黑体"/>
          <w:b w:val="0"/>
          <w:color w:val="auto"/>
          <w:highlight w:val="none"/>
        </w:rPr>
      </w:pPr>
      <w:bookmarkStart w:id="27" w:name="_Toc9367"/>
      <w:bookmarkStart w:id="28" w:name="_Toc15396603"/>
      <w:bookmarkStart w:id="29"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27"/>
      <w:bookmarkEnd w:id="28"/>
      <w:bookmarkEnd w:id="29"/>
    </w:p>
    <w:p>
      <w:pPr>
        <w:pStyle w:val="29"/>
        <w:spacing w:line="600" w:lineRule="exact"/>
        <w:ind w:firstLine="640"/>
        <w:outlineLvl w:val="1"/>
        <w:rPr>
          <w:rFonts w:hint="eastAsia" w:eastAsia="仿宋_GB2312" w:cs="仿宋_GB2312"/>
          <w:sz w:val="32"/>
          <w:szCs w:val="32"/>
        </w:rPr>
      </w:pPr>
      <w:bookmarkStart w:id="30" w:name="_Toc15443"/>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20231.82</w:t>
      </w:r>
      <w:r>
        <w:rPr>
          <w:rFonts w:hint="eastAsia" w:ascii="Times New Roman" w:hAnsi="Times New Roman" w:eastAsia="仿宋_GB2312" w:cs="仿宋_GB2312"/>
          <w:color w:val="auto"/>
          <w:sz w:val="32"/>
          <w:szCs w:val="32"/>
          <w:highlight w:val="none"/>
        </w:rPr>
        <w:t>万元。</w:t>
      </w:r>
      <w:r>
        <w:rPr>
          <w:rFonts w:hint="eastAsia" w:eastAsia="仿宋_GB2312" w:cs="仿宋_GB2312"/>
          <w:sz w:val="32"/>
          <w:szCs w:val="32"/>
        </w:rPr>
        <w:t>与上年度相比，收入、支出总计各增加</w:t>
      </w:r>
      <w:r>
        <w:rPr>
          <w:rFonts w:hint="eastAsia" w:eastAsia="仿宋_GB2312" w:cs="仿宋_GB2312"/>
          <w:sz w:val="32"/>
          <w:szCs w:val="32"/>
          <w:lang w:val="en-US" w:eastAsia="zh-CN"/>
        </w:rPr>
        <w:t>9799.03</w:t>
      </w:r>
      <w:r>
        <w:rPr>
          <w:rFonts w:hint="eastAsia" w:eastAsia="仿宋_GB2312" w:cs="仿宋_GB2312"/>
          <w:sz w:val="32"/>
          <w:szCs w:val="32"/>
        </w:rPr>
        <w:t>万元，增长</w:t>
      </w:r>
      <w:r>
        <w:rPr>
          <w:rFonts w:hint="eastAsia" w:eastAsia="仿宋_GB2312" w:cs="仿宋_GB2312"/>
          <w:sz w:val="32"/>
          <w:szCs w:val="32"/>
          <w:lang w:val="en-US" w:eastAsia="zh-CN"/>
        </w:rPr>
        <w:t>93.9</w:t>
      </w:r>
      <w:r>
        <w:rPr>
          <w:rFonts w:hint="eastAsia" w:eastAsia="仿宋_GB2312" w:cs="仿宋_GB2312"/>
          <w:sz w:val="32"/>
          <w:szCs w:val="32"/>
        </w:rPr>
        <w:t>%。主要变动原因是</w:t>
      </w:r>
      <w:r>
        <w:rPr>
          <w:rFonts w:hint="eastAsia" w:ascii="仿宋_GB2312" w:hAnsi="仿宋" w:eastAsia="仿宋_GB2312" w:cs="Times New Roman"/>
          <w:sz w:val="32"/>
          <w:szCs w:val="32"/>
          <w:highlight w:val="none"/>
          <w:lang w:val="en-US" w:eastAsia="zh-CN"/>
        </w:rPr>
        <w:t>公路建设项目增加。</w:t>
      </w:r>
      <w:bookmarkEnd w:id="30"/>
    </w:p>
    <w:p>
      <w:pPr>
        <w:pStyle w:val="29"/>
        <w:spacing w:line="600" w:lineRule="exact"/>
        <w:ind w:left="0" w:leftChars="0" w:firstLine="0" w:firstLineChars="0"/>
        <w:outlineLvl w:val="9"/>
        <w:rPr>
          <w:rFonts w:hint="eastAsia"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59264" behindDoc="1" locked="0" layoutInCell="1" allowOverlap="1">
            <wp:simplePos x="0" y="0"/>
            <wp:positionH relativeFrom="column">
              <wp:posOffset>566420</wp:posOffset>
            </wp:positionH>
            <wp:positionV relativeFrom="paragraph">
              <wp:posOffset>186690</wp:posOffset>
            </wp:positionV>
            <wp:extent cx="4309110" cy="2686050"/>
            <wp:effectExtent l="4445" t="4445" r="10795" b="14605"/>
            <wp:wrapTight wrapText="bothSides">
              <wp:wrapPolygon>
                <wp:start x="-22" y="-36"/>
                <wp:lineTo x="-22" y="21564"/>
                <wp:lineTo x="21559" y="21564"/>
                <wp:lineTo x="21559" y="-36"/>
                <wp:lineTo x="-22" y="-36"/>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9"/>
        <w:spacing w:line="600" w:lineRule="exact"/>
        <w:ind w:left="0" w:leftChars="0" w:firstLine="0" w:firstLineChars="0"/>
        <w:outlineLvl w:val="9"/>
        <w:rPr>
          <w:rFonts w:hint="eastAsia" w:eastAsia="仿宋_GB2312" w:cs="仿宋_GB2312"/>
          <w:sz w:val="32"/>
          <w:szCs w:val="32"/>
        </w:rPr>
      </w:pPr>
    </w:p>
    <w:p>
      <w:pPr>
        <w:pStyle w:val="29"/>
        <w:spacing w:line="600" w:lineRule="exact"/>
        <w:ind w:left="0" w:leftChars="0" w:firstLine="0" w:firstLineChars="0"/>
        <w:outlineLvl w:val="9"/>
        <w:rPr>
          <w:rFonts w:hint="eastAsia" w:eastAsia="仿宋_GB2312" w:cs="仿宋_GB2312"/>
          <w:sz w:val="32"/>
          <w:szCs w:val="32"/>
        </w:rPr>
      </w:pPr>
    </w:p>
    <w:p>
      <w:pPr>
        <w:pStyle w:val="29"/>
        <w:spacing w:line="600" w:lineRule="exact"/>
        <w:ind w:left="0" w:leftChars="0" w:firstLine="0" w:firstLineChars="0"/>
        <w:outlineLvl w:val="9"/>
        <w:rPr>
          <w:rFonts w:hint="eastAsia" w:eastAsia="仿宋_GB2312" w:cs="仿宋_GB2312"/>
          <w:sz w:val="32"/>
          <w:szCs w:val="32"/>
        </w:rPr>
      </w:pPr>
    </w:p>
    <w:p>
      <w:pPr>
        <w:pStyle w:val="29"/>
        <w:spacing w:line="600" w:lineRule="exact"/>
        <w:ind w:left="0" w:leftChars="0" w:firstLine="0" w:firstLineChars="0"/>
        <w:outlineLvl w:val="9"/>
        <w:rPr>
          <w:rFonts w:hint="eastAsia" w:eastAsia="仿宋_GB2312" w:cs="仿宋_GB2312"/>
          <w:sz w:val="32"/>
          <w:szCs w:val="32"/>
        </w:rPr>
      </w:pPr>
    </w:p>
    <w:p>
      <w:pPr>
        <w:pStyle w:val="29"/>
        <w:spacing w:line="600" w:lineRule="exact"/>
        <w:ind w:firstLine="640"/>
        <w:outlineLvl w:val="9"/>
        <w:rPr>
          <w:rFonts w:hint="eastAsia" w:eastAsia="仿宋_GB2312" w:cs="仿宋_GB2312"/>
          <w:sz w:val="32"/>
          <w:szCs w:val="32"/>
        </w:rPr>
      </w:pPr>
    </w:p>
    <w:p>
      <w:pPr>
        <w:pStyle w:val="29"/>
        <w:spacing w:line="600" w:lineRule="exact"/>
        <w:ind w:firstLine="640"/>
        <w:outlineLvl w:val="9"/>
        <w:rPr>
          <w:rFonts w:hint="eastAsia" w:eastAsia="仿宋_GB2312" w:cs="仿宋_GB2312"/>
          <w:sz w:val="32"/>
          <w:szCs w:val="32"/>
        </w:rPr>
      </w:pPr>
    </w:p>
    <w:p>
      <w:pPr>
        <w:ind w:firstLine="709"/>
        <w:rPr>
          <w:rFonts w:hint="eastAsia" w:ascii="仿宋_GB2312" w:hAnsi="仿宋" w:eastAsia="仿宋_GB2312" w:cs="仿宋"/>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黑体"/>
          <w:color w:val="auto"/>
          <w:sz w:val="32"/>
          <w:szCs w:val="32"/>
          <w:highlight w:val="none"/>
          <w:lang w:eastAsia="zh-CN"/>
        </w:rPr>
      </w:pPr>
      <w:bookmarkStart w:id="31" w:name="_Toc15396604"/>
      <w:bookmarkStart w:id="32" w:name="_Toc15377206"/>
      <w:bookmarkStart w:id="33" w:name="_Toc6612"/>
      <w:r>
        <w:rPr>
          <w:rFonts w:hint="eastAsia" w:ascii="Times New Roman" w:hAnsi="Times New Roman" w:eastAsia="黑体"/>
          <w:color w:val="auto"/>
          <w:sz w:val="32"/>
          <w:szCs w:val="32"/>
          <w:highlight w:val="none"/>
          <w:lang w:eastAsia="zh-CN"/>
        </w:rPr>
        <w:t>二、收入决算情况说明</w:t>
      </w:r>
      <w:bookmarkEnd w:id="31"/>
      <w:bookmarkEnd w:id="32"/>
      <w:bookmarkEnd w:id="33"/>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bookmarkStart w:id="34" w:name="_Toc1319"/>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lang w:val="en-US" w:eastAsia="zh-CN"/>
        </w:rPr>
        <w:t>20231.82</w:t>
      </w:r>
      <w:r>
        <w:rPr>
          <w:rFonts w:hint="eastAsia" w:ascii="仿宋_GB2312" w:hAnsi="仿宋_GB2312" w:eastAsia="仿宋_GB2312" w:cs="仿宋_GB2312"/>
          <w:sz w:val="32"/>
          <w:szCs w:val="32"/>
        </w:rPr>
        <w:t>万元，其中：一般公共预算财政拨款收入19571.55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96.7</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660.27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3.3</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highlight w:val="none"/>
          <w:lang w:eastAsia="zh-CN"/>
        </w:rPr>
        <w:t>。</w:t>
      </w:r>
      <w:bookmarkEnd w:id="34"/>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480560" cy="2495550"/>
            <wp:effectExtent l="4445" t="5080" r="10795" b="1397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600" w:lineRule="exact"/>
        <w:ind w:firstLine="1920" w:firstLineChars="600"/>
        <w:jc w:val="center"/>
        <w:rPr>
          <w:rFonts w:hint="eastAsia" w:ascii="仿宋" w:hAnsi="仿宋" w:eastAsia="仿宋"/>
          <w:sz w:val="32"/>
          <w:szCs w:val="32"/>
        </w:rPr>
      </w:pPr>
      <w:bookmarkStart w:id="35" w:name="_Toc15396605"/>
      <w:bookmarkStart w:id="36" w:name="_Toc15377207"/>
      <w:r>
        <w:rPr>
          <w:rFonts w:hint="eastAsia" w:ascii="仿宋" w:hAnsi="仿宋" w:eastAsia="仿宋"/>
          <w:sz w:val="32"/>
          <w:szCs w:val="32"/>
        </w:rPr>
        <w:t>（图2：收入决算结构图）</w:t>
      </w:r>
    </w:p>
    <w:p>
      <w:pPr>
        <w:pStyle w:val="2"/>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Style w:val="31"/>
          <w:rFonts w:hint="eastAsia" w:ascii="Times New Roman" w:hAnsi="Times New Roman" w:eastAsia="黑体"/>
          <w:b w:val="0"/>
          <w:color w:val="auto"/>
          <w:highlight w:val="none"/>
        </w:rPr>
      </w:pPr>
      <w:bookmarkStart w:id="37" w:name="_Toc8670"/>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35"/>
      <w:bookmarkEnd w:id="36"/>
      <w:bookmarkEnd w:id="37"/>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bookmarkStart w:id="38" w:name="_Toc12563"/>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lang w:val="en-US" w:eastAsia="zh-CN"/>
        </w:rPr>
        <w:t>20231.82</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10861.55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53.7</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9370.27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46.3</w:t>
      </w:r>
      <w:r>
        <w:rPr>
          <w:rFonts w:hint="eastAsia" w:ascii="仿宋_GB2312" w:hAnsi="仿宋_GB2312" w:eastAsia="仿宋_GB2312" w:cs="仿宋_GB2312"/>
          <w:color w:val="auto"/>
          <w:sz w:val="32"/>
          <w:szCs w:val="32"/>
          <w:highlight w:val="none"/>
          <w:lang w:eastAsia="zh-CN"/>
        </w:rPr>
        <w:t>%。</w:t>
      </w:r>
      <w:bookmarkEnd w:id="38"/>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498975" cy="2876550"/>
            <wp:effectExtent l="4445" t="4445" r="11430" b="1460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ind w:firstLine="800" w:firstLineChars="250"/>
        <w:jc w:val="cente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pPr>
        <w:pStyle w:val="2"/>
        <w:rPr>
          <w:rFonts w:hint="eastAsia"/>
          <w:lang w:eastAsia="zh-CN"/>
        </w:rPr>
      </w:pPr>
    </w:p>
    <w:p>
      <w:pPr>
        <w:spacing w:line="600" w:lineRule="exact"/>
        <w:ind w:firstLine="640" w:firstLineChars="200"/>
        <w:outlineLvl w:val="9"/>
        <w:rPr>
          <w:rFonts w:hint="eastAsia" w:ascii="Times New Roman" w:hAnsi="Times New Roman" w:eastAsia="黑体"/>
          <w:color w:val="auto"/>
          <w:sz w:val="32"/>
          <w:szCs w:val="32"/>
          <w:highlight w:val="none"/>
        </w:rPr>
      </w:pPr>
      <w:bookmarkStart w:id="39" w:name="_Toc15396606"/>
      <w:bookmarkStart w:id="40" w:name="_Toc15377208"/>
    </w:p>
    <w:p>
      <w:pPr>
        <w:spacing w:line="600" w:lineRule="exact"/>
        <w:outlineLvl w:val="1"/>
        <w:rPr>
          <w:rStyle w:val="31"/>
          <w:rFonts w:ascii="Times New Roman" w:hAnsi="Times New Roman" w:eastAsia="黑体"/>
          <w:b w:val="0"/>
          <w:color w:val="auto"/>
          <w:highlight w:val="none"/>
        </w:rPr>
      </w:pPr>
      <w:bookmarkStart w:id="41" w:name="_Toc3859"/>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39"/>
      <w:bookmarkEnd w:id="40"/>
      <w:bookmarkEnd w:id="41"/>
    </w:p>
    <w:p>
      <w:pPr>
        <w:spacing w:line="600" w:lineRule="exact"/>
        <w:ind w:firstLine="640"/>
        <w:rPr>
          <w:rFonts w:hint="eastAsia"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lang w:val="en-US" w:eastAsia="zh-CN"/>
        </w:rPr>
        <w:t>20231.82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sz w:val="32"/>
          <w:szCs w:val="32"/>
        </w:rPr>
        <w:t>与上年度相比，财政拨款收入、支出总计各增加</w:t>
      </w:r>
      <w:r>
        <w:rPr>
          <w:rFonts w:hint="eastAsia" w:eastAsia="仿宋_GB2312" w:cs="仿宋_GB2312"/>
          <w:sz w:val="32"/>
          <w:szCs w:val="32"/>
          <w:lang w:val="en-US" w:eastAsia="zh-CN"/>
        </w:rPr>
        <w:t>9799.03</w:t>
      </w:r>
      <w:r>
        <w:rPr>
          <w:rFonts w:hint="eastAsia" w:eastAsia="仿宋_GB2312" w:cs="仿宋_GB2312"/>
          <w:sz w:val="32"/>
          <w:szCs w:val="32"/>
        </w:rPr>
        <w:t>万元，增长</w:t>
      </w:r>
      <w:r>
        <w:rPr>
          <w:rFonts w:hint="eastAsia" w:eastAsia="仿宋_GB2312" w:cs="仿宋_GB2312"/>
          <w:sz w:val="32"/>
          <w:szCs w:val="32"/>
          <w:lang w:val="en-US" w:eastAsia="zh-CN"/>
        </w:rPr>
        <w:t>93.9</w:t>
      </w:r>
      <w:r>
        <w:rPr>
          <w:rFonts w:hint="eastAsia" w:eastAsia="仿宋_GB2312" w:cs="仿宋_GB2312"/>
          <w:sz w:val="32"/>
          <w:szCs w:val="32"/>
        </w:rPr>
        <w:t>%。主要变动原因是</w:t>
      </w:r>
      <w:r>
        <w:rPr>
          <w:rFonts w:hint="eastAsia" w:ascii="仿宋_GB2312" w:hAnsi="仿宋" w:eastAsia="仿宋_GB2312" w:cs="Times New Roman"/>
          <w:sz w:val="32"/>
          <w:szCs w:val="32"/>
          <w:highlight w:val="none"/>
          <w:lang w:val="en-US" w:eastAsia="zh-CN"/>
        </w:rPr>
        <w:t>公路建设项目增加。</w:t>
      </w:r>
    </w:p>
    <w:p>
      <w:pPr>
        <w:pStyle w:val="2"/>
        <w:rPr>
          <w:rFonts w:hint="eastAsia"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60288" behindDoc="1" locked="0" layoutInCell="1" allowOverlap="1">
            <wp:simplePos x="0" y="0"/>
            <wp:positionH relativeFrom="column">
              <wp:posOffset>442595</wp:posOffset>
            </wp:positionH>
            <wp:positionV relativeFrom="paragraph">
              <wp:posOffset>73660</wp:posOffset>
            </wp:positionV>
            <wp:extent cx="4309110" cy="2686050"/>
            <wp:effectExtent l="4445" t="4445" r="10795" b="14605"/>
            <wp:wrapTight wrapText="bothSides">
              <wp:wrapPolygon>
                <wp:start x="-22" y="-36"/>
                <wp:lineTo x="-22" y="21564"/>
                <wp:lineTo x="21559" y="21564"/>
                <wp:lineTo x="21559" y="-36"/>
                <wp:lineTo x="-22" y="-36"/>
              </wp:wrapPolygon>
            </wp:wrapTight>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3"/>
        <w:rPr>
          <w:rFonts w:hint="eastAsia" w:eastAsia="仿宋_GB2312" w:cs="仿宋_GB2312"/>
          <w:sz w:val="32"/>
          <w:szCs w:val="32"/>
        </w:rPr>
      </w:pPr>
    </w:p>
    <w:p>
      <w:pPr>
        <w:rPr>
          <w:rFonts w:hint="eastAsia" w:eastAsia="仿宋_GB2312" w:cs="仿宋_GB2312"/>
          <w:sz w:val="32"/>
          <w:szCs w:val="32"/>
        </w:rPr>
      </w:pPr>
    </w:p>
    <w:p>
      <w:pPr>
        <w:pStyle w:val="2"/>
        <w:rPr>
          <w:rFonts w:hint="eastAsia" w:eastAsia="仿宋_GB2312" w:cs="仿宋_GB2312"/>
          <w:sz w:val="32"/>
          <w:szCs w:val="32"/>
        </w:rPr>
      </w:pPr>
    </w:p>
    <w:p>
      <w:pPr>
        <w:pStyle w:val="3"/>
        <w:rPr>
          <w:rFonts w:hint="eastAsia" w:eastAsia="仿宋_GB2312" w:cs="仿宋_GB2312"/>
          <w:sz w:val="32"/>
          <w:szCs w:val="32"/>
        </w:rPr>
      </w:pPr>
    </w:p>
    <w:p>
      <w:pPr>
        <w:rPr>
          <w:rFonts w:hint="eastAsia" w:eastAsia="仿宋_GB2312" w:cs="仿宋_GB2312"/>
          <w:sz w:val="32"/>
          <w:szCs w:val="32"/>
        </w:rPr>
      </w:pPr>
    </w:p>
    <w:p>
      <w:pPr>
        <w:pStyle w:val="2"/>
        <w:rPr>
          <w:rFonts w:hint="eastAsia" w:eastAsia="仿宋_GB2312" w:cs="仿宋_GB2312"/>
          <w:sz w:val="32"/>
          <w:szCs w:val="32"/>
        </w:rPr>
      </w:pPr>
    </w:p>
    <w:p>
      <w:pPr>
        <w:pStyle w:val="3"/>
        <w:rPr>
          <w:rFonts w:hint="eastAsia"/>
        </w:rPr>
      </w:pPr>
    </w:p>
    <w:p>
      <w:pPr>
        <w:pStyle w:val="2"/>
      </w:pPr>
    </w:p>
    <w:p>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pStyle w:val="2"/>
        <w:rPr>
          <w:rFonts w:hint="eastAsia"/>
          <w:lang w:val="en-US" w:eastAsia="zh-CN"/>
        </w:rPr>
      </w:pPr>
    </w:p>
    <w:p>
      <w:pPr>
        <w:pStyle w:val="3"/>
        <w:rPr>
          <w:rFonts w:hint="eastAsia"/>
          <w:lang w:val="en-US" w:eastAsia="zh-CN"/>
        </w:rPr>
      </w:pPr>
    </w:p>
    <w:p>
      <w:pPr>
        <w:rPr>
          <w:rFonts w:hint="eastAsia"/>
          <w:lang w:val="en-US" w:eastAsia="zh-CN"/>
        </w:rPr>
      </w:pPr>
    </w:p>
    <w:p>
      <w:pPr>
        <w:spacing w:line="600" w:lineRule="exact"/>
        <w:outlineLvl w:val="1"/>
        <w:rPr>
          <w:rStyle w:val="31"/>
          <w:rFonts w:ascii="Times New Roman" w:hAnsi="Times New Roman" w:eastAsia="黑体"/>
          <w:b w:val="0"/>
          <w:color w:val="auto"/>
          <w:highlight w:val="none"/>
        </w:rPr>
      </w:pPr>
      <w:bookmarkStart w:id="42" w:name="_Toc15377209"/>
      <w:bookmarkStart w:id="43" w:name="_Toc15396607"/>
      <w:bookmarkStart w:id="44" w:name="_Toc24361"/>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42"/>
      <w:bookmarkEnd w:id="43"/>
      <w:bookmarkEnd w:id="44"/>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5"/>
    </w:p>
    <w:p>
      <w:pPr>
        <w:spacing w:line="600" w:lineRule="exact"/>
        <w:ind w:firstLine="640"/>
        <w:rPr>
          <w:rFonts w:hint="eastAsia" w:eastAsia="仿宋_GB2312" w:cs="仿宋_GB2312"/>
          <w:sz w:val="32"/>
          <w:szCs w:val="32"/>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19571.55</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97.7</w:t>
      </w:r>
      <w:r>
        <w:rPr>
          <w:rFonts w:hint="eastAsia" w:ascii="仿宋_GB2312" w:hAnsi="仿宋_GB2312" w:eastAsia="仿宋_GB2312" w:cs="仿宋_GB2312"/>
          <w:color w:val="auto"/>
          <w:kern w:val="2"/>
          <w:sz w:val="32"/>
          <w:szCs w:val="32"/>
          <w:highlight w:val="none"/>
          <w:lang w:val="en-US" w:eastAsia="zh-CN" w:bidi="ar-SA"/>
        </w:rPr>
        <w:t>%。</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9189.16</w:t>
      </w:r>
      <w:r>
        <w:rPr>
          <w:rFonts w:hint="eastAsia" w:eastAsia="仿宋_GB2312" w:cs="仿宋_GB2312"/>
          <w:sz w:val="32"/>
          <w:szCs w:val="32"/>
        </w:rPr>
        <w:t>万元，增长</w:t>
      </w:r>
      <w:r>
        <w:rPr>
          <w:rFonts w:hint="eastAsia" w:eastAsia="仿宋_GB2312" w:cs="仿宋_GB2312"/>
          <w:sz w:val="32"/>
          <w:szCs w:val="32"/>
          <w:lang w:val="en-US" w:eastAsia="zh-CN"/>
        </w:rPr>
        <w:t>88.5</w:t>
      </w:r>
      <w:r>
        <w:rPr>
          <w:rFonts w:hint="eastAsia" w:eastAsia="仿宋_GB2312" w:cs="仿宋_GB2312"/>
          <w:sz w:val="32"/>
          <w:szCs w:val="32"/>
        </w:rPr>
        <w:t>%。主要变动原因是</w:t>
      </w:r>
      <w:r>
        <w:rPr>
          <w:rFonts w:hint="eastAsia" w:ascii="仿宋_GB2312" w:hAnsi="仿宋" w:eastAsia="仿宋_GB2312" w:cs="Times New Roman"/>
          <w:sz w:val="32"/>
          <w:szCs w:val="32"/>
          <w:highlight w:val="none"/>
          <w:lang w:val="en-US" w:eastAsia="zh-CN"/>
        </w:rPr>
        <w:t>公路建设项目增加。</w:t>
      </w:r>
    </w:p>
    <w:p>
      <w:pPr>
        <w:pStyle w:val="2"/>
        <w:rPr>
          <w:rFonts w:hint="eastAsia" w:eastAsia="仿宋_GB2312" w:cs="仿宋_GB2312"/>
          <w:sz w:val="32"/>
          <w:szCs w:val="32"/>
        </w:rPr>
      </w:pPr>
    </w:p>
    <w:p>
      <w:pPr>
        <w:pStyle w:val="3"/>
        <w:rPr>
          <w:rFonts w:hint="eastAsia" w:eastAsia="仿宋_GB2312" w:cs="仿宋_GB2312"/>
          <w:sz w:val="32"/>
          <w:szCs w:val="32"/>
        </w:rPr>
      </w:pPr>
    </w:p>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drawing>
          <wp:anchor distT="0" distB="0" distL="114300" distR="114300" simplePos="0" relativeHeight="251661312" behindDoc="1" locked="0" layoutInCell="1" allowOverlap="1">
            <wp:simplePos x="0" y="0"/>
            <wp:positionH relativeFrom="column">
              <wp:posOffset>509905</wp:posOffset>
            </wp:positionH>
            <wp:positionV relativeFrom="paragraph">
              <wp:posOffset>-451485</wp:posOffset>
            </wp:positionV>
            <wp:extent cx="4488180" cy="2511425"/>
            <wp:effectExtent l="4445" t="4445" r="22225" b="17780"/>
            <wp:wrapTight wrapText="bothSides">
              <wp:wrapPolygon>
                <wp:start x="-21" y="-38"/>
                <wp:lineTo x="-21" y="21425"/>
                <wp:lineTo x="21524" y="21425"/>
                <wp:lineTo x="21524" y="-38"/>
                <wp:lineTo x="-21" y="-38"/>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lang w:val="en-US" w:eastAsia="zh-CN"/>
        </w:rPr>
      </w:pPr>
    </w:p>
    <w:p>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pStyle w:val="2"/>
        <w:rPr>
          <w:rFonts w:hint="eastAsia"/>
          <w:lang w:val="en-US" w:eastAsia="zh-CN"/>
        </w:rPr>
      </w:pPr>
    </w:p>
    <w:p>
      <w:pPr>
        <w:spacing w:line="600" w:lineRule="exact"/>
        <w:ind w:firstLine="643" w:firstLineChars="200"/>
        <w:outlineLvl w:val="2"/>
        <w:rPr>
          <w:rFonts w:hint="default" w:ascii="Times New Roman" w:hAnsi="Times New Roman" w:eastAsia="楷体_GB2312" w:cs="楷体_GB2312"/>
          <w:b/>
          <w:color w:val="auto"/>
          <w:sz w:val="32"/>
          <w:szCs w:val="32"/>
          <w:highlight w:val="none"/>
          <w:lang w:val="en-US" w:eastAsia="zh-CN"/>
        </w:rPr>
      </w:pPr>
      <w:bookmarkStart w:id="46"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6"/>
      <w:r>
        <w:rPr>
          <w:rFonts w:hint="eastAsia" w:eastAsia="楷体_GB2312" w:cs="楷体_GB2312"/>
          <w:b/>
          <w:color w:val="auto"/>
          <w:sz w:val="32"/>
          <w:szCs w:val="32"/>
          <w:highlight w:val="none"/>
          <w:lang w:val="en-US" w:eastAsia="zh-CN"/>
        </w:rPr>
        <w:t xml:space="preserve">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rPr>
        <w:t>19571.55</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.84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0.01</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ascii="仿宋_GB2312" w:hAnsi="仿宋_GB2312" w:eastAsia="仿宋_GB2312" w:cs="仿宋_GB2312"/>
          <w:sz w:val="32"/>
          <w:szCs w:val="32"/>
          <w:lang w:val="en-US" w:eastAsia="zh-CN"/>
        </w:rPr>
        <w:t>4430.24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22.6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ascii="仿宋_GB2312" w:hAnsi="仿宋_GB2312" w:eastAsia="仿宋_GB2312" w:cs="仿宋_GB2312"/>
          <w:sz w:val="32"/>
          <w:szCs w:val="32"/>
          <w:lang w:val="en-US" w:eastAsia="zh-CN"/>
        </w:rPr>
        <w:t>424.91万</w:t>
      </w:r>
      <w:r>
        <w:rPr>
          <w:rFonts w:hint="eastAsia" w:ascii="Times New Roman" w:hAnsi="Times New Roman" w:eastAsia="仿宋_GB2312" w:cs="仿宋_GB2312"/>
          <w:color w:val="auto"/>
          <w:kern w:val="2"/>
          <w:sz w:val="32"/>
          <w:szCs w:val="32"/>
          <w:highlight w:val="none"/>
          <w:lang w:val="en-US" w:eastAsia="zh-CN" w:bidi="ar-SA"/>
        </w:rPr>
        <w:t>元，占</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ascii="仿宋_GB2312" w:hAnsi="仿宋_GB2312" w:eastAsia="仿宋_GB2312" w:cs="仿宋_GB2312"/>
          <w:sz w:val="32"/>
          <w:szCs w:val="32"/>
          <w:lang w:val="en-US" w:eastAsia="zh-CN"/>
        </w:rPr>
        <w:t>583.99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%；交通运输支出</w:t>
      </w:r>
      <w:r>
        <w:rPr>
          <w:rFonts w:hint="eastAsia" w:ascii="仿宋_GB2312" w:hAnsi="仿宋_GB2312" w:eastAsia="仿宋_GB2312" w:cs="仿宋_GB2312"/>
          <w:sz w:val="32"/>
          <w:szCs w:val="32"/>
          <w:lang w:val="en-US" w:eastAsia="zh-CN"/>
        </w:rPr>
        <w:t>14129.57万元，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72.2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3"/>
        <w:ind w:left="0" w:leftChars="0" w:firstLine="0" w:firstLineChars="0"/>
        <w:rPr>
          <w:rFonts w:hint="eastAsia" w:ascii="仿宋" w:hAnsi="仿宋" w:eastAsia="仿宋"/>
          <w:color w:val="auto"/>
          <w:sz w:val="32"/>
          <w:szCs w:val="32"/>
          <w:highlight w:val="none"/>
          <w:lang w:eastAsia="zh-CN"/>
        </w:rPr>
      </w:pPr>
      <w:bookmarkStart w:id="117" w:name="_GoBack"/>
      <w:r>
        <w:rPr>
          <w:rFonts w:hint="eastAsia" w:ascii="仿宋" w:hAnsi="仿宋" w:eastAsia="仿宋"/>
          <w:color w:val="auto"/>
          <w:sz w:val="32"/>
          <w:szCs w:val="32"/>
          <w:highlight w:val="none"/>
          <w:lang w:eastAsia="zh-CN"/>
        </w:rPr>
        <w:drawing>
          <wp:inline distT="0" distB="0" distL="114300" distR="114300">
            <wp:extent cx="5265420" cy="2291080"/>
            <wp:effectExtent l="4445" t="4445" r="6985" b="9525"/>
            <wp:docPr id="2"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End w:id="11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8" w:name="_Toc15377444"/>
      <w:bookmarkStart w:id="49" w:name="_Toc15377213"/>
      <w:bookmarkStart w:id="50" w:name="_Toc15378460"/>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19571.55</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8"/>
      <w:bookmarkEnd w:id="49"/>
      <w:bookmarkEnd w:id="50"/>
    </w:p>
    <w:p>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一般公共服务（类）组织事务（款）其他组织事务支出（项）支出决算为</w:t>
      </w:r>
      <w:r>
        <w:rPr>
          <w:rFonts w:hint="eastAsia" w:ascii="仿宋_GB2312" w:hAnsi="仿宋_GB2312" w:eastAsia="仿宋_GB2312" w:cs="仿宋_GB2312"/>
          <w:sz w:val="32"/>
          <w:szCs w:val="32"/>
          <w:lang w:val="en-US" w:eastAsia="zh-CN"/>
        </w:rPr>
        <w:t>2.84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t>2</w:t>
      </w:r>
      <w:r>
        <w:rPr>
          <w:rFonts w:hint="eastAsia" w:eastAsia="仿宋_GB2312" w:cs="仿宋_GB2312"/>
          <w:color w:val="auto"/>
          <w:kern w:val="2"/>
          <w:sz w:val="32"/>
          <w:szCs w:val="32"/>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社会保障和就业（类）人力资源和社会保障管理事务（款）其他人力资源和社会保障管理事务支出（项）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ascii="仿宋_GB2312" w:hAnsi="仿宋_GB2312" w:eastAsia="仿宋_GB2312" w:cs="仿宋_GB2312"/>
          <w:sz w:val="32"/>
          <w:szCs w:val="32"/>
          <w:lang w:val="en-US" w:eastAsia="zh-CN"/>
        </w:rPr>
        <w:t>4.72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社会保障和就业（类）行政事业单位养老支出（款）事业单位离退休（项）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ascii="仿宋_GB2312" w:hAnsi="仿宋_GB2312" w:eastAsia="仿宋_GB2312" w:cs="仿宋_GB2312"/>
          <w:sz w:val="32"/>
          <w:szCs w:val="32"/>
          <w:lang w:val="en-US" w:eastAsia="zh-CN"/>
        </w:rPr>
        <w:t>2962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ascii="仿宋_GB2312" w:hAnsi="仿宋_GB2312" w:eastAsia="仿宋_GB2312" w:cs="仿宋_GB2312"/>
          <w:sz w:val="32"/>
          <w:szCs w:val="32"/>
          <w:lang w:val="en-US" w:eastAsia="zh-CN"/>
        </w:rPr>
        <w:t>803.59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ascii="仿宋_GB2312" w:hAnsi="仿宋_GB2312" w:eastAsia="仿宋_GB2312" w:cs="仿宋_GB2312"/>
          <w:sz w:val="32"/>
          <w:szCs w:val="32"/>
          <w:lang w:val="en-US" w:eastAsia="zh-CN"/>
        </w:rPr>
        <w:t>378.97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.社会保障和就业（类）抚恤（款）死亡抚恤（项）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ascii="仿宋_GB2312" w:hAnsi="仿宋_GB2312" w:eastAsia="仿宋_GB2312" w:cs="仿宋_GB2312"/>
          <w:sz w:val="32"/>
          <w:szCs w:val="32"/>
          <w:lang w:val="en-US" w:eastAsia="zh-CN"/>
        </w:rPr>
        <w:t>280.96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376.10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卫生健康（类）行政事业单位医疗（款）公务员医疗补助（项）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48.81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交通运输（类）公路水路运输（款）机关服务（项）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ascii="仿宋_GB2312" w:hAnsi="仿宋_GB2312" w:eastAsia="仿宋_GB2312" w:cs="仿宋_GB2312"/>
          <w:sz w:val="32"/>
          <w:szCs w:val="32"/>
          <w:lang w:val="en-US" w:eastAsia="zh-CN"/>
        </w:rPr>
        <w:t>5419.57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交通运输（类）公路水路运输（款）</w:t>
      </w:r>
      <w:r>
        <w:rPr>
          <w:rFonts w:hint="eastAsia" w:eastAsia="仿宋_GB2312" w:cs="仿宋_GB2312"/>
          <w:color w:val="auto"/>
          <w:kern w:val="2"/>
          <w:sz w:val="32"/>
          <w:szCs w:val="32"/>
          <w:highlight w:val="none"/>
          <w:lang w:val="en-US" w:eastAsia="zh-CN" w:bidi="ar-SA"/>
        </w:rPr>
        <w:t>公路养护</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ascii="仿宋_GB2312" w:hAnsi="仿宋_GB2312" w:eastAsia="仿宋_GB2312" w:cs="仿宋_GB2312"/>
          <w:sz w:val="32"/>
          <w:szCs w:val="32"/>
          <w:lang w:val="en-US" w:eastAsia="zh-CN"/>
        </w:rPr>
        <w:t>266.47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交通运输（类）公路水路运输（款）其他公路水路运输支出（项）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ascii="仿宋_GB2312" w:hAnsi="仿宋_GB2312" w:eastAsia="仿宋_GB2312" w:cs="仿宋_GB2312"/>
          <w:sz w:val="32"/>
          <w:szCs w:val="32"/>
          <w:lang w:val="en-US" w:eastAsia="zh-CN"/>
        </w:rPr>
        <w:t>8443.53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keepNext w:val="0"/>
        <w:keepLines w:val="0"/>
        <w:widowControl/>
        <w:suppressLineNumbers w:val="0"/>
        <w:ind w:firstLine="640" w:firstLineChars="200"/>
        <w:jc w:val="lef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住房保障（类）住房改革（款）住房公积金（项）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ascii="仿宋_GB2312" w:hAnsi="仿宋_GB2312" w:eastAsia="仿宋_GB2312" w:cs="仿宋_GB2312"/>
          <w:sz w:val="32"/>
          <w:szCs w:val="32"/>
          <w:lang w:val="en-US" w:eastAsia="zh-CN"/>
        </w:rPr>
        <w:t>583.99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pStyle w:val="2"/>
        <w:rPr>
          <w:rFonts w:hint="eastAsia" w:eastAsia="仿宋_GB2312" w:cs="仿宋_GB2312"/>
          <w:color w:val="auto"/>
          <w:kern w:val="2"/>
          <w:sz w:val="32"/>
          <w:szCs w:val="32"/>
          <w:highlight w:val="none"/>
          <w:lang w:val="en-US" w:eastAsia="zh-CN" w:bidi="ar-SA"/>
        </w:rPr>
      </w:pPr>
    </w:p>
    <w:p>
      <w:pPr>
        <w:pStyle w:val="3"/>
        <w:rPr>
          <w:rFonts w:hint="default"/>
          <w:lang w:val="en-US" w:eastAsia="zh-CN"/>
        </w:rPr>
      </w:pPr>
    </w:p>
    <w:p>
      <w:pPr>
        <w:tabs>
          <w:tab w:val="right" w:pos="8306"/>
        </w:tabs>
        <w:spacing w:line="600" w:lineRule="exact"/>
        <w:outlineLvl w:val="1"/>
        <w:rPr>
          <w:rStyle w:val="31"/>
          <w:rFonts w:ascii="Times New Roman" w:hAnsi="Times New Roman"/>
          <w:color w:val="auto"/>
          <w:highlight w:val="none"/>
        </w:rPr>
      </w:pPr>
      <w:bookmarkStart w:id="51" w:name="_Toc15377214"/>
      <w:bookmarkStart w:id="52" w:name="_Toc15396608"/>
      <w:bookmarkStart w:id="53" w:name="_Toc18905"/>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51"/>
      <w:bookmarkEnd w:id="52"/>
      <w:bookmarkEnd w:id="53"/>
      <w:r>
        <w:rPr>
          <w:rStyle w:val="31"/>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10861.55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10861.55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ind w:left="0" w:leftChars="0" w:firstLine="0" w:firstLineChars="0"/>
        <w:rPr>
          <w:rFonts w:hint="eastAsia"/>
          <w:lang w:val="en-US" w:eastAsia="zh-CN"/>
        </w:rPr>
      </w:pPr>
    </w:p>
    <w:p>
      <w:pPr>
        <w:spacing w:line="600" w:lineRule="exact"/>
        <w:outlineLvl w:val="1"/>
        <w:rPr>
          <w:rStyle w:val="31"/>
          <w:rFonts w:ascii="Times New Roman" w:hAnsi="Times New Roman" w:eastAsia="黑体"/>
          <w:b w:val="0"/>
          <w:color w:val="auto"/>
          <w:highlight w:val="none"/>
        </w:rPr>
      </w:pPr>
      <w:bookmarkStart w:id="54" w:name="_Toc15396609"/>
      <w:bookmarkStart w:id="55" w:name="_Toc15377215"/>
      <w:bookmarkStart w:id="56" w:name="_Toc28001"/>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54"/>
      <w:bookmarkEnd w:id="55"/>
      <w:bookmarkEnd w:id="56"/>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15377216"/>
      <w:r>
        <w:rPr>
          <w:rFonts w:hint="eastAsia" w:ascii="Times New Roman" w:hAnsi="Times New Roman" w:eastAsia="楷体_GB2312" w:cs="楷体_GB2312"/>
          <w:b/>
          <w:color w:val="auto"/>
          <w:sz w:val="32"/>
          <w:szCs w:val="32"/>
          <w:highlight w:val="none"/>
        </w:rPr>
        <w:t>（一）</w:t>
      </w:r>
      <w:r>
        <w:rPr>
          <w:rFonts w:hint="eastAsia" w:eastAsia="楷体_GB2312" w:cs="楷体_GB2312"/>
          <w:b/>
          <w:sz w:val="32"/>
          <w:szCs w:val="32"/>
        </w:rPr>
        <w:t>财政拨款</w:t>
      </w:r>
      <w:r>
        <w:rPr>
          <w:rFonts w:hint="eastAsia" w:ascii="Times New Roman" w:hAnsi="Times New Roman" w:eastAsia="楷体_GB2312" w:cs="楷体_GB2312"/>
          <w:b/>
          <w:color w:val="auto"/>
          <w:sz w:val="32"/>
          <w:szCs w:val="32"/>
          <w:highlight w:val="none"/>
        </w:rPr>
        <w:t>“三公”经费支出决算总体情况说明</w:t>
      </w:r>
      <w:bookmarkEnd w:id="57"/>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sz w:val="32"/>
          <w:szCs w:val="32"/>
        </w:rPr>
        <w:t>2025年度财政拨款“三公”经费支出决算</w:t>
      </w:r>
      <w:r>
        <w:rPr>
          <w:rFonts w:hint="eastAsia" w:ascii="Times New Roman" w:hAnsi="Times New Roman" w:eastAsia="仿宋_GB2312" w:cs="仿宋_GB2312"/>
          <w:color w:val="auto"/>
          <w:kern w:val="2"/>
          <w:sz w:val="32"/>
          <w:szCs w:val="32"/>
          <w:highlight w:val="none"/>
          <w:lang w:val="en-US" w:eastAsia="zh-CN" w:bidi="ar-SA"/>
        </w:rPr>
        <w:t>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eastAsia="仿宋_GB2312" w:cs="仿宋_GB2312"/>
          <w:sz w:val="32"/>
          <w:szCs w:val="32"/>
        </w:rPr>
        <w:t>较上年度增加</w:t>
      </w:r>
      <w:r>
        <w:rPr>
          <w:rFonts w:hint="eastAsia" w:eastAsia="仿宋_GB2312" w:cs="仿宋_GB2312"/>
          <w:sz w:val="32"/>
          <w:szCs w:val="32"/>
          <w:lang w:val="en-US" w:eastAsia="zh-CN"/>
        </w:rPr>
        <w:t>0</w:t>
      </w:r>
      <w:r>
        <w:rPr>
          <w:rFonts w:hint="eastAsia" w:eastAsia="仿宋_GB2312" w:cs="仿宋_GB2312"/>
          <w:sz w:val="32"/>
          <w:szCs w:val="32"/>
        </w:rPr>
        <w:t>万元，增长</w:t>
      </w:r>
      <w:r>
        <w:rPr>
          <w:rFonts w:hint="eastAsia" w:eastAsia="仿宋_GB2312" w:cs="仿宋_GB2312"/>
          <w:sz w:val="32"/>
          <w:szCs w:val="32"/>
          <w:lang w:val="en-US" w:eastAsia="zh-CN"/>
        </w:rPr>
        <w:t>0</w:t>
      </w:r>
      <w:r>
        <w:rPr>
          <w:rFonts w:hint="eastAsia" w:eastAsia="仿宋_GB2312" w:cs="仿宋_GB2312"/>
          <w:sz w:val="32"/>
          <w:szCs w:val="32"/>
        </w:rPr>
        <w:t>%。</w:t>
      </w:r>
    </w:p>
    <w:p>
      <w:pPr>
        <w:spacing w:line="600" w:lineRule="exact"/>
        <w:ind w:firstLine="643" w:firstLineChars="200"/>
        <w:outlineLvl w:val="2"/>
        <w:rPr>
          <w:rFonts w:eastAsia="楷体_GB2312" w:cs="楷体_GB2312"/>
          <w:b/>
          <w:sz w:val="32"/>
          <w:szCs w:val="32"/>
        </w:rPr>
      </w:pPr>
      <w:bookmarkStart w:id="58" w:name="_Toc15377217"/>
      <w:r>
        <w:rPr>
          <w:rFonts w:hint="eastAsia" w:ascii="Times New Roman" w:hAnsi="Times New Roman" w:eastAsia="楷体_GB2312" w:cs="楷体_GB2312"/>
          <w:b/>
          <w:color w:val="auto"/>
          <w:sz w:val="32"/>
          <w:szCs w:val="32"/>
          <w:highlight w:val="none"/>
        </w:rPr>
        <w:t>（二）</w:t>
      </w:r>
      <w:bookmarkEnd w:id="58"/>
      <w:r>
        <w:rPr>
          <w:rFonts w:hint="eastAsia" w:eastAsia="楷体_GB2312" w:cs="楷体_GB2312"/>
          <w:b/>
          <w:sz w:val="32"/>
          <w:szCs w:val="32"/>
        </w:rPr>
        <w:t>财政拨款“三公”经费支出决算具体情况说明</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sz w:val="32"/>
          <w:szCs w:val="32"/>
        </w:rPr>
        <w:t>2025年度财政拨款“三公”经费支出决算中</w:t>
      </w:r>
      <w:r>
        <w:rPr>
          <w:rFonts w:hint="eastAsia" w:ascii="仿宋_GB2312" w:hAnsi="仿宋_GB2312" w:eastAsia="仿宋_GB2312" w:cs="仿宋_GB2312"/>
          <w:color w:val="auto"/>
          <w:kern w:val="2"/>
          <w:sz w:val="32"/>
          <w:szCs w:val="32"/>
          <w:highlight w:val="none"/>
          <w:lang w:val="en-US" w:eastAsia="zh-CN" w:bidi="ar-SA"/>
        </w:rPr>
        <w:t>，因公出国（境）费支出决算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pPr>
        <w:numPr>
          <w:ilvl w:val="0"/>
          <w:numId w:val="1"/>
        </w:num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pPr>
        <w:spacing w:line="600" w:lineRule="exact"/>
        <w:ind w:firstLine="640"/>
        <w:outlineLvl w:val="1"/>
        <w:rPr>
          <w:rFonts w:hint="eastAsia" w:ascii="Times New Roman" w:hAnsi="Times New Roman" w:eastAsia="仿宋_GB2312" w:cs="仿宋_GB2312"/>
          <w:b/>
          <w:bCs/>
          <w:color w:val="auto"/>
          <w:kern w:val="2"/>
          <w:sz w:val="32"/>
          <w:szCs w:val="32"/>
          <w:highlight w:val="none"/>
          <w:lang w:val="en-US" w:eastAsia="zh-CN" w:bidi="ar-SA"/>
        </w:rPr>
      </w:pPr>
      <w:bookmarkStart w:id="59" w:name="_Toc15023"/>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bookmarkEnd w:id="59"/>
      <w:bookmarkStart w:id="60" w:name="_Toc15377218"/>
      <w:bookmarkStart w:id="61" w:name="_Toc15396610"/>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3"/>
        <w:rPr>
          <w:rFonts w:hint="eastAsia"/>
          <w:lang w:val="en-US" w:eastAsia="zh-CN"/>
        </w:rPr>
      </w:pPr>
    </w:p>
    <w:p>
      <w:pPr>
        <w:spacing w:line="600" w:lineRule="exact"/>
        <w:outlineLvl w:val="1"/>
        <w:rPr>
          <w:rStyle w:val="31"/>
          <w:rFonts w:ascii="Times New Roman" w:hAnsi="Times New Roman" w:eastAsia="黑体"/>
          <w:color w:val="auto"/>
          <w:highlight w:val="none"/>
        </w:rPr>
      </w:pPr>
      <w:bookmarkStart w:id="62" w:name="_Toc17158"/>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60"/>
      <w:bookmarkEnd w:id="61"/>
      <w:bookmarkEnd w:id="62"/>
    </w:p>
    <w:p>
      <w:pPr>
        <w:ind w:firstLine="709"/>
        <w:rPr>
          <w:rFonts w:hint="eastAsia" w:eastAsia="仿宋_GB2312" w:cs="仿宋_GB2312"/>
          <w:sz w:val="32"/>
          <w:szCs w:val="32"/>
          <w:lang w:eastAsia="zh-CN"/>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lang w:val="en-US" w:eastAsia="zh-CN"/>
        </w:rPr>
        <w:t>660.27</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3.3</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sz w:val="32"/>
          <w:szCs w:val="32"/>
        </w:rPr>
        <w:t>与上年度相比，政府性基金预算财政拨款支出增加</w:t>
      </w:r>
      <w:r>
        <w:rPr>
          <w:rFonts w:hint="eastAsia" w:eastAsia="仿宋_GB2312" w:cs="仿宋_GB2312"/>
          <w:sz w:val="32"/>
          <w:szCs w:val="32"/>
          <w:lang w:val="en-US" w:eastAsia="zh-CN"/>
        </w:rPr>
        <w:t>609.87</w:t>
      </w:r>
      <w:r>
        <w:rPr>
          <w:rFonts w:hint="eastAsia" w:eastAsia="仿宋_GB2312" w:cs="仿宋_GB2312"/>
          <w:sz w:val="32"/>
          <w:szCs w:val="32"/>
        </w:rPr>
        <w:t>万元，增长</w:t>
      </w:r>
      <w:r>
        <w:rPr>
          <w:rFonts w:hint="eastAsia" w:eastAsia="仿宋_GB2312" w:cs="仿宋_GB2312"/>
          <w:sz w:val="32"/>
          <w:szCs w:val="32"/>
          <w:lang w:val="en-US" w:eastAsia="zh-CN"/>
        </w:rPr>
        <w:t>1210.1</w:t>
      </w:r>
      <w:r>
        <w:rPr>
          <w:rFonts w:hint="eastAsia" w:eastAsia="仿宋_GB2312" w:cs="仿宋_GB2312"/>
          <w:sz w:val="32"/>
          <w:szCs w:val="32"/>
        </w:rPr>
        <w:t>%。主要变动原因是用地方政府专项债支付建设项目费用</w:t>
      </w:r>
      <w:r>
        <w:rPr>
          <w:rFonts w:hint="eastAsia" w:eastAsia="仿宋_GB2312" w:cs="仿宋_GB2312"/>
          <w:sz w:val="32"/>
          <w:szCs w:val="32"/>
          <w:lang w:eastAsia="zh-CN"/>
        </w:rPr>
        <w:t>。</w:t>
      </w:r>
    </w:p>
    <w:p>
      <w:pPr>
        <w:pStyle w:val="2"/>
        <w:rPr>
          <w:rFonts w:hint="eastAsia" w:eastAsia="仿宋_GB2312" w:cs="仿宋_GB2312"/>
          <w:sz w:val="32"/>
          <w:szCs w:val="32"/>
          <w:lang w:eastAsia="zh-CN"/>
        </w:rPr>
      </w:pPr>
    </w:p>
    <w:p>
      <w:pPr>
        <w:numPr>
          <w:ilvl w:val="0"/>
          <w:numId w:val="0"/>
        </w:numPr>
        <w:spacing w:line="600" w:lineRule="exact"/>
        <w:outlineLvl w:val="1"/>
        <w:rPr>
          <w:rStyle w:val="31"/>
          <w:rFonts w:ascii="Times New Roman" w:hAnsi="Times New Roman" w:eastAsia="黑体"/>
          <w:b w:val="0"/>
          <w:color w:val="auto"/>
          <w:highlight w:val="none"/>
        </w:rPr>
      </w:pPr>
      <w:bookmarkStart w:id="63" w:name="_Toc15377219"/>
      <w:bookmarkStart w:id="64" w:name="_Toc15396611"/>
      <w:bookmarkStart w:id="65" w:name="_Toc20847"/>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63"/>
      <w:bookmarkEnd w:id="64"/>
      <w:bookmarkEnd w:id="65"/>
    </w:p>
    <w:p>
      <w:pPr>
        <w:numPr>
          <w:ilvl w:val="0"/>
          <w:numId w:val="0"/>
        </w:numPr>
        <w:spacing w:line="600" w:lineRule="exact"/>
        <w:ind w:left="630" w:leftChars="0"/>
        <w:outlineLvl w:val="1"/>
        <w:rPr>
          <w:rFonts w:hint="eastAsia" w:ascii="Times New Roman" w:hAnsi="Times New Roman" w:eastAsia="仿宋_GB2312" w:cs="仿宋_GB2312"/>
          <w:color w:val="auto"/>
          <w:kern w:val="2"/>
          <w:sz w:val="32"/>
          <w:szCs w:val="32"/>
          <w:highlight w:val="none"/>
          <w:lang w:val="en-US" w:eastAsia="zh-CN" w:bidi="ar-SA"/>
        </w:rPr>
      </w:pPr>
      <w:bookmarkStart w:id="66" w:name="_Toc1879"/>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bookmarkEnd w:id="66"/>
      <w:bookmarkStart w:id="67" w:name="_Toc15396612"/>
      <w:bookmarkStart w:id="68" w:name="_Toc15377221"/>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lang w:val="en-US" w:eastAsia="zh-CN"/>
        </w:rPr>
      </w:pPr>
    </w:p>
    <w:p>
      <w:pPr>
        <w:numPr>
          <w:ilvl w:val="0"/>
          <w:numId w:val="0"/>
        </w:numPr>
        <w:spacing w:line="600" w:lineRule="exact"/>
        <w:outlineLvl w:val="1"/>
        <w:rPr>
          <w:rStyle w:val="31"/>
          <w:rFonts w:hint="eastAsia" w:ascii="Times New Roman" w:hAnsi="Times New Roman" w:eastAsia="黑体"/>
          <w:b w:val="0"/>
          <w:color w:val="auto"/>
          <w:highlight w:val="none"/>
        </w:rPr>
      </w:pPr>
      <w:bookmarkStart w:id="69" w:name="_Toc31718"/>
      <w:r>
        <w:rPr>
          <w:rStyle w:val="31"/>
          <w:rFonts w:hint="eastAsia" w:eastAsia="黑体"/>
          <w:b w:val="0"/>
          <w:color w:val="auto"/>
          <w:highlight w:val="none"/>
          <w:lang w:val="en-US" w:eastAsia="zh-CN"/>
        </w:rPr>
        <w:t>十、</w:t>
      </w:r>
      <w:r>
        <w:rPr>
          <w:rStyle w:val="31"/>
          <w:rFonts w:hint="eastAsia" w:ascii="Times New Roman" w:hAnsi="Times New Roman" w:eastAsia="黑体"/>
          <w:b w:val="0"/>
          <w:color w:val="auto"/>
          <w:highlight w:val="none"/>
        </w:rPr>
        <w:t>其他重要事项的情况说明</w:t>
      </w:r>
      <w:bookmarkEnd w:id="67"/>
      <w:bookmarkEnd w:id="68"/>
      <w:bookmarkEnd w:id="69"/>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0" w:name="_Toc15377222"/>
      <w:r>
        <w:rPr>
          <w:rFonts w:hint="eastAsia" w:ascii="Times New Roman" w:hAnsi="Times New Roman" w:eastAsia="楷体_GB2312" w:cs="楷体_GB2312"/>
          <w:b/>
          <w:color w:val="auto"/>
          <w:sz w:val="32"/>
          <w:szCs w:val="32"/>
          <w:highlight w:val="none"/>
        </w:rPr>
        <w:t>（一）机关运行经费支出情况</w:t>
      </w:r>
      <w:bookmarkEnd w:id="70"/>
    </w:p>
    <w:p>
      <w:pPr>
        <w:ind w:firstLine="709"/>
        <w:rPr>
          <w:rFonts w:hint="eastAsia" w:ascii="仿宋_GB2312" w:hAnsi="仿宋" w:eastAsia="仿宋_GB2312" w:cs="仿宋"/>
          <w:color w:val="000000"/>
          <w:sz w:val="32"/>
          <w:szCs w:val="32"/>
          <w:lang w:val="en-US" w:eastAsia="zh-CN"/>
        </w:rPr>
      </w:pPr>
      <w:r>
        <w:rPr>
          <w:rFonts w:hint="eastAsia" w:ascii="仿宋_GB2312" w:hAnsi="方正仿宋_GB2312" w:eastAsia="仿宋_GB2312" w:cs="方正仿宋_GB2312"/>
          <w:sz w:val="32"/>
          <w:szCs w:val="32"/>
        </w:rPr>
        <w:t>202</w:t>
      </w:r>
      <w:r>
        <w:rPr>
          <w:rFonts w:hint="eastAsia" w:ascii="仿宋_GB2312" w:hAnsi="方正仿宋_GB2312" w:eastAsia="仿宋_GB2312" w:cs="方正仿宋_GB2312"/>
          <w:sz w:val="32"/>
          <w:szCs w:val="32"/>
          <w:lang w:val="en-US" w:eastAsia="zh-CN"/>
        </w:rPr>
        <w:t>5</w:t>
      </w:r>
      <w:r>
        <w:rPr>
          <w:rFonts w:hint="eastAsia" w:ascii="仿宋_GB2312" w:hAnsi="方正仿宋_GB2312" w:eastAsia="仿宋_GB2312" w:cs="方正仿宋_GB2312"/>
          <w:sz w:val="32"/>
          <w:szCs w:val="32"/>
        </w:rPr>
        <w:t>年</w:t>
      </w:r>
      <w:r>
        <w:rPr>
          <w:rFonts w:hint="eastAsia" w:ascii="仿宋_GB2312" w:hAnsi="方正仿宋_GB2312" w:eastAsia="仿宋_GB2312" w:cs="方正仿宋_GB2312"/>
          <w:sz w:val="32"/>
          <w:szCs w:val="32"/>
          <w:lang w:val="en-US" w:eastAsia="zh-CN"/>
        </w:rPr>
        <w:t>度，</w:t>
      </w:r>
      <w:r>
        <w:rPr>
          <w:rFonts w:hint="eastAsia" w:ascii="仿宋_GB2312" w:hAnsi="方正仿宋_GB2312" w:eastAsia="仿宋_GB2312" w:cs="方正仿宋_GB2312"/>
          <w:sz w:val="32"/>
          <w:szCs w:val="32"/>
        </w:rPr>
        <w:t>机关运行经费支出0万元。</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1" w:name="_Toc15377223"/>
      <w:r>
        <w:rPr>
          <w:rFonts w:hint="eastAsia" w:ascii="Times New Roman" w:hAnsi="Times New Roman" w:eastAsia="楷体_GB2312" w:cs="楷体_GB2312"/>
          <w:b/>
          <w:color w:val="auto"/>
          <w:sz w:val="32"/>
          <w:szCs w:val="32"/>
          <w:highlight w:val="none"/>
        </w:rPr>
        <w:t>（二）政府采购支出情况</w:t>
      </w:r>
      <w:bookmarkEnd w:id="71"/>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四川省攀枝花市公路养护总段</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 w:eastAsia="仿宋_GB2312" w:cs="仿宋"/>
          <w:bCs/>
          <w:sz w:val="32"/>
          <w:szCs w:val="32"/>
        </w:rPr>
        <w:t>11,660.03</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 w:eastAsia="仿宋_GB2312" w:cs="仿宋"/>
          <w:bCs/>
          <w:sz w:val="32"/>
          <w:szCs w:val="32"/>
          <w:lang w:eastAsia="zh-CN"/>
        </w:rPr>
        <w:t>11,209.13</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 w:eastAsia="仿宋_GB2312" w:cs="仿宋"/>
          <w:bCs/>
          <w:sz w:val="32"/>
          <w:szCs w:val="32"/>
          <w:lang w:eastAsia="zh-CN"/>
        </w:rPr>
        <w:t>450.90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 w:eastAsia="仿宋_GB2312" w:cs="仿宋"/>
          <w:bCs/>
          <w:sz w:val="32"/>
          <w:szCs w:val="32"/>
          <w:lang w:val="en-US" w:eastAsia="zh-CN"/>
        </w:rPr>
        <w:t>7771.89</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lang w:val="en-US" w:eastAsia="zh-CN"/>
        </w:rPr>
        <w:t>66.7</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 w:eastAsia="仿宋_GB2312" w:cs="仿宋"/>
          <w:bCs/>
          <w:sz w:val="32"/>
          <w:szCs w:val="32"/>
          <w:lang w:val="en-US" w:eastAsia="zh-CN"/>
        </w:rPr>
        <w:t>952.61</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lang w:val="en-US" w:eastAsia="zh-CN"/>
        </w:rPr>
        <w:t>8.2</w:t>
      </w:r>
      <w:r>
        <w:rPr>
          <w:rFonts w:hint="eastAsia" w:ascii="仿宋_GB2312" w:hAnsi="仿宋_GB2312"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2" w:name="_Toc15377224"/>
      <w:r>
        <w:rPr>
          <w:rFonts w:hint="eastAsia" w:ascii="Times New Roman" w:hAnsi="Times New Roman" w:eastAsia="楷体_GB2312" w:cs="楷体_GB2312"/>
          <w:b/>
          <w:color w:val="auto"/>
          <w:sz w:val="32"/>
          <w:szCs w:val="32"/>
          <w:highlight w:val="none"/>
        </w:rPr>
        <w:t>（三）国有资产占有使用情况</w:t>
      </w:r>
      <w:bookmarkEnd w:id="7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四川省攀枝花市公路养护总段</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lang w:val="en-US" w:eastAsia="zh-CN"/>
        </w:rPr>
        <w:t>78</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辆、特种用车62辆、其他用车</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color w:val="auto"/>
          <w:kern w:val="2"/>
          <w:sz w:val="32"/>
          <w:szCs w:val="32"/>
          <w:highlight w:val="none"/>
          <w:lang w:val="en-US" w:eastAsia="zh-CN" w:bidi="ar-SA"/>
        </w:rPr>
        <w:t>辆，其他用车主要是</w:t>
      </w:r>
      <w:r>
        <w:rPr>
          <w:rFonts w:hint="eastAsia" w:ascii="仿宋_GB2312" w:hAnsi="方正仿宋_GB2312" w:eastAsia="仿宋_GB2312" w:cs="方正仿宋_GB2312"/>
          <w:sz w:val="32"/>
          <w:szCs w:val="32"/>
        </w:rPr>
        <w:t>用于保障单位日常用车</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中央和省级交通专项资金</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个项目开展了预算事前绩效评估，编制了绩效目标，预算执行过程中，选取</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个项目开展绩效监控。组织对</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个项目开展绩效自评，绩效自评</w:t>
      </w:r>
      <w:r>
        <w:rPr>
          <w:rFonts w:hint="eastAsia" w:eastAsia="仿宋_GB2312" w:cs="仿宋_GB2312"/>
          <w:color w:val="auto"/>
          <w:kern w:val="2"/>
          <w:sz w:val="32"/>
          <w:szCs w:val="32"/>
          <w:highlight w:val="none"/>
          <w:lang w:val="en-US" w:eastAsia="zh-CN" w:bidi="ar-SA"/>
        </w:rPr>
        <w:t>表</w:t>
      </w:r>
      <w:r>
        <w:rPr>
          <w:rFonts w:hint="eastAsia" w:ascii="Times New Roman" w:hAnsi="Times New Roman" w:eastAsia="仿宋_GB2312" w:cs="仿宋_GB2312"/>
          <w:color w:val="auto"/>
          <w:kern w:val="2"/>
          <w:sz w:val="32"/>
          <w:szCs w:val="32"/>
          <w:highlight w:val="none"/>
          <w:lang w:val="en-US" w:eastAsia="zh-CN" w:bidi="ar-SA"/>
        </w:rPr>
        <w:t>详见</w:t>
      </w:r>
      <w:r>
        <w:rPr>
          <w:rFonts w:hint="eastAsia" w:ascii="仿宋_GB2312" w:eastAsia="仿宋_GB2312"/>
          <w:sz w:val="32"/>
          <w:szCs w:val="32"/>
        </w:rPr>
        <w:t>第四部分附件</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bookmarkStart w:id="73" w:name="_Toc15377225"/>
      <w:bookmarkStart w:id="74" w:name="_Toc15396613"/>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9"/>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5" w:name="_Toc2824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3"/>
      <w:bookmarkEnd w:id="74"/>
      <w:bookmarkEnd w:id="75"/>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2.年初结转和结余：指以前年度尚未完成、结转到本年按有关规定继续使用的资金。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 年末结转和结余：指单位按有关规定结转到下年或以后年度继续使用的资金。</w:t>
      </w:r>
    </w:p>
    <w:p>
      <w:pPr>
        <w:numPr>
          <w:ilvl w:val="0"/>
          <w:numId w:val="0"/>
        </w:numPr>
        <w:spacing w:line="600" w:lineRule="exact"/>
        <w:ind w:firstLine="640" w:firstLineChars="0"/>
        <w:rPr>
          <w:rFonts w:hint="default" w:eastAsia="仿宋_GB2312" w:cs="仿宋_GB2312"/>
          <w:color w:val="FF0000"/>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5.一般公共服务（类）组织事务（款）其他组织事务支出（项）</w:t>
      </w:r>
      <w:r>
        <w:rPr>
          <w:rFonts w:hint="eastAsia" w:eastAsia="仿宋_GB2312" w:cs="仿宋_GB2312"/>
          <w:color w:val="auto"/>
          <w:kern w:val="2"/>
          <w:sz w:val="32"/>
          <w:szCs w:val="32"/>
          <w:highlight w:val="none"/>
          <w:lang w:val="en-US" w:eastAsia="zh-CN" w:bidi="ar-SA"/>
        </w:rPr>
        <w:t>：</w:t>
      </w:r>
      <w:r>
        <w:rPr>
          <w:rStyle w:val="17"/>
          <w:rFonts w:hint="eastAsia" w:ascii="仿宋_GB2312" w:hAnsi="仿宋_GB2312" w:eastAsia="仿宋_GB2312" w:cs="仿宋_GB2312"/>
          <w:b w:val="0"/>
          <w:bCs w:val="0"/>
          <w:sz w:val="32"/>
          <w:szCs w:val="32"/>
          <w:lang w:eastAsia="zh-CN"/>
        </w:rPr>
        <w:t>反映</w:t>
      </w:r>
      <w:r>
        <w:rPr>
          <w:rStyle w:val="17"/>
          <w:rFonts w:hint="eastAsia" w:ascii="仿宋_GB2312" w:hAnsi="仿宋_GB2312" w:eastAsia="仿宋_GB2312" w:cs="仿宋_GB2312"/>
          <w:b w:val="0"/>
          <w:bCs w:val="0"/>
          <w:sz w:val="32"/>
          <w:szCs w:val="32"/>
          <w:lang w:val="en-US" w:eastAsia="zh-CN"/>
        </w:rPr>
        <w:t>除上述项目以外其他用于中国共产党组织事务部门的</w:t>
      </w:r>
      <w:r>
        <w:rPr>
          <w:rStyle w:val="17"/>
          <w:rFonts w:hint="eastAsia" w:ascii="仿宋_GB2312" w:hAnsi="仿宋_GB2312" w:eastAsia="仿宋_GB2312" w:cs="仿宋_GB2312"/>
          <w:b w:val="0"/>
          <w:bCs w:val="0"/>
          <w:sz w:val="32"/>
          <w:szCs w:val="32"/>
          <w:lang w:eastAsia="zh-CN"/>
        </w:rPr>
        <w:t>支出</w:t>
      </w:r>
      <w:r>
        <w:rPr>
          <w:rStyle w:val="17"/>
          <w:rFonts w:hint="eastAsia" w:ascii="仿宋_GB2312" w:hAnsi="仿宋_GB2312" w:eastAsia="仿宋_GB2312" w:cs="仿宋_GB2312"/>
          <w:b w:val="0"/>
          <w:bCs w:val="0"/>
          <w:sz w:val="32"/>
          <w:szCs w:val="32"/>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社会保障和就业（类）行政事业单位养老支出（款）事业单位离退休（项）</w:t>
      </w:r>
      <w:r>
        <w:rPr>
          <w:rFonts w:hint="eastAsia" w:eastAsia="仿宋_GB2312" w:cs="仿宋_GB2312"/>
          <w:color w:val="auto"/>
          <w:kern w:val="2"/>
          <w:sz w:val="32"/>
          <w:szCs w:val="32"/>
          <w:highlight w:val="none"/>
          <w:lang w:val="en-US" w:eastAsia="zh-CN" w:bidi="ar-SA"/>
        </w:rPr>
        <w:t>：指事业</w:t>
      </w:r>
      <w:r>
        <w:rPr>
          <w:rFonts w:hint="eastAsia" w:eastAsia="仿宋_GB2312"/>
          <w:color w:val="0D0D0D" w:themeColor="text1" w:themeTint="F2"/>
          <w:sz w:val="32"/>
          <w:szCs w:val="32"/>
          <w14:textFill>
            <w14:solidFill>
              <w14:schemeClr w14:val="tx1">
                <w14:lumMod w14:val="95000"/>
                <w14:lumOff w14:val="5000"/>
              </w14:schemeClr>
            </w14:solidFill>
          </w14:textFill>
        </w:rPr>
        <w:t>单位开支的离退休经费。</w:t>
      </w:r>
    </w:p>
    <w:p>
      <w:pPr>
        <w:numPr>
          <w:ilvl w:val="0"/>
          <w:numId w:val="0"/>
        </w:numPr>
        <w:spacing w:line="600" w:lineRule="exact"/>
        <w:ind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指机关</w:t>
      </w:r>
      <w:r>
        <w:rPr>
          <w:rFonts w:hint="eastAsia" w:eastAsia="仿宋_GB2312" w:cs="仿宋_GB2312"/>
          <w:color w:val="auto"/>
          <w:kern w:val="2"/>
          <w:sz w:val="32"/>
          <w:szCs w:val="32"/>
          <w:highlight w:val="none"/>
          <w:lang w:val="en-US" w:eastAsia="zh-CN" w:bidi="ar-SA"/>
        </w:rPr>
        <w:t>事业</w:t>
      </w:r>
      <w:r>
        <w:rPr>
          <w:rFonts w:hint="eastAsia" w:ascii="Times New Roman" w:hAnsi="Times New Roman" w:eastAsia="仿宋_GB2312" w:cs="仿宋_GB2312"/>
          <w:color w:val="auto"/>
          <w:kern w:val="2"/>
          <w:sz w:val="32"/>
          <w:szCs w:val="32"/>
          <w:highlight w:val="none"/>
          <w:lang w:val="en-US" w:eastAsia="zh-CN" w:bidi="ar-SA"/>
        </w:rPr>
        <w:t>单位开支的基本养老保险缴费</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bidi="ar-SA"/>
        </w:rPr>
        <w:t>：指</w:t>
      </w:r>
      <w:r>
        <w:rPr>
          <w:rFonts w:hint="eastAsia" w:ascii="仿宋_GB2312" w:eastAsia="仿宋_GB2312"/>
          <w:sz w:val="32"/>
          <w:szCs w:val="32"/>
          <w:lang w:eastAsia="zh-CN"/>
        </w:rPr>
        <w:t>机关事业单位实施养老保险制度由单位实际缴纳的职业年金支出</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.社会保障和就业（类）抚恤（款）死亡抚恤（项）</w:t>
      </w:r>
      <w:r>
        <w:rPr>
          <w:rFonts w:hint="eastAsia" w:eastAsia="仿宋_GB2312" w:cs="仿宋_GB2312"/>
          <w:color w:val="auto"/>
          <w:kern w:val="2"/>
          <w:sz w:val="32"/>
          <w:szCs w:val="32"/>
          <w:highlight w:val="none"/>
          <w:lang w:val="en-US" w:eastAsia="zh-CN" w:bidi="ar-SA"/>
        </w:rPr>
        <w:t>：</w:t>
      </w:r>
      <w:r>
        <w:rPr>
          <w:rFonts w:hint="eastAsia" w:ascii="仿宋_GB2312" w:eastAsia="仿宋_GB2312" w:cs="仿宋_GB2312"/>
          <w:sz w:val="32"/>
          <w:szCs w:val="32"/>
        </w:rPr>
        <w:t>按规定用于烈士和牺牲、病故人员家属的一次性和定期抚恤金以及丧葬补助费</w:t>
      </w:r>
      <w:r>
        <w:rPr>
          <w:rFonts w:hint="eastAsia" w:ascii="仿宋_GB2312" w:eastAsia="仿宋_GB2312" w:cs="仿宋_GB2312"/>
          <w:sz w:val="32"/>
          <w:szCs w:val="32"/>
          <w:lang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.卫生健康（类）行政事业单位医疗（款）事业单位医疗（项）</w:t>
      </w:r>
      <w:r>
        <w:rPr>
          <w:rFonts w:hint="eastAsia" w:eastAsia="仿宋_GB2312" w:cs="仿宋_GB2312"/>
          <w:color w:val="auto"/>
          <w:kern w:val="2"/>
          <w:sz w:val="32"/>
          <w:szCs w:val="32"/>
          <w:highlight w:val="none"/>
          <w:lang w:val="en-US" w:eastAsia="zh-CN" w:bidi="ar-SA"/>
        </w:rPr>
        <w:t>：指</w:t>
      </w:r>
      <w:r>
        <w:rPr>
          <w:rFonts w:hint="eastAsia" w:ascii="仿宋_GB2312" w:eastAsia="仿宋_GB2312"/>
          <w:sz w:val="32"/>
          <w:szCs w:val="32"/>
          <w:lang w:eastAsia="zh-CN"/>
        </w:rPr>
        <w:t>财政部门安排的</w:t>
      </w:r>
      <w:r>
        <w:rPr>
          <w:rFonts w:hint="eastAsia" w:ascii="Times New Roman" w:hAnsi="Times New Roman" w:eastAsia="仿宋_GB2312" w:cs="仿宋_GB2312"/>
          <w:color w:val="auto"/>
          <w:kern w:val="2"/>
          <w:sz w:val="32"/>
          <w:szCs w:val="32"/>
          <w:highlight w:val="none"/>
          <w:lang w:val="en-US" w:eastAsia="zh-CN" w:bidi="ar-SA"/>
        </w:rPr>
        <w:t>事业单位基本医疗保险缴费经费，未参加医疗保险的事业单位的公费医疗经费，按国家规定享受离休人员待遇人员的医疗经费。</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卫生健康（类）行政事业单位医疗（款）公务员医疗补助（项）</w:t>
      </w:r>
      <w:r>
        <w:rPr>
          <w:rFonts w:hint="eastAsia" w:eastAsia="仿宋_GB2312" w:cs="仿宋_GB2312"/>
          <w:color w:val="auto"/>
          <w:kern w:val="2"/>
          <w:sz w:val="32"/>
          <w:szCs w:val="32"/>
          <w:highlight w:val="none"/>
          <w:lang w:val="en-US" w:eastAsia="zh-CN" w:bidi="ar-SA"/>
        </w:rPr>
        <w:t>：指</w:t>
      </w:r>
      <w:r>
        <w:rPr>
          <w:rStyle w:val="17"/>
          <w:rFonts w:hint="eastAsia" w:ascii="仿宋_GB2312" w:hAnsi="方正仿宋_GB2312" w:eastAsia="仿宋_GB2312" w:cs="方正仿宋_GB2312"/>
          <w:b w:val="0"/>
          <w:bCs/>
          <w:color w:val="000000"/>
          <w:sz w:val="32"/>
          <w:szCs w:val="32"/>
        </w:rPr>
        <w:t>行政事业单位缴纳的公务员医疗补助经费</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交通运输（类）公路水路运输（款）机关服务（项）</w:t>
      </w:r>
      <w:r>
        <w:rPr>
          <w:rFonts w:hint="eastAsia" w:eastAsia="仿宋_GB2312" w:cs="仿宋_GB2312"/>
          <w:color w:val="auto"/>
          <w:kern w:val="2"/>
          <w:sz w:val="32"/>
          <w:szCs w:val="32"/>
          <w:highlight w:val="none"/>
          <w:lang w:val="en-US" w:eastAsia="zh-CN" w:bidi="ar-SA"/>
        </w:rPr>
        <w:t>：</w:t>
      </w:r>
      <w:r>
        <w:rPr>
          <w:rFonts w:hint="eastAsia" w:eastAsia="仿宋_GB2312"/>
          <w:color w:val="auto"/>
          <w:sz w:val="32"/>
          <w:szCs w:val="32"/>
        </w:rPr>
        <w:t>指行政</w:t>
      </w:r>
      <w:r>
        <w:rPr>
          <w:rFonts w:hint="eastAsia" w:eastAsia="仿宋_GB2312"/>
          <w:color w:val="auto"/>
          <w:sz w:val="32"/>
          <w:szCs w:val="32"/>
          <w:lang w:val="en-US" w:eastAsia="zh-CN"/>
        </w:rPr>
        <w:t>事业</w:t>
      </w:r>
      <w:r>
        <w:rPr>
          <w:rFonts w:hint="eastAsia" w:eastAsia="仿宋_GB2312"/>
          <w:color w:val="auto"/>
          <w:sz w:val="32"/>
          <w:szCs w:val="32"/>
        </w:rPr>
        <w:t>单位</w:t>
      </w:r>
      <w:r>
        <w:rPr>
          <w:rFonts w:hint="eastAsia" w:ascii="Times New Roman" w:hAnsi="Times New Roman" w:eastAsia="仿宋_GB2312" w:cs="仿宋_GB2312"/>
          <w:color w:val="auto"/>
          <w:kern w:val="2"/>
          <w:sz w:val="32"/>
          <w:szCs w:val="32"/>
          <w:highlight w:val="none"/>
          <w:lang w:val="en-US" w:eastAsia="zh-CN" w:bidi="ar-SA"/>
        </w:rPr>
        <w:t>提供后勤服务的各类后勤服务中心、医务室等附属事业单位的支出</w:t>
      </w:r>
      <w:r>
        <w:rPr>
          <w:rFonts w:hint="eastAsia" w:eastAsia="仿宋_GB2312" w:cs="仿宋_GB2312"/>
          <w:color w:val="auto"/>
          <w:kern w:val="2"/>
          <w:sz w:val="32"/>
          <w:szCs w:val="32"/>
          <w:highlight w:val="none"/>
          <w:lang w:val="en-US" w:eastAsia="zh-CN" w:bidi="ar-SA"/>
        </w:rPr>
        <w:t>。</w:t>
      </w:r>
    </w:p>
    <w:p>
      <w:pPr>
        <w:keepNext w:val="0"/>
        <w:keepLines w:val="0"/>
        <w:widowControl/>
        <w:suppressLineNumbers w:val="0"/>
        <w:ind w:firstLine="640" w:firstLineChars="200"/>
        <w:jc w:val="left"/>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住房保障（类）住房改革（款）住房公积金（项）</w:t>
      </w:r>
      <w:r>
        <w:rPr>
          <w:rFonts w:hint="eastAsia" w:eastAsia="仿宋_GB2312" w:cs="仿宋_GB2312"/>
          <w:color w:val="auto"/>
          <w:kern w:val="2"/>
          <w:sz w:val="32"/>
          <w:szCs w:val="32"/>
          <w:highlight w:val="none"/>
          <w:lang w:val="en-US" w:eastAsia="zh-CN" w:bidi="ar-SA"/>
        </w:rPr>
        <w:t>：</w:t>
      </w:r>
      <w:r>
        <w:rPr>
          <w:rFonts w:hint="eastAsia" w:eastAsia="仿宋_GB2312"/>
          <w:color w:val="000000"/>
          <w:sz w:val="32"/>
          <w:szCs w:val="32"/>
        </w:rPr>
        <w:t>指行政事业单位按人力资源和社会保障部、财政部规定的基本工资和津贴补贴以及规定比例为职工缴纳的住房公积金</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.城乡社区（类）国有土地使用权出让收入安排的支出（款）农村社会事业支出（项）：</w:t>
      </w:r>
      <w:r>
        <w:rPr>
          <w:rFonts w:hint="eastAsia" w:eastAsia="仿宋_GB2312" w:cs="仿宋_GB2312"/>
          <w:color w:val="auto"/>
          <w:kern w:val="2"/>
          <w:sz w:val="32"/>
          <w:szCs w:val="32"/>
          <w:highlight w:val="none"/>
          <w:lang w:val="en-US" w:eastAsia="zh-CN" w:bidi="ar-SA"/>
        </w:rPr>
        <w:t>指</w:t>
      </w:r>
      <w:r>
        <w:rPr>
          <w:rFonts w:hint="eastAsia" w:ascii="仿宋_GB2312" w:hAnsi="方正仿宋_GB2312" w:eastAsia="仿宋_GB2312" w:cs="方正仿宋_GB2312"/>
          <w:sz w:val="32"/>
          <w:szCs w:val="32"/>
        </w:rPr>
        <w:t>用于城乡社区管理事务中</w:t>
      </w:r>
      <w:r>
        <w:rPr>
          <w:rFonts w:hint="eastAsia" w:ascii="Times New Roman" w:hAnsi="Times New Roman" w:eastAsia="仿宋_GB2312" w:cs="仿宋_GB2312"/>
          <w:color w:val="auto"/>
          <w:kern w:val="2"/>
          <w:sz w:val="32"/>
          <w:szCs w:val="32"/>
          <w:highlight w:val="none"/>
          <w:lang w:val="en-US" w:eastAsia="zh-CN" w:bidi="ar-SA"/>
        </w:rPr>
        <w:t>国有土地使用权出让收入安排的农村社会事业支出</w:t>
      </w:r>
      <w:r>
        <w:rPr>
          <w:rFonts w:hint="eastAsia" w:ascii="仿宋_GB2312" w:hAnsi="方正仿宋_GB2312" w:eastAsia="仿宋_GB2312" w:cs="方正仿宋_GB2312"/>
          <w:sz w:val="32"/>
          <w:szCs w:val="32"/>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numPr>
          <w:ilvl w:val="0"/>
          <w:numId w:val="2"/>
        </w:numPr>
        <w:spacing w:line="600" w:lineRule="exact"/>
        <w:jc w:val="center"/>
        <w:outlineLvl w:val="0"/>
        <w:rPr>
          <w:rFonts w:hint="eastAsia" w:ascii="Times New Roman" w:hAnsi="Times New Roman" w:eastAsia="黑体"/>
          <w:color w:val="auto"/>
          <w:sz w:val="44"/>
          <w:szCs w:val="44"/>
          <w:highlight w:val="none"/>
        </w:rPr>
      </w:pPr>
      <w:bookmarkStart w:id="76"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77" w:name="_Toc15396614"/>
      <w:r>
        <w:rPr>
          <w:rFonts w:hint="eastAsia" w:ascii="Times New Roman" w:hAnsi="Times New Roman" w:eastAsia="黑体"/>
          <w:color w:val="auto"/>
          <w:sz w:val="44"/>
          <w:szCs w:val="44"/>
          <w:highlight w:val="none"/>
        </w:rPr>
        <w:t xml:space="preserve"> </w:t>
      </w:r>
      <w:bookmarkStart w:id="78" w:name="_Toc11762"/>
      <w:r>
        <w:rPr>
          <w:rFonts w:hint="eastAsia" w:ascii="Times New Roman" w:hAnsi="Times New Roman" w:eastAsia="黑体"/>
          <w:color w:val="auto"/>
          <w:sz w:val="44"/>
          <w:szCs w:val="44"/>
          <w:highlight w:val="none"/>
        </w:rPr>
        <w:t>附件</w:t>
      </w:r>
      <w:bookmarkEnd w:id="77"/>
      <w:bookmarkEnd w:id="78"/>
    </w:p>
    <w:p>
      <w:pPr>
        <w:spacing w:line="600" w:lineRule="exact"/>
        <w:rPr>
          <w:rFonts w:hint="eastAsia" w:ascii="Times New Roman" w:hAnsi="Times New Roman" w:eastAsia="仿宋_GB2312" w:cs="仿宋_GB2312"/>
          <w:color w:val="auto"/>
          <w:kern w:val="2"/>
          <w:sz w:val="32"/>
          <w:szCs w:val="32"/>
          <w:highlight w:val="none"/>
          <w:lang w:val="en-US" w:eastAsia="zh-CN" w:bidi="ar-SA"/>
        </w:rPr>
      </w:pPr>
      <w:bookmarkStart w:id="79" w:name="_Toc15396618"/>
      <w:r>
        <w:rPr>
          <w:rFonts w:hint="eastAsia" w:ascii="Times New Roman" w:hAnsi="Times New Roman" w:eastAsia="仿宋_GB2312" w:cs="仿宋_GB2312"/>
          <w:color w:val="auto"/>
          <w:kern w:val="2"/>
          <w:sz w:val="32"/>
          <w:szCs w:val="32"/>
          <w:highlight w:val="none"/>
          <w:lang w:val="en-US" w:eastAsia="zh-CN" w:bidi="ar-SA"/>
        </w:rPr>
        <w:t>部门预算项目支出绩效自评表（2025年度）见附件2。</w:t>
      </w: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default"/>
          <w:lang w:val="en-US" w:eastAsia="zh-CN"/>
        </w:rPr>
      </w:pPr>
    </w:p>
    <w:p>
      <w:pPr>
        <w:widowControl/>
        <w:numPr>
          <w:ilvl w:val="0"/>
          <w:numId w:val="2"/>
        </w:numPr>
        <w:ind w:left="0" w:leftChars="0" w:firstLine="0" w:firstLineChars="0"/>
        <w:jc w:val="center"/>
        <w:outlineLvl w:val="0"/>
        <w:rPr>
          <w:rStyle w:val="30"/>
          <w:rFonts w:hint="eastAsia" w:ascii="Times New Roman" w:hAnsi="Times New Roman" w:eastAsia="黑体"/>
          <w:b w:val="0"/>
          <w:color w:val="auto"/>
          <w:highlight w:val="none"/>
        </w:rPr>
      </w:pPr>
      <w:bookmarkStart w:id="80" w:name="_Toc21709"/>
      <w:r>
        <w:rPr>
          <w:rStyle w:val="30"/>
          <w:rFonts w:hint="eastAsia" w:ascii="Times New Roman" w:hAnsi="Times New Roman" w:eastAsia="黑体"/>
          <w:b w:val="0"/>
          <w:color w:val="auto"/>
          <w:highlight w:val="none"/>
        </w:rPr>
        <w:t>附表</w:t>
      </w:r>
      <w:bookmarkEnd w:id="76"/>
      <w:bookmarkEnd w:id="79"/>
      <w:bookmarkEnd w:id="80"/>
      <w:bookmarkStart w:id="81" w:name="_Toc19189"/>
    </w:p>
    <w:p>
      <w:pPr>
        <w:widowControl/>
        <w:numPr>
          <w:ilvl w:val="0"/>
          <w:numId w:val="0"/>
        </w:numPr>
        <w:ind w:leftChars="0"/>
        <w:jc w:val="both"/>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一、收入支出决算总表</w:t>
      </w:r>
      <w:bookmarkEnd w:id="81"/>
    </w:p>
    <w:p>
      <w:pPr>
        <w:pStyle w:val="6"/>
        <w:rPr>
          <w:rFonts w:hint="eastAsia" w:ascii="Times New Roman" w:hAnsi="Times New Roman" w:eastAsia="仿宋_GB2312" w:cs="仿宋_GB2312"/>
          <w:b w:val="0"/>
          <w:bCs w:val="0"/>
          <w:color w:val="auto"/>
          <w:kern w:val="2"/>
          <w:sz w:val="32"/>
          <w:szCs w:val="32"/>
          <w:highlight w:val="none"/>
          <w:lang w:val="en-US" w:eastAsia="zh-CN" w:bidi="ar-SA"/>
        </w:rPr>
      </w:pPr>
      <w:bookmarkStart w:id="82" w:name="_Toc15396620"/>
      <w:bookmarkStart w:id="83" w:name="_Toc23980"/>
      <w:bookmarkStart w:id="84" w:name="_Toc28612"/>
      <w:r>
        <w:rPr>
          <w:rFonts w:hint="eastAsia" w:ascii="Times New Roman" w:hAnsi="Times New Roman" w:eastAsia="仿宋_GB2312" w:cs="仿宋_GB2312"/>
          <w:b w:val="0"/>
          <w:bCs w:val="0"/>
          <w:color w:val="auto"/>
          <w:kern w:val="2"/>
          <w:sz w:val="32"/>
          <w:szCs w:val="32"/>
          <w:highlight w:val="none"/>
          <w:lang w:val="en-US" w:eastAsia="zh-CN" w:bidi="ar-SA"/>
        </w:rPr>
        <w:t>二、收入决算表</w:t>
      </w:r>
      <w:bookmarkEnd w:id="82"/>
      <w:bookmarkEnd w:id="83"/>
      <w:bookmarkEnd w:id="84"/>
    </w:p>
    <w:p>
      <w:pPr>
        <w:pStyle w:val="6"/>
        <w:rPr>
          <w:rFonts w:hint="eastAsia" w:ascii="Times New Roman" w:hAnsi="Times New Roman" w:eastAsia="仿宋_GB2312" w:cs="仿宋_GB2312"/>
          <w:b w:val="0"/>
          <w:bCs w:val="0"/>
          <w:color w:val="auto"/>
          <w:kern w:val="2"/>
          <w:sz w:val="32"/>
          <w:szCs w:val="32"/>
          <w:highlight w:val="none"/>
          <w:lang w:val="en-US" w:eastAsia="zh-CN" w:bidi="ar-SA"/>
        </w:rPr>
      </w:pPr>
      <w:bookmarkStart w:id="85" w:name="_Toc28217"/>
      <w:bookmarkStart w:id="86" w:name="_Toc14510"/>
      <w:bookmarkStart w:id="87" w:name="_Toc15396621"/>
      <w:r>
        <w:rPr>
          <w:rFonts w:hint="eastAsia" w:ascii="Times New Roman" w:hAnsi="Times New Roman" w:eastAsia="仿宋_GB2312" w:cs="仿宋_GB2312"/>
          <w:b w:val="0"/>
          <w:bCs w:val="0"/>
          <w:color w:val="auto"/>
          <w:kern w:val="2"/>
          <w:sz w:val="32"/>
          <w:szCs w:val="32"/>
          <w:highlight w:val="none"/>
          <w:lang w:val="en-US" w:eastAsia="zh-CN" w:bidi="ar-SA"/>
        </w:rPr>
        <w:t>三、支出决算表</w:t>
      </w:r>
      <w:bookmarkEnd w:id="85"/>
      <w:bookmarkEnd w:id="86"/>
      <w:bookmarkEnd w:id="87"/>
    </w:p>
    <w:p>
      <w:pPr>
        <w:pStyle w:val="6"/>
        <w:rPr>
          <w:rFonts w:hint="eastAsia" w:ascii="Times New Roman" w:hAnsi="Times New Roman" w:eastAsia="仿宋_GB2312" w:cs="仿宋_GB2312"/>
          <w:b w:val="0"/>
          <w:bCs w:val="0"/>
          <w:color w:val="auto"/>
          <w:kern w:val="2"/>
          <w:sz w:val="32"/>
          <w:szCs w:val="32"/>
          <w:highlight w:val="none"/>
          <w:lang w:val="en-US" w:eastAsia="zh-CN" w:bidi="ar-SA"/>
        </w:rPr>
      </w:pPr>
      <w:bookmarkStart w:id="88" w:name="_Toc19192"/>
      <w:bookmarkStart w:id="89" w:name="_Toc15396622"/>
      <w:bookmarkStart w:id="90" w:name="_Toc24355"/>
      <w:r>
        <w:rPr>
          <w:rFonts w:hint="eastAsia" w:ascii="Times New Roman" w:hAnsi="Times New Roman" w:eastAsia="仿宋_GB2312" w:cs="仿宋_GB2312"/>
          <w:b w:val="0"/>
          <w:bCs w:val="0"/>
          <w:color w:val="auto"/>
          <w:kern w:val="2"/>
          <w:sz w:val="32"/>
          <w:szCs w:val="32"/>
          <w:highlight w:val="none"/>
          <w:lang w:val="en-US" w:eastAsia="zh-CN" w:bidi="ar-SA"/>
        </w:rPr>
        <w:t>四、财政拨款收入支出决算总表</w:t>
      </w:r>
      <w:bookmarkEnd w:id="88"/>
      <w:bookmarkEnd w:id="89"/>
      <w:bookmarkEnd w:id="90"/>
    </w:p>
    <w:p>
      <w:pPr>
        <w:pStyle w:val="6"/>
        <w:rPr>
          <w:rFonts w:hint="eastAsia" w:ascii="Times New Roman" w:hAnsi="Times New Roman" w:eastAsia="仿宋_GB2312" w:cs="仿宋_GB2312"/>
          <w:b w:val="0"/>
          <w:bCs w:val="0"/>
          <w:color w:val="auto"/>
          <w:kern w:val="2"/>
          <w:sz w:val="32"/>
          <w:szCs w:val="32"/>
          <w:highlight w:val="none"/>
          <w:lang w:val="en-US" w:eastAsia="zh-CN" w:bidi="ar-SA"/>
        </w:rPr>
      </w:pPr>
      <w:bookmarkStart w:id="91" w:name="_Toc12936"/>
      <w:bookmarkStart w:id="92" w:name="_Toc15396623"/>
      <w:bookmarkStart w:id="93" w:name="_Toc6615"/>
      <w:r>
        <w:rPr>
          <w:rFonts w:hint="eastAsia" w:ascii="Times New Roman" w:hAnsi="Times New Roman" w:eastAsia="仿宋_GB2312" w:cs="仿宋_GB2312"/>
          <w:b w:val="0"/>
          <w:bCs w:val="0"/>
          <w:color w:val="auto"/>
          <w:kern w:val="2"/>
          <w:sz w:val="32"/>
          <w:szCs w:val="32"/>
          <w:highlight w:val="none"/>
          <w:lang w:val="en-US" w:eastAsia="zh-CN" w:bidi="ar-SA"/>
        </w:rPr>
        <w:t>五、财政拨款支出决算明细表</w:t>
      </w:r>
      <w:bookmarkEnd w:id="91"/>
      <w:bookmarkEnd w:id="92"/>
      <w:bookmarkEnd w:id="93"/>
      <w:bookmarkStart w:id="94" w:name="_Toc15396624"/>
    </w:p>
    <w:p>
      <w:pPr>
        <w:pStyle w:val="6"/>
        <w:rPr>
          <w:rFonts w:hint="eastAsia" w:ascii="Times New Roman" w:hAnsi="Times New Roman" w:eastAsia="仿宋_GB2312" w:cs="仿宋_GB2312"/>
          <w:b w:val="0"/>
          <w:bCs w:val="0"/>
          <w:color w:val="auto"/>
          <w:kern w:val="2"/>
          <w:sz w:val="32"/>
          <w:szCs w:val="32"/>
          <w:highlight w:val="none"/>
          <w:lang w:val="en-US" w:eastAsia="zh-CN" w:bidi="ar-SA"/>
        </w:rPr>
      </w:pPr>
      <w:bookmarkStart w:id="95" w:name="_Toc23679"/>
      <w:bookmarkStart w:id="96" w:name="_Toc30106"/>
      <w:r>
        <w:rPr>
          <w:rFonts w:hint="eastAsia" w:ascii="Times New Roman" w:hAnsi="Times New Roman" w:eastAsia="仿宋_GB2312" w:cs="仿宋_GB2312"/>
          <w:b w:val="0"/>
          <w:bCs w:val="0"/>
          <w:color w:val="auto"/>
          <w:kern w:val="2"/>
          <w:sz w:val="32"/>
          <w:szCs w:val="32"/>
          <w:highlight w:val="none"/>
          <w:lang w:val="en-US" w:eastAsia="zh-CN" w:bidi="ar-SA"/>
        </w:rPr>
        <w:t>六、一般公共预算财政拨款支出决算表</w:t>
      </w:r>
      <w:bookmarkEnd w:id="94"/>
      <w:bookmarkEnd w:id="95"/>
      <w:bookmarkEnd w:id="96"/>
    </w:p>
    <w:p>
      <w:pPr>
        <w:pStyle w:val="6"/>
        <w:rPr>
          <w:rFonts w:hint="eastAsia" w:ascii="Times New Roman" w:hAnsi="Times New Roman" w:eastAsia="仿宋_GB2312" w:cs="仿宋_GB2312"/>
          <w:b w:val="0"/>
          <w:bCs w:val="0"/>
          <w:color w:val="auto"/>
          <w:kern w:val="2"/>
          <w:sz w:val="32"/>
          <w:szCs w:val="32"/>
          <w:highlight w:val="none"/>
          <w:lang w:val="en-US" w:eastAsia="zh-CN" w:bidi="ar-SA"/>
        </w:rPr>
      </w:pPr>
      <w:bookmarkStart w:id="97" w:name="_Toc18649"/>
      <w:bookmarkStart w:id="98" w:name="_Toc25115"/>
      <w:bookmarkStart w:id="99" w:name="_Toc15396625"/>
      <w:r>
        <w:rPr>
          <w:rFonts w:hint="eastAsia" w:ascii="Times New Roman" w:hAnsi="Times New Roman" w:eastAsia="仿宋_GB2312" w:cs="仿宋_GB2312"/>
          <w:b w:val="0"/>
          <w:bCs w:val="0"/>
          <w:color w:val="auto"/>
          <w:kern w:val="2"/>
          <w:sz w:val="32"/>
          <w:szCs w:val="32"/>
          <w:highlight w:val="none"/>
          <w:lang w:val="en-US" w:eastAsia="zh-CN" w:bidi="ar-SA"/>
        </w:rPr>
        <w:t>七、一般公共预算财政拨款支出决算明细表</w:t>
      </w:r>
      <w:bookmarkEnd w:id="97"/>
      <w:bookmarkEnd w:id="98"/>
      <w:bookmarkEnd w:id="99"/>
    </w:p>
    <w:p>
      <w:pPr>
        <w:pStyle w:val="6"/>
        <w:rPr>
          <w:rFonts w:hint="eastAsia" w:ascii="Times New Roman" w:hAnsi="Times New Roman" w:eastAsia="仿宋_GB2312" w:cs="仿宋_GB2312"/>
          <w:b w:val="0"/>
          <w:bCs w:val="0"/>
          <w:color w:val="auto"/>
          <w:kern w:val="2"/>
          <w:sz w:val="32"/>
          <w:szCs w:val="32"/>
          <w:highlight w:val="none"/>
          <w:lang w:val="en-US" w:eastAsia="zh-CN" w:bidi="ar-SA"/>
        </w:rPr>
      </w:pPr>
      <w:bookmarkStart w:id="100" w:name="_Toc21094"/>
      <w:bookmarkStart w:id="101" w:name="_Toc255"/>
      <w:bookmarkStart w:id="102" w:name="_Toc15396626"/>
      <w:r>
        <w:rPr>
          <w:rFonts w:hint="eastAsia" w:ascii="Times New Roman" w:hAnsi="Times New Roman" w:eastAsia="仿宋_GB2312" w:cs="仿宋_GB2312"/>
          <w:b w:val="0"/>
          <w:bCs w:val="0"/>
          <w:color w:val="auto"/>
          <w:kern w:val="2"/>
          <w:sz w:val="32"/>
          <w:szCs w:val="32"/>
          <w:highlight w:val="none"/>
          <w:lang w:val="en-US" w:eastAsia="zh-CN" w:bidi="ar-SA"/>
        </w:rPr>
        <w:t>八、一般公共预算财政拨款基本支出决算表</w:t>
      </w:r>
      <w:bookmarkEnd w:id="100"/>
      <w:bookmarkEnd w:id="101"/>
      <w:bookmarkEnd w:id="102"/>
    </w:p>
    <w:p>
      <w:pPr>
        <w:pStyle w:val="6"/>
        <w:rPr>
          <w:rFonts w:hint="eastAsia" w:ascii="Times New Roman" w:hAnsi="Times New Roman" w:eastAsia="仿宋_GB2312" w:cs="仿宋_GB2312"/>
          <w:b w:val="0"/>
          <w:bCs w:val="0"/>
          <w:color w:val="auto"/>
          <w:kern w:val="2"/>
          <w:sz w:val="32"/>
          <w:szCs w:val="32"/>
          <w:highlight w:val="none"/>
          <w:lang w:val="en-US" w:eastAsia="zh-CN" w:bidi="ar-SA"/>
        </w:rPr>
      </w:pPr>
      <w:bookmarkStart w:id="103" w:name="_Toc27932"/>
      <w:bookmarkStart w:id="104" w:name="_Toc15396627"/>
      <w:bookmarkStart w:id="105" w:name="_Toc142"/>
      <w:r>
        <w:rPr>
          <w:rFonts w:hint="eastAsia" w:ascii="Times New Roman" w:hAnsi="Times New Roman" w:eastAsia="仿宋_GB2312" w:cs="仿宋_GB2312"/>
          <w:b w:val="0"/>
          <w:bCs w:val="0"/>
          <w:color w:val="auto"/>
          <w:kern w:val="2"/>
          <w:sz w:val="32"/>
          <w:szCs w:val="32"/>
          <w:highlight w:val="none"/>
          <w:lang w:val="en-US" w:eastAsia="zh-CN" w:bidi="ar-SA"/>
        </w:rPr>
        <w:t>九、一般公共预算财政拨款项目支出决算表</w:t>
      </w:r>
      <w:bookmarkEnd w:id="103"/>
      <w:bookmarkEnd w:id="104"/>
      <w:bookmarkEnd w:id="105"/>
    </w:p>
    <w:p>
      <w:pPr>
        <w:pStyle w:val="6"/>
        <w:rPr>
          <w:rFonts w:hint="eastAsia" w:ascii="Times New Roman" w:hAnsi="Times New Roman" w:eastAsia="仿宋_GB2312" w:cs="仿宋_GB2312"/>
          <w:b w:val="0"/>
          <w:bCs w:val="0"/>
          <w:color w:val="auto"/>
          <w:kern w:val="2"/>
          <w:sz w:val="32"/>
          <w:szCs w:val="32"/>
          <w:highlight w:val="none"/>
          <w:lang w:val="en-US" w:eastAsia="zh-CN" w:bidi="ar-SA"/>
        </w:rPr>
      </w:pPr>
      <w:bookmarkStart w:id="106" w:name="_Toc15396628"/>
      <w:bookmarkStart w:id="107" w:name="_Toc22445"/>
      <w:bookmarkStart w:id="108" w:name="_Toc1668"/>
      <w:r>
        <w:rPr>
          <w:rFonts w:hint="eastAsia" w:ascii="Times New Roman" w:hAnsi="Times New Roman" w:eastAsia="仿宋_GB2312" w:cs="仿宋_GB2312"/>
          <w:b w:val="0"/>
          <w:bCs w:val="0"/>
          <w:color w:val="auto"/>
          <w:kern w:val="2"/>
          <w:sz w:val="32"/>
          <w:szCs w:val="32"/>
          <w:highlight w:val="none"/>
          <w:lang w:val="en-US" w:eastAsia="zh-CN" w:bidi="ar-SA"/>
        </w:rPr>
        <w:t>十、</w:t>
      </w:r>
      <w:bookmarkEnd w:id="106"/>
      <w:r>
        <w:rPr>
          <w:rFonts w:hint="eastAsia" w:ascii="Times New Roman" w:hAnsi="Times New Roman" w:eastAsia="仿宋_GB2312" w:cs="仿宋_GB2312"/>
          <w:b w:val="0"/>
          <w:bCs w:val="0"/>
          <w:color w:val="auto"/>
          <w:kern w:val="2"/>
          <w:sz w:val="32"/>
          <w:szCs w:val="32"/>
          <w:highlight w:val="none"/>
          <w:lang w:val="en-US" w:eastAsia="zh-CN" w:bidi="ar-SA"/>
        </w:rPr>
        <w:t>政府性基金预算财政拨款收入支出决算表</w:t>
      </w:r>
      <w:bookmarkEnd w:id="107"/>
      <w:bookmarkEnd w:id="108"/>
    </w:p>
    <w:p>
      <w:pPr>
        <w:pStyle w:val="6"/>
        <w:rPr>
          <w:rFonts w:hint="eastAsia" w:ascii="Times New Roman" w:hAnsi="Times New Roman" w:eastAsia="仿宋_GB2312" w:cs="仿宋_GB2312"/>
          <w:b w:val="0"/>
          <w:bCs w:val="0"/>
          <w:color w:val="auto"/>
          <w:kern w:val="2"/>
          <w:sz w:val="32"/>
          <w:szCs w:val="32"/>
          <w:highlight w:val="none"/>
          <w:lang w:val="en-US" w:eastAsia="zh-CN" w:bidi="ar-SA"/>
        </w:rPr>
      </w:pPr>
      <w:bookmarkStart w:id="109" w:name="_Toc15396629"/>
      <w:bookmarkStart w:id="110" w:name="_Toc20857"/>
      <w:bookmarkStart w:id="111" w:name="_Toc3773"/>
      <w:r>
        <w:rPr>
          <w:rFonts w:hint="eastAsia" w:ascii="Times New Roman" w:hAnsi="Times New Roman" w:eastAsia="仿宋_GB2312" w:cs="仿宋_GB2312"/>
          <w:b w:val="0"/>
          <w:bCs w:val="0"/>
          <w:color w:val="auto"/>
          <w:kern w:val="2"/>
          <w:sz w:val="32"/>
          <w:szCs w:val="32"/>
          <w:highlight w:val="none"/>
          <w:lang w:val="en-US" w:eastAsia="zh-CN" w:bidi="ar-SA"/>
        </w:rPr>
        <w:t>十一、</w:t>
      </w:r>
      <w:bookmarkEnd w:id="109"/>
      <w:r>
        <w:rPr>
          <w:rFonts w:hint="eastAsia" w:ascii="Times New Roman" w:hAnsi="Times New Roman" w:eastAsia="仿宋_GB2312" w:cs="仿宋_GB2312"/>
          <w:b w:val="0"/>
          <w:bCs w:val="0"/>
          <w:color w:val="auto"/>
          <w:kern w:val="2"/>
          <w:sz w:val="32"/>
          <w:szCs w:val="32"/>
          <w:highlight w:val="none"/>
          <w:lang w:val="en-US" w:eastAsia="zh-CN" w:bidi="ar-SA"/>
        </w:rPr>
        <w:t>国有资本经营预算财政拨款收入支出决算表（此表无数据）</w:t>
      </w:r>
      <w:bookmarkEnd w:id="110"/>
      <w:bookmarkEnd w:id="111"/>
    </w:p>
    <w:p>
      <w:pPr>
        <w:pStyle w:val="6"/>
        <w:rPr>
          <w:rFonts w:hint="eastAsia" w:ascii="Times New Roman" w:hAnsi="Times New Roman" w:eastAsia="仿宋_GB2312" w:cs="仿宋_GB2312"/>
          <w:b w:val="0"/>
          <w:bCs w:val="0"/>
          <w:color w:val="auto"/>
          <w:kern w:val="2"/>
          <w:sz w:val="32"/>
          <w:szCs w:val="32"/>
          <w:highlight w:val="none"/>
          <w:lang w:val="en-US" w:eastAsia="zh-CN" w:bidi="ar-SA"/>
        </w:rPr>
      </w:pPr>
      <w:bookmarkStart w:id="112" w:name="_Toc15396630"/>
      <w:bookmarkStart w:id="113" w:name="_Toc28592"/>
      <w:bookmarkStart w:id="114" w:name="_Toc15053"/>
      <w:r>
        <w:rPr>
          <w:rFonts w:hint="eastAsia" w:ascii="Times New Roman" w:hAnsi="Times New Roman" w:eastAsia="仿宋_GB2312" w:cs="仿宋_GB2312"/>
          <w:b w:val="0"/>
          <w:bCs w:val="0"/>
          <w:color w:val="auto"/>
          <w:kern w:val="2"/>
          <w:sz w:val="32"/>
          <w:szCs w:val="32"/>
          <w:highlight w:val="none"/>
          <w:lang w:val="en-US" w:eastAsia="zh-CN" w:bidi="ar-SA"/>
        </w:rPr>
        <w:t>十二、</w:t>
      </w:r>
      <w:bookmarkEnd w:id="112"/>
      <w:r>
        <w:rPr>
          <w:rFonts w:hint="eastAsia" w:ascii="Times New Roman" w:hAnsi="Times New Roman" w:eastAsia="仿宋_GB2312" w:cs="仿宋_GB2312"/>
          <w:b w:val="0"/>
          <w:bCs w:val="0"/>
          <w:color w:val="auto"/>
          <w:kern w:val="2"/>
          <w:sz w:val="32"/>
          <w:szCs w:val="32"/>
          <w:highlight w:val="none"/>
          <w:lang w:val="en-US" w:eastAsia="zh-CN" w:bidi="ar-SA"/>
        </w:rPr>
        <w:t>国有资本经营预算财政拨款支出决算表（此表无数据）</w:t>
      </w:r>
      <w:bookmarkEnd w:id="113"/>
      <w:bookmarkEnd w:id="114"/>
    </w:p>
    <w:p>
      <w:pPr>
        <w:rPr>
          <w:rFonts w:hint="eastAsia" w:ascii="Times New Roman" w:hAnsi="Times New Roman" w:eastAsia="仿宋_GB2312" w:cs="仿宋_GB2312"/>
          <w:b w:val="0"/>
          <w:bCs w:val="0"/>
          <w:color w:val="auto"/>
          <w:kern w:val="2"/>
          <w:sz w:val="32"/>
          <w:szCs w:val="32"/>
          <w:highlight w:val="none"/>
          <w:lang w:val="en-US" w:eastAsia="zh-CN" w:bidi="ar-SA"/>
        </w:rPr>
      </w:pPr>
      <w:bookmarkStart w:id="115" w:name="_Toc15396631"/>
      <w:bookmarkStart w:id="116" w:name="_Toc15153"/>
      <w:r>
        <w:rPr>
          <w:rFonts w:hint="eastAsia" w:ascii="Times New Roman" w:hAnsi="Times New Roman" w:eastAsia="仿宋_GB2312" w:cs="仿宋_GB2312"/>
          <w:b w:val="0"/>
          <w:bCs w:val="0"/>
          <w:color w:val="auto"/>
          <w:kern w:val="2"/>
          <w:sz w:val="32"/>
          <w:szCs w:val="32"/>
          <w:highlight w:val="none"/>
          <w:lang w:val="en-US" w:eastAsia="zh-CN" w:bidi="ar-SA"/>
        </w:rPr>
        <w:t>十三、</w:t>
      </w:r>
      <w:bookmarkEnd w:id="115"/>
      <w:r>
        <w:rPr>
          <w:rFonts w:hint="eastAsia" w:ascii="Times New Roman" w:hAnsi="Times New Roman" w:eastAsia="仿宋_GB2312" w:cs="仿宋_GB2312"/>
          <w:b w:val="0"/>
          <w:bCs w:val="0"/>
          <w:color w:val="auto"/>
          <w:kern w:val="2"/>
          <w:sz w:val="32"/>
          <w:szCs w:val="32"/>
          <w:highlight w:val="none"/>
          <w:lang w:val="en-US" w:eastAsia="zh-CN" w:bidi="ar-SA"/>
        </w:rPr>
        <w:t>财政拨款“三公”经费支出决算表</w:t>
      </w:r>
      <w:bookmarkEnd w:id="116"/>
      <w:r>
        <w:rPr>
          <w:rFonts w:hint="eastAsia" w:ascii="Times New Roman" w:hAnsi="Times New Roman" w:eastAsia="仿宋_GB2312" w:cs="仿宋_GB2312"/>
          <w:b w:val="0"/>
          <w:bCs w:val="0"/>
          <w:color w:val="auto"/>
          <w:kern w:val="2"/>
          <w:sz w:val="32"/>
          <w:szCs w:val="32"/>
          <w:highlight w:val="none"/>
          <w:lang w:val="en-US" w:eastAsia="zh-CN" w:bidi="ar-SA"/>
        </w:rPr>
        <w:t>（此表无数据）</w:t>
      </w: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Lucida Sans">
    <w:panose1 w:val="020B0602040502020204"/>
    <w:charset w:val="01"/>
    <w:family w:val="auto"/>
    <w:pitch w:val="default"/>
    <w:sig w:usb0="8100AAF7" w:usb1="0000807B" w:usb2="00000008" w:usb3="00000000" w:csb0="6000009F" w:csb1="FFFF0000"/>
  </w:font>
  <w:font w:name="方正仿宋_GB2312">
    <w:altName w:val="仿宋"/>
    <w:panose1 w:val="00000000000000000000"/>
    <w:charset w:val="86"/>
    <w:family w:val="auto"/>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enter" w:pos="4213"/>
        <w:tab w:val="left" w:pos="4686"/>
      </w:tabs>
      <w:jc w:val="left"/>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- 2 -</w:t>
                    </w:r>
                    <w:r>
                      <w:fldChar w:fldCharType="end"/>
                    </w:r>
                  </w:p>
                </w:txbxContent>
              </v:textbox>
            </v:shape>
          </w:pict>
        </mc:Fallback>
      </mc:AlternateContent>
    </w:r>
    <w:r>
      <w:rPr>
        <w:rFonts w:hint="eastAsia"/>
        <w:sz w:val="18"/>
        <w:lang w:eastAsia="zh-CN"/>
      </w:rPr>
      <w:tab/>
    </w:r>
    <w:r>
      <w:rPr>
        <w:rFonts w:hint="eastAsia"/>
        <w:lang w:eastAsia="zh-CN"/>
      </w:rPr>
      <w:tab/>
    </w:r>
  </w:p>
  <w:p>
    <w:pPr>
      <w:pStyle w:val="11"/>
    </w:pP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7B560D"/>
    <w:multiLevelType w:val="singleLevel"/>
    <w:tmpl w:val="627B560D"/>
    <w:lvl w:ilvl="0" w:tentative="0">
      <w:start w:val="1"/>
      <w:numFmt w:val="decimal"/>
      <w:lvlText w:val="%1."/>
      <w:lvlJc w:val="left"/>
      <w:pPr>
        <w:tabs>
          <w:tab w:val="left" w:pos="312"/>
        </w:tabs>
      </w:pPr>
    </w:lvl>
  </w:abstractNum>
  <w:abstractNum w:abstractNumId="1">
    <w:nsid w:val="7DCCE453"/>
    <w:multiLevelType w:val="singleLevel"/>
    <w:tmpl w:val="7DCCE453"/>
    <w:lvl w:ilvl="0" w:tentative="0">
      <w:start w:val="4"/>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iZTExNWViZTQ3MjZjYThkMzc4OWVlYmQxZGVlMm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D2EA8"/>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42E"/>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771243"/>
    <w:rsid w:val="017D5F3D"/>
    <w:rsid w:val="018B6D17"/>
    <w:rsid w:val="02532161"/>
    <w:rsid w:val="02C95F38"/>
    <w:rsid w:val="02FEBE30"/>
    <w:rsid w:val="03A22319"/>
    <w:rsid w:val="04916F1E"/>
    <w:rsid w:val="04F03C97"/>
    <w:rsid w:val="05CD53D3"/>
    <w:rsid w:val="061E35DE"/>
    <w:rsid w:val="066E0107"/>
    <w:rsid w:val="06C34CE6"/>
    <w:rsid w:val="0734074F"/>
    <w:rsid w:val="07996F6E"/>
    <w:rsid w:val="07DFD8BA"/>
    <w:rsid w:val="08C90A87"/>
    <w:rsid w:val="09867E8F"/>
    <w:rsid w:val="0A2032A3"/>
    <w:rsid w:val="0CA33C7A"/>
    <w:rsid w:val="0CA8290A"/>
    <w:rsid w:val="0CD22743"/>
    <w:rsid w:val="0D35B1ED"/>
    <w:rsid w:val="0D7766FF"/>
    <w:rsid w:val="0E254B6B"/>
    <w:rsid w:val="0ECD554D"/>
    <w:rsid w:val="0F98263C"/>
    <w:rsid w:val="101860EC"/>
    <w:rsid w:val="101F47CC"/>
    <w:rsid w:val="102A2EAD"/>
    <w:rsid w:val="102D459C"/>
    <w:rsid w:val="1051327C"/>
    <w:rsid w:val="10C055FF"/>
    <w:rsid w:val="10E85475"/>
    <w:rsid w:val="11694EBD"/>
    <w:rsid w:val="1176599A"/>
    <w:rsid w:val="11772AA4"/>
    <w:rsid w:val="118107EC"/>
    <w:rsid w:val="11875983"/>
    <w:rsid w:val="12E24EE2"/>
    <w:rsid w:val="13D50BC4"/>
    <w:rsid w:val="141C4CDB"/>
    <w:rsid w:val="142E381C"/>
    <w:rsid w:val="14B17F78"/>
    <w:rsid w:val="153E589F"/>
    <w:rsid w:val="16414106"/>
    <w:rsid w:val="165E0673"/>
    <w:rsid w:val="16B831D5"/>
    <w:rsid w:val="16BB723D"/>
    <w:rsid w:val="178766DD"/>
    <w:rsid w:val="17E50567"/>
    <w:rsid w:val="186504BB"/>
    <w:rsid w:val="19A445FC"/>
    <w:rsid w:val="19BB15DA"/>
    <w:rsid w:val="19E52375"/>
    <w:rsid w:val="1A63588F"/>
    <w:rsid w:val="1BE8440E"/>
    <w:rsid w:val="1D015490"/>
    <w:rsid w:val="1D155CEE"/>
    <w:rsid w:val="1D1638FE"/>
    <w:rsid w:val="1E312DEB"/>
    <w:rsid w:val="1E740ACF"/>
    <w:rsid w:val="1EEB57A3"/>
    <w:rsid w:val="1EF6577F"/>
    <w:rsid w:val="1FF35744"/>
    <w:rsid w:val="1FF6BC77"/>
    <w:rsid w:val="210A0DA2"/>
    <w:rsid w:val="21562C7C"/>
    <w:rsid w:val="2186353C"/>
    <w:rsid w:val="225F3AB7"/>
    <w:rsid w:val="22B4516B"/>
    <w:rsid w:val="22DE1134"/>
    <w:rsid w:val="23286C3C"/>
    <w:rsid w:val="23860B96"/>
    <w:rsid w:val="23A15E53"/>
    <w:rsid w:val="23DB76DF"/>
    <w:rsid w:val="240371BF"/>
    <w:rsid w:val="244F3473"/>
    <w:rsid w:val="24C97D99"/>
    <w:rsid w:val="2551799B"/>
    <w:rsid w:val="25A718F0"/>
    <w:rsid w:val="25AB17E9"/>
    <w:rsid w:val="25BB59F6"/>
    <w:rsid w:val="260F557C"/>
    <w:rsid w:val="26795443"/>
    <w:rsid w:val="268309C4"/>
    <w:rsid w:val="26970054"/>
    <w:rsid w:val="26C71E19"/>
    <w:rsid w:val="27B97EBF"/>
    <w:rsid w:val="27FC0068"/>
    <w:rsid w:val="281408E2"/>
    <w:rsid w:val="28946596"/>
    <w:rsid w:val="2992308A"/>
    <w:rsid w:val="29FD04D3"/>
    <w:rsid w:val="2A501B73"/>
    <w:rsid w:val="2A9E7599"/>
    <w:rsid w:val="2BD90527"/>
    <w:rsid w:val="2BFF7BC6"/>
    <w:rsid w:val="2C8A61B5"/>
    <w:rsid w:val="2CA21BC2"/>
    <w:rsid w:val="2D291971"/>
    <w:rsid w:val="2DF04E50"/>
    <w:rsid w:val="2E586DFA"/>
    <w:rsid w:val="2F040D46"/>
    <w:rsid w:val="2F57312B"/>
    <w:rsid w:val="2F6B035B"/>
    <w:rsid w:val="2FAE5751"/>
    <w:rsid w:val="2FB1A395"/>
    <w:rsid w:val="2FD9A7D8"/>
    <w:rsid w:val="2FDBF714"/>
    <w:rsid w:val="306E1982"/>
    <w:rsid w:val="30AB6865"/>
    <w:rsid w:val="315B295D"/>
    <w:rsid w:val="319F7F4E"/>
    <w:rsid w:val="31B64E20"/>
    <w:rsid w:val="32BD1EF1"/>
    <w:rsid w:val="32F01183"/>
    <w:rsid w:val="3304709D"/>
    <w:rsid w:val="33A773CB"/>
    <w:rsid w:val="33DB4D8F"/>
    <w:rsid w:val="3434447E"/>
    <w:rsid w:val="349D6851"/>
    <w:rsid w:val="35200B4E"/>
    <w:rsid w:val="365C2C0F"/>
    <w:rsid w:val="36AA5135"/>
    <w:rsid w:val="36BE0DA7"/>
    <w:rsid w:val="376B6AA6"/>
    <w:rsid w:val="376D39B2"/>
    <w:rsid w:val="37E16F03"/>
    <w:rsid w:val="37F53A3B"/>
    <w:rsid w:val="389B6C89"/>
    <w:rsid w:val="38D469F0"/>
    <w:rsid w:val="39627CCD"/>
    <w:rsid w:val="397BAF1F"/>
    <w:rsid w:val="3A0B7BA1"/>
    <w:rsid w:val="3A265910"/>
    <w:rsid w:val="3AB79AF3"/>
    <w:rsid w:val="3AE834C0"/>
    <w:rsid w:val="3B0E664A"/>
    <w:rsid w:val="3B7EF35A"/>
    <w:rsid w:val="3B9FDB6C"/>
    <w:rsid w:val="3BF5BC2F"/>
    <w:rsid w:val="3CEBA265"/>
    <w:rsid w:val="3D98207C"/>
    <w:rsid w:val="3DEE7CF3"/>
    <w:rsid w:val="3E740A63"/>
    <w:rsid w:val="3E78745D"/>
    <w:rsid w:val="3EE17838"/>
    <w:rsid w:val="3F55381A"/>
    <w:rsid w:val="3F7F7599"/>
    <w:rsid w:val="3FC14917"/>
    <w:rsid w:val="3FF4CAE0"/>
    <w:rsid w:val="3FF7B227"/>
    <w:rsid w:val="406A3716"/>
    <w:rsid w:val="408B03DB"/>
    <w:rsid w:val="40C431D6"/>
    <w:rsid w:val="41EA4FEF"/>
    <w:rsid w:val="423F6228"/>
    <w:rsid w:val="44E268DA"/>
    <w:rsid w:val="450D13D7"/>
    <w:rsid w:val="45506656"/>
    <w:rsid w:val="46512483"/>
    <w:rsid w:val="469E1705"/>
    <w:rsid w:val="480B0A3F"/>
    <w:rsid w:val="480F301E"/>
    <w:rsid w:val="486A6C7A"/>
    <w:rsid w:val="48896C6C"/>
    <w:rsid w:val="488A0D92"/>
    <w:rsid w:val="49510218"/>
    <w:rsid w:val="499F4C90"/>
    <w:rsid w:val="4A5F2E9E"/>
    <w:rsid w:val="4A627F82"/>
    <w:rsid w:val="4A77518F"/>
    <w:rsid w:val="4B0E749A"/>
    <w:rsid w:val="4B1B7D47"/>
    <w:rsid w:val="4B2477C4"/>
    <w:rsid w:val="4B321030"/>
    <w:rsid w:val="4B4F25DA"/>
    <w:rsid w:val="4B511A09"/>
    <w:rsid w:val="4BE068DB"/>
    <w:rsid w:val="4D577224"/>
    <w:rsid w:val="4DBF1CEB"/>
    <w:rsid w:val="4DF0007C"/>
    <w:rsid w:val="4E9E03FF"/>
    <w:rsid w:val="4EAB630A"/>
    <w:rsid w:val="4ECE2238"/>
    <w:rsid w:val="4F833267"/>
    <w:rsid w:val="4FE9BD67"/>
    <w:rsid w:val="4FEC3F3B"/>
    <w:rsid w:val="4FFB052F"/>
    <w:rsid w:val="533D0066"/>
    <w:rsid w:val="537E6D0A"/>
    <w:rsid w:val="53F74C96"/>
    <w:rsid w:val="54BA7800"/>
    <w:rsid w:val="55170BA8"/>
    <w:rsid w:val="553218C9"/>
    <w:rsid w:val="567E1AA5"/>
    <w:rsid w:val="56A417B8"/>
    <w:rsid w:val="56E47B74"/>
    <w:rsid w:val="57175D52"/>
    <w:rsid w:val="57BD3DD4"/>
    <w:rsid w:val="58461537"/>
    <w:rsid w:val="586D09FC"/>
    <w:rsid w:val="58F3077A"/>
    <w:rsid w:val="5AF92295"/>
    <w:rsid w:val="5B067329"/>
    <w:rsid w:val="5B250254"/>
    <w:rsid w:val="5BC0267F"/>
    <w:rsid w:val="5BDD79E6"/>
    <w:rsid w:val="5BF561CA"/>
    <w:rsid w:val="5BFF5DFC"/>
    <w:rsid w:val="5C000D17"/>
    <w:rsid w:val="5CD71FC4"/>
    <w:rsid w:val="5D1F11B5"/>
    <w:rsid w:val="5D695134"/>
    <w:rsid w:val="5DAE1B18"/>
    <w:rsid w:val="5DBC3948"/>
    <w:rsid w:val="5DE7D9E5"/>
    <w:rsid w:val="5E294987"/>
    <w:rsid w:val="5ECEC941"/>
    <w:rsid w:val="5FBF9FF3"/>
    <w:rsid w:val="5FCD32BF"/>
    <w:rsid w:val="5FCD4E2C"/>
    <w:rsid w:val="5FEF394A"/>
    <w:rsid w:val="5FF67715"/>
    <w:rsid w:val="61A71145"/>
    <w:rsid w:val="61D900E0"/>
    <w:rsid w:val="61F0358C"/>
    <w:rsid w:val="62326812"/>
    <w:rsid w:val="62BF3928"/>
    <w:rsid w:val="63021D41"/>
    <w:rsid w:val="63B3701E"/>
    <w:rsid w:val="641963B7"/>
    <w:rsid w:val="6462684D"/>
    <w:rsid w:val="647F5392"/>
    <w:rsid w:val="6522491C"/>
    <w:rsid w:val="65275CEA"/>
    <w:rsid w:val="65436625"/>
    <w:rsid w:val="65E66580"/>
    <w:rsid w:val="664663E8"/>
    <w:rsid w:val="664B1D71"/>
    <w:rsid w:val="664B4E8E"/>
    <w:rsid w:val="665D2235"/>
    <w:rsid w:val="67277B67"/>
    <w:rsid w:val="67AA3209"/>
    <w:rsid w:val="688011D0"/>
    <w:rsid w:val="698D0931"/>
    <w:rsid w:val="6A5D1F52"/>
    <w:rsid w:val="6A7FE5F3"/>
    <w:rsid w:val="6B053271"/>
    <w:rsid w:val="6B6302A4"/>
    <w:rsid w:val="6BDD78B3"/>
    <w:rsid w:val="6C0E027D"/>
    <w:rsid w:val="6C3F3A93"/>
    <w:rsid w:val="6C4A05C8"/>
    <w:rsid w:val="6C8742B8"/>
    <w:rsid w:val="6DBF5E93"/>
    <w:rsid w:val="6DFF077E"/>
    <w:rsid w:val="6E575569"/>
    <w:rsid w:val="6E714EF0"/>
    <w:rsid w:val="6E7E3605"/>
    <w:rsid w:val="6E7FDCC7"/>
    <w:rsid w:val="6ED6A62E"/>
    <w:rsid w:val="6ED90CE1"/>
    <w:rsid w:val="6EE00B15"/>
    <w:rsid w:val="6F6FB3EB"/>
    <w:rsid w:val="6F8731EA"/>
    <w:rsid w:val="6FCE6052"/>
    <w:rsid w:val="6FD57C00"/>
    <w:rsid w:val="6FDE6CAB"/>
    <w:rsid w:val="6FEFFFD8"/>
    <w:rsid w:val="6FF5CC65"/>
    <w:rsid w:val="6FFB47EC"/>
    <w:rsid w:val="6FFF034A"/>
    <w:rsid w:val="70484440"/>
    <w:rsid w:val="70A00B41"/>
    <w:rsid w:val="70F91539"/>
    <w:rsid w:val="712A28F1"/>
    <w:rsid w:val="715C0E4B"/>
    <w:rsid w:val="71776831"/>
    <w:rsid w:val="71992E7C"/>
    <w:rsid w:val="72233669"/>
    <w:rsid w:val="726439F1"/>
    <w:rsid w:val="72734D90"/>
    <w:rsid w:val="73160E6D"/>
    <w:rsid w:val="732E65B8"/>
    <w:rsid w:val="7332FE48"/>
    <w:rsid w:val="73AB61DA"/>
    <w:rsid w:val="73AD73D5"/>
    <w:rsid w:val="73B6EB34"/>
    <w:rsid w:val="73FA497D"/>
    <w:rsid w:val="73FE5F31"/>
    <w:rsid w:val="744731E5"/>
    <w:rsid w:val="74A70471"/>
    <w:rsid w:val="74BA6A17"/>
    <w:rsid w:val="74BBD01D"/>
    <w:rsid w:val="74D74BBC"/>
    <w:rsid w:val="74ED5379"/>
    <w:rsid w:val="75066682"/>
    <w:rsid w:val="750D14D3"/>
    <w:rsid w:val="75DEEEC2"/>
    <w:rsid w:val="75E32345"/>
    <w:rsid w:val="76E3355F"/>
    <w:rsid w:val="76FF5125"/>
    <w:rsid w:val="77115462"/>
    <w:rsid w:val="776F6FFA"/>
    <w:rsid w:val="778769C8"/>
    <w:rsid w:val="77A75DCA"/>
    <w:rsid w:val="77B76FF0"/>
    <w:rsid w:val="77DC22F5"/>
    <w:rsid w:val="783E271A"/>
    <w:rsid w:val="78616DE9"/>
    <w:rsid w:val="78E875D7"/>
    <w:rsid w:val="79086DAD"/>
    <w:rsid w:val="798E498F"/>
    <w:rsid w:val="79D7FD79"/>
    <w:rsid w:val="79EE5BA4"/>
    <w:rsid w:val="7A894339"/>
    <w:rsid w:val="7AD284E8"/>
    <w:rsid w:val="7AFF7572"/>
    <w:rsid w:val="7B6C7DFB"/>
    <w:rsid w:val="7BA82CC9"/>
    <w:rsid w:val="7BBFBED0"/>
    <w:rsid w:val="7BC3E394"/>
    <w:rsid w:val="7BFA44FE"/>
    <w:rsid w:val="7C1F3737"/>
    <w:rsid w:val="7C532E05"/>
    <w:rsid w:val="7CBFC87B"/>
    <w:rsid w:val="7CFE0F48"/>
    <w:rsid w:val="7D272ABC"/>
    <w:rsid w:val="7D7EC23E"/>
    <w:rsid w:val="7E8ADEBF"/>
    <w:rsid w:val="7EEF11D3"/>
    <w:rsid w:val="7EFE4840"/>
    <w:rsid w:val="7F0971A6"/>
    <w:rsid w:val="7F1D62E7"/>
    <w:rsid w:val="7F3F679B"/>
    <w:rsid w:val="7F4FC4EF"/>
    <w:rsid w:val="7F5E4D54"/>
    <w:rsid w:val="7F6E0135"/>
    <w:rsid w:val="7F79F205"/>
    <w:rsid w:val="7F963AE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7"/>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正文-公1"/>
    <w:basedOn w:val="20"/>
    <w:next w:val="1"/>
    <w:qFormat/>
    <w:uiPriority w:val="0"/>
    <w:pPr>
      <w:ind w:firstLine="200" w:firstLineChars="200"/>
    </w:pPr>
  </w:style>
  <w:style w:type="paragraph" w:customStyle="1" w:styleId="20">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9"/>
    <w:qFormat/>
    <w:uiPriority w:val="0"/>
    <w:pPr>
      <w:widowControl w:val="0"/>
      <w:jc w:val="both"/>
    </w:pPr>
    <w:rPr>
      <w:rFonts w:ascii="Times New Roman" w:hAnsi="Times New Roman" w:eastAsia="宋体" w:cs="Times New Roman"/>
      <w:kern w:val="2"/>
      <w:sz w:val="21"/>
      <w:lang w:val="en-US" w:eastAsia="zh-CN"/>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6"/>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6"/>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6"/>
    <w:semiHidden/>
    <w:qFormat/>
    <w:uiPriority w:val="99"/>
    <w:rPr>
      <w:rFonts w:ascii="Times New Roman" w:hAnsi="Times New Roman"/>
      <w:szCs w:val="24"/>
    </w:rPr>
  </w:style>
  <w:style w:type="character" w:customStyle="1" w:styleId="27">
    <w:name w:val="正文文本 Char"/>
    <w:link w:val="8"/>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6"/>
    <w:link w:val="5"/>
    <w:qFormat/>
    <w:uiPriority w:val="9"/>
    <w:rPr>
      <w:rFonts w:ascii="Times New Roman" w:hAnsi="Times New Roman"/>
      <w:b/>
      <w:bCs/>
      <w:kern w:val="44"/>
      <w:sz w:val="44"/>
      <w:szCs w:val="44"/>
    </w:rPr>
  </w:style>
  <w:style w:type="character" w:customStyle="1" w:styleId="31">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6"/>
    <w:link w:val="10"/>
    <w:semiHidden/>
    <w:qFormat/>
    <w:uiPriority w:val="99"/>
    <w:rPr>
      <w:rFonts w:ascii="Times New Roman" w:hAnsi="Times New Roman"/>
      <w:kern w:val="2"/>
      <w:sz w:val="18"/>
      <w:szCs w:val="18"/>
    </w:rPr>
  </w:style>
  <w:style w:type="character" w:customStyle="1" w:styleId="34">
    <w:name w:val="标题 3 Char"/>
    <w:basedOn w:val="16"/>
    <w:link w:val="7"/>
    <w:qFormat/>
    <w:uiPriority w:val="9"/>
    <w:rPr>
      <w:rFonts w:ascii="Times New Roman" w:hAnsi="Times New Roman"/>
      <w:b/>
      <w:bCs/>
      <w:kern w:val="2"/>
      <w:sz w:val="32"/>
      <w:szCs w:val="32"/>
    </w:rPr>
  </w:style>
  <w:style w:type="paragraph" w:customStyle="1" w:styleId="35">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WPSOffice手动目录 1"/>
    <w:qFormat/>
    <w:uiPriority w:val="0"/>
    <w:pPr>
      <w:ind w:leftChars="0"/>
    </w:pPr>
    <w:rPr>
      <w:rFonts w:asciiTheme="minorHAnsi" w:hAnsiTheme="minorHAnsi" w:eastAsiaTheme="minorEastAsia" w:cstheme="minorBidi"/>
      <w:sz w:val="20"/>
      <w:szCs w:val="20"/>
    </w:rPr>
  </w:style>
  <w:style w:type="paragraph" w:customStyle="1" w:styleId="38">
    <w:name w:val="WPSOffice手动目录 2"/>
    <w:qFormat/>
    <w:uiPriority w:val="0"/>
    <w:pPr>
      <w:ind w:leftChars="200"/>
    </w:pPr>
    <w:rPr>
      <w:rFonts w:asciiTheme="minorHAnsi" w:hAnsiTheme="minorHAnsi" w:eastAsiaTheme="minorEastAsia" w:cstheme="minorBidi"/>
      <w:sz w:val="20"/>
      <w:szCs w:val="20"/>
    </w:rPr>
  </w:style>
  <w:style w:type="character" w:customStyle="1" w:styleId="39">
    <w:name w:val="标题 2 字符"/>
    <w:basedOn w:val="16"/>
    <w:link w:val="6"/>
    <w:qFormat/>
    <w:uiPriority w:val="9"/>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tx1">
                    <a:lumMod val="50000"/>
                  </a:schemeClr>
                </a:solidFill>
                <a:uFillTx/>
              </a:rPr>
              <a:t>收、支决算总计变动情况图</a:t>
            </a:r>
            <a:endParaRPr lang="zh-CN" altLang="en-US">
              <a:solidFill>
                <a:schemeClr val="tx1">
                  <a:lumMod val="50000"/>
                </a:schemeClr>
              </a:solidFill>
              <a:uFillTx/>
            </a:endParaRPr>
          </a:p>
        </c:rich>
      </c:tx>
      <c:layout/>
      <c:overlay val="0"/>
      <c:spPr>
        <a:noFill/>
        <a:ln>
          <a:noFill/>
        </a:ln>
        <a:effectLst/>
      </c:spPr>
    </c:title>
    <c:autoTitleDeleted val="0"/>
    <c:plotArea>
      <c:layout>
        <c:manualLayout>
          <c:layoutTarget val="inner"/>
          <c:xMode val="edge"/>
          <c:yMode val="edge"/>
          <c:x val="0.0868989958653278"/>
          <c:y val="0.130972842901341"/>
          <c:w val="0.888883638511518"/>
          <c:h val="0.708044001375043"/>
        </c:manualLayout>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10432.79</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10432.79</c:v>
                </c:pt>
                <c:pt idx="1">
                  <c:v>10432.79</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20231.82</c:v>
                </c:pt>
                <c:pt idx="1">
                  <c:v>20231.82</c:v>
                </c:pt>
              </c:numCache>
            </c:numRef>
          </c:val>
        </c:ser>
        <c:dLbls>
          <c:showLegendKey val="0"/>
          <c:showVal val="1"/>
          <c:showCatName val="0"/>
          <c:showSerName val="0"/>
          <c:showPercent val="0"/>
          <c:showBubbleSize val="0"/>
        </c:dLbls>
        <c:gapWidth val="219"/>
        <c:overlap val="-27"/>
        <c:axId val="645858728"/>
        <c:axId val="829565038"/>
      </c:barChart>
      <c:catAx>
        <c:axId val="6458587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9565038"/>
        <c:crosses val="autoZero"/>
        <c:auto val="1"/>
        <c:lblAlgn val="ctr"/>
        <c:lblOffset val="100"/>
        <c:noMultiLvlLbl val="0"/>
      </c:catAx>
      <c:valAx>
        <c:axId val="82956503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58587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dPt>
          <c:dLbls>
            <c:dLbl>
              <c:idx val="1"/>
              <c:layout>
                <c:manualLayout>
                  <c:x val="0.0201410059672833"/>
                  <c:y val="0.16948197479054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政府性基金预算, </a:t>
                    </a:r>
                    <a:r>
                      <a:rPr lang="en-US" altLang="zh-CN"/>
                      <a:t>660.27</a:t>
                    </a:r>
                    <a:endParaRPr lang="en-US" altLang="zh-CN"/>
                  </a:p>
                </c:rich>
              </c:tx>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c:v>
                </c:pt>
                <c:pt idx="1">
                  <c:v>政府性基金预算</c:v>
                </c:pt>
              </c:strCache>
            </c:strRef>
          </c:cat>
          <c:val>
            <c:numRef>
              <c:f>Sheet1!$B$2:$B$3</c:f>
              <c:numCache>
                <c:formatCode>General</c:formatCode>
                <c:ptCount val="2"/>
                <c:pt idx="0">
                  <c:v>19571.55</c:v>
                </c:pt>
                <c:pt idx="1">
                  <c:v>660.27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c:v>
                </c:pt>
              </c:strCache>
            </c:strRef>
          </c:tx>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10861.55</c:v>
                </c:pt>
                <c:pt idx="1">
                  <c:v>9370.27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tx1">
                    <a:lumMod val="50000"/>
                  </a:schemeClr>
                </a:solidFill>
                <a:uFillTx/>
              </a:rPr>
              <a:t>财政拨款收、支决算总计变动情况图</a:t>
            </a:r>
            <a:endParaRPr lang="zh-CN" altLang="en-US">
              <a:solidFill>
                <a:schemeClr val="tx1">
                  <a:lumMod val="50000"/>
                </a:schemeClr>
              </a:solidFill>
              <a:uFillTx/>
            </a:endParaRPr>
          </a:p>
        </c:rich>
      </c:tx>
      <c:layout/>
      <c:overlay val="0"/>
      <c:spPr>
        <a:noFill/>
        <a:ln>
          <a:noFill/>
        </a:ln>
        <a:effectLst/>
      </c:spPr>
    </c:title>
    <c:autoTitleDeleted val="0"/>
    <c:plotArea>
      <c:layout>
        <c:manualLayout>
          <c:layoutTarget val="inner"/>
          <c:xMode val="edge"/>
          <c:yMode val="edge"/>
          <c:x val="0.0958738579428235"/>
          <c:y val="0.134518942192121"/>
          <c:w val="0.888883638511518"/>
          <c:h val="0.708044001375043"/>
        </c:manualLayout>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10432.79</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10432.79</c:v>
                </c:pt>
                <c:pt idx="1">
                  <c:v>10432.79</c:v>
                </c:pt>
              </c:numCache>
            </c:numRef>
          </c:val>
        </c:ser>
        <c:ser>
          <c:idx val="1"/>
          <c:order val="1"/>
          <c:tx>
            <c:strRef>
              <c:f>Sheet1!$C$1</c:f>
              <c:strCache>
                <c:ptCount val="1"/>
                <c:pt idx="0">
                  <c:v>2025年度</c:v>
                </c:pt>
              </c:strCache>
            </c:strRef>
          </c:tx>
          <c:spPr>
            <a:solidFill>
              <a:schemeClr val="accent6">
                <a:lumMod val="75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20231.82</c:v>
                </c:pt>
                <c:pt idx="1">
                  <c:v>20231.82</c:v>
                </c:pt>
              </c:numCache>
            </c:numRef>
          </c:val>
        </c:ser>
        <c:dLbls>
          <c:showLegendKey val="0"/>
          <c:showVal val="1"/>
          <c:showCatName val="0"/>
          <c:showSerName val="0"/>
          <c:showPercent val="0"/>
          <c:showBubbleSize val="0"/>
        </c:dLbls>
        <c:gapWidth val="219"/>
        <c:overlap val="-27"/>
        <c:axId val="645858728"/>
        <c:axId val="829565038"/>
      </c:barChart>
      <c:catAx>
        <c:axId val="6458587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9565038"/>
        <c:crosses val="autoZero"/>
        <c:auto val="1"/>
        <c:lblAlgn val="ctr"/>
        <c:lblOffset val="100"/>
        <c:noMultiLvlLbl val="0"/>
      </c:catAx>
      <c:valAx>
        <c:axId val="82956503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58587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solidFill>
                  <a:schemeClr val="bg2">
                    <a:lumMod val="10000"/>
                  </a:schemeClr>
                </a:solidFill>
                <a:uFillTx/>
              </a:rPr>
              <a:t>一般公共预算财政拨款支出决算变动情况</a:t>
            </a:r>
            <a:endParaRPr lang="zh-CN" altLang="en-US">
              <a:solidFill>
                <a:schemeClr val="bg2">
                  <a:lumMod val="10000"/>
                </a:schemeClr>
              </a:solidFill>
              <a:uFillTx/>
            </a:endParaRPr>
          </a:p>
        </c:rich>
      </c:tx>
      <c:layout>
        <c:manualLayout>
          <c:xMode val="edge"/>
          <c:yMode val="edge"/>
          <c:x val="0.110150848522942"/>
          <c:y val="0.00770020533880903"/>
        </c:manualLayout>
      </c:layout>
      <c:overlay val="0"/>
      <c:spPr>
        <a:noFill/>
        <a:ln>
          <a:noFill/>
        </a:ln>
        <a:effectLst/>
      </c:spPr>
    </c:title>
    <c:autoTitleDeleted val="0"/>
    <c:plotArea>
      <c:layout>
        <c:manualLayout>
          <c:layoutTarget val="inner"/>
          <c:xMode val="edge"/>
          <c:yMode val="edge"/>
          <c:x val="0.10195246179966"/>
          <c:y val="0.200252844500632"/>
          <c:w val="0.816694963214488"/>
          <c:h val="0.570012642225032"/>
        </c:manualLayout>
      </c:layout>
      <c:barChart>
        <c:barDir val="col"/>
        <c:grouping val="clustered"/>
        <c:varyColors val="0"/>
        <c:ser>
          <c:idx val="1"/>
          <c:order val="0"/>
          <c:tx>
            <c:strRef>
              <c:f>Sheet1!$A$3</c:f>
              <c:strCache>
                <c:ptCount val="1"/>
                <c:pt idx="0">
                  <c:v>支出</c:v>
                </c:pt>
              </c:strCache>
            </c:strRef>
          </c:tx>
          <c:spPr>
            <a:solidFill>
              <a:schemeClr val="tx2">
                <a:lumMod val="60000"/>
                <a:lumOff val="40000"/>
              </a:schemeClr>
            </a:solidFill>
            <a:ln>
              <a:noFill/>
            </a:ln>
            <a:effectLst/>
          </c:spPr>
          <c:invertIfNegative val="0"/>
          <c:dPt>
            <c:idx val="0"/>
            <c:invertIfNegative val="0"/>
            <c:bubble3D val="0"/>
            <c:spPr>
              <a:solidFill>
                <a:schemeClr val="accent2"/>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Sheet1!$B$2:$C$2</c:f>
              <c:strCache>
                <c:ptCount val="2"/>
                <c:pt idx="0">
                  <c:v>2024年</c:v>
                </c:pt>
                <c:pt idx="1">
                  <c:v>2025年</c:v>
                </c:pt>
              </c:strCache>
            </c:strRef>
          </c:cat>
          <c:val>
            <c:numRef>
              <c:f>Sheet1!$B$3:$C$3</c:f>
              <c:numCache>
                <c:formatCode>General</c:formatCode>
                <c:ptCount val="2"/>
                <c:pt idx="0">
                  <c:v>10382.39</c:v>
                </c:pt>
                <c:pt idx="1">
                  <c:v>19571.55</c:v>
                </c:pt>
              </c:numCache>
            </c:numRef>
          </c:val>
        </c:ser>
        <c:dLbls>
          <c:showLegendKey val="0"/>
          <c:showVal val="1"/>
          <c:showCatName val="0"/>
          <c:showSerName val="0"/>
          <c:showPercent val="0"/>
          <c:showBubbleSize val="0"/>
        </c:dLbls>
        <c:gapWidth val="75"/>
        <c:overlap val="-25"/>
        <c:axId val="954681512"/>
        <c:axId val="557350736"/>
      </c:barChart>
      <c:catAx>
        <c:axId val="9546815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7350736"/>
        <c:crosses val="autoZero"/>
        <c:auto val="1"/>
        <c:lblAlgn val="ctr"/>
        <c:lblOffset val="100"/>
        <c:noMultiLvlLbl val="0"/>
      </c:catAx>
      <c:valAx>
        <c:axId val="557350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4681512"/>
        <c:crosses val="autoZero"/>
        <c:crossBetween val="between"/>
      </c:valAx>
      <c:spPr>
        <a:noFill/>
        <a:ln>
          <a:noFill/>
        </a:ln>
        <a:effectLst/>
      </c:spPr>
    </c:plotArea>
    <c:legend>
      <c:legendPos val="b"/>
      <c:layout>
        <c:manualLayout>
          <c:xMode val="edge"/>
          <c:yMode val="edge"/>
          <c:x val="0.372957259585167"/>
          <c:y val="0.88706365503080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 (6)'!$B$1</c:f>
              <c:strCache>
                <c:ptCount val="1"/>
                <c:pt idx="0">
                  <c:v>销售额</c:v>
                </c:pt>
              </c:strCache>
            </c:strRef>
          </c:tx>
          <c:spPr>
            <a:ln>
              <a:noFill/>
            </a:ln>
          </c:spPr>
          <c:explosion val="0"/>
          <c:dPt>
            <c:idx val="0"/>
            <c:bubble3D val="0"/>
            <c:spPr>
              <a:solidFill>
                <a:srgbClr val="4874CB"/>
              </a:solidFill>
              <a:ln w="6350">
                <a:solidFill>
                  <a:srgbClr val="FFFFFF"/>
                </a:solidFill>
                <a:prstDash val="solid"/>
              </a:ln>
            </c:spPr>
          </c:dPt>
          <c:dPt>
            <c:idx val="1"/>
            <c:bubble3D val="0"/>
            <c:spPr>
              <a:solidFill>
                <a:srgbClr val="EE822F"/>
              </a:solidFill>
              <a:ln w="6350">
                <a:solidFill>
                  <a:srgbClr val="FFFFFF"/>
                </a:solidFill>
                <a:prstDash val="solid"/>
              </a:ln>
            </c:spPr>
          </c:dPt>
          <c:dPt>
            <c:idx val="2"/>
            <c:bubble3D val="0"/>
            <c:spPr>
              <a:solidFill>
                <a:srgbClr val="F2BA02"/>
              </a:solidFill>
              <a:ln w="6350">
                <a:solidFill>
                  <a:srgbClr val="FFFFFF"/>
                </a:solidFill>
                <a:prstDash val="solid"/>
              </a:ln>
            </c:spPr>
          </c:dPt>
          <c:dPt>
            <c:idx val="3"/>
            <c:bubble3D val="0"/>
            <c:spPr>
              <a:solidFill>
                <a:srgbClr val="75BD42"/>
              </a:solidFill>
              <a:ln w="6350">
                <a:solidFill>
                  <a:srgbClr val="FFFFFF"/>
                </a:solidFill>
                <a:prstDash val="solid"/>
              </a:ln>
            </c:spPr>
          </c:dPt>
          <c:dPt>
            <c:idx val="4"/>
            <c:bubble3D val="0"/>
            <c:spPr>
              <a:solidFill>
                <a:srgbClr val="30C0B4"/>
              </a:solidFill>
              <a:ln w="6350">
                <a:solidFill>
                  <a:srgbClr val="FFFFFF"/>
                </a:solidFill>
                <a:prstDash val="solid"/>
              </a:ln>
            </c:spPr>
          </c:dPt>
          <c:dLbls>
            <c:dLbl>
              <c:idx val="0"/>
              <c:layout>
                <c:manualLayout>
                  <c:x val="0.00069942645"/>
                  <c:y val="0.09936052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40502020204"/>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Times New Roman" panose="02020603050405020304"/>
                        <a:ea typeface="宋体" panose="02010600030101010101" charset="-122"/>
                        <a:cs typeface="Lucida Sans" panose="020B0602040502020204"/>
                      </a:defRPr>
                    </a:pPr>
                    <a:r>
                      <a:t>22.</a:t>
                    </a:r>
                    <a:r>
                      <a:rPr lang="en-US" altLang="zh-CN"/>
                      <a:t>6</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Times New Roman" panose="02020603050405020304"/>
                        <a:ea typeface="宋体" panose="02010600030101010101" charset="-122"/>
                        <a:cs typeface="Lucida Sans" panose="020B0602040502020204"/>
                      </a:defRPr>
                    </a:pPr>
                    <a:r>
                      <a:rPr lang="en-US" altLang="zh-CN"/>
                      <a:t>72.2</a:t>
                    </a:r>
                    <a:r>
                      <a:t>%</a:t>
                    </a:r>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40502020204"/>
                    </a:defRPr>
                  </a:pPr>
                </a:p>
              </c:txPr>
              <c:dLblPos val="inEnd"/>
              <c:showLegendKey val="0"/>
              <c:showVal val="0"/>
              <c:showCatName val="0"/>
              <c:showSerName val="0"/>
              <c:showPercent val="1"/>
              <c:showBubbleSize val="0"/>
              <c:extLst>
                <c:ext xmlns:c15="http://schemas.microsoft.com/office/drawing/2012/chart" uri="{CE6537A1-D6FC-4f65-9D91-7224C49458BB}"/>
              </c:extLst>
            </c:dLbl>
            <c:dLbl>
              <c:idx val="3"/>
              <c:layout>
                <c:manualLayout>
                  <c:x val="0.045318007"/>
                  <c:y val="0.244020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rgbClr val="404040"/>
                        </a:solidFill>
                        <a:latin typeface="Times New Roman" panose="02020603050405020304"/>
                        <a:ea typeface="宋体" panose="02010600030101010101" charset="-122"/>
                        <a:cs typeface="Lucida Sans" panose="020B0602040502020204"/>
                      </a:defRPr>
                    </a:pPr>
                    <a:r>
                      <a:t>2.</a:t>
                    </a:r>
                    <a:r>
                      <a:rPr lang="en-US" altLang="zh-CN"/>
                      <a:t>2</a:t>
                    </a:r>
                    <a:r>
                      <a:t>%</a:t>
                    </a:r>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40502020204"/>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20059302"/>
                  <c:y val="0.1813279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rgbClr val="404040"/>
                        </a:solidFill>
                        <a:latin typeface="Times New Roman" panose="02020603050405020304"/>
                        <a:ea typeface="宋体" panose="02010600030101010101" charset="-122"/>
                        <a:cs typeface="Lucida Sans" panose="020B0602040502020204"/>
                      </a:defRPr>
                    </a:pPr>
                    <a:r>
                      <a:rPr lang="en-US" altLang="zh-CN"/>
                      <a:t>3.</a:t>
                    </a:r>
                    <a:r>
                      <a:t>%</a:t>
                    </a:r>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40502020204"/>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40502020204"/>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(6)'!$A$2:$A$6</c:f>
              <c:strCache>
                <c:ptCount val="5"/>
                <c:pt idx="0">
                  <c:v>一般公共服务支出</c:v>
                </c:pt>
                <c:pt idx="1">
                  <c:v>社会保障和就业支出</c:v>
                </c:pt>
                <c:pt idx="2">
                  <c:v>交通运输支出</c:v>
                </c:pt>
                <c:pt idx="3">
                  <c:v>卫生健康支出</c:v>
                </c:pt>
                <c:pt idx="4">
                  <c:v>住房保障支出</c:v>
                </c:pt>
              </c:strCache>
            </c:strRef>
          </c:cat>
          <c:val>
            <c:numRef>
              <c:f>'Sheet1 (6)'!$B$2:$B$6</c:f>
              <c:numCache>
                <c:formatCode>General</c:formatCode>
                <c:ptCount val="5"/>
                <c:pt idx="0">
                  <c:v>2.84</c:v>
                </c:pt>
                <c:pt idx="1">
                  <c:v>4430.24</c:v>
                </c:pt>
                <c:pt idx="2">
                  <c:v>14129.57</c:v>
                </c:pt>
                <c:pt idx="3">
                  <c:v>424.91</c:v>
                </c:pt>
                <c:pt idx="4">
                  <c:v>583.99</c:v>
                </c:pt>
              </c:numCache>
            </c:numRef>
          </c:val>
        </c:ser>
        <c:dLbls>
          <c:showLegendKey val="0"/>
          <c:showVal val="0"/>
          <c:showCatName val="0"/>
          <c:showSerName val="0"/>
          <c:showPercent val="1"/>
          <c:showBubbleSize val="0"/>
          <c:showLeaderLines val="1"/>
        </c:dLbls>
        <c:firstSliceAng val="0"/>
      </c:pieChart>
      <c:spPr>
        <a:noFill/>
        <a:ln>
          <a:noFill/>
        </a:ln>
      </c:spPr>
    </c:plotArea>
    <c:legend>
      <c:legendPos val="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40502020204"/>
            </a:defRPr>
          </a:pPr>
        </a:p>
      </c:txPr>
    </c:legend>
    <c:plotVisOnly val="1"/>
    <c:dispBlanksAs val="gap"/>
    <c:showDLblsOverMax val="0"/>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40502020204"/>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4895</Words>
  <Characters>5337</Characters>
  <Lines>61</Lines>
  <Paragraphs>17</Paragraphs>
  <TotalTime>21</TotalTime>
  <ScaleCrop>false</ScaleCrop>
  <LinksUpToDate>false</LinksUpToDate>
  <CharactersWithSpaces>5456</CharactersWithSpaces>
  <Application>WPS Office_11.8.2.12011_F1E327BC-269C-435d-A152-05C5408002CA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Admin</cp:lastModifiedBy>
  <cp:lastPrinted>2025-08-06T17:34:00Z</cp:lastPrinted>
  <dcterms:modified xsi:type="dcterms:W3CDTF">2026-09-07T01:40:32Z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2052-11.8.2.12011</vt:lpwstr>
  </property>
  <property fmtid="{D5CDD505-2E9C-101B-9397-08002B2CF9AE}" pid="3" name="ICV">
    <vt:lpwstr>04787F2533EB45DC91BCDE4AB213247F</vt:lpwstr>
  </property>
  <property fmtid="{D5CDD505-2E9C-101B-9397-08002B2CF9AE}" pid="4" name="KSOTemplateDocerSaveRecord">
    <vt:lpwstr>eyJoZGlkIjoiZDFiMzU1NzIwMDcyYmQ1OTgwMGQ0NGFlNGYxMTczNDEiLCJ1c2VySWQiOiI3NDU1NTc2MjUifQ==</vt:lpwstr>
  </property>
</Properties>
</file>