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B3A77">
      <w:pPr>
        <w:pStyle w:val="2"/>
        <w:spacing w:before="93"/>
        <w:jc w:val="both"/>
        <w:rPr>
          <w:rFonts w:ascii="Times New Roman" w:eastAsia="方正小标宋简体"/>
          <w:kern w:val="2"/>
          <w:sz w:val="44"/>
          <w:szCs w:val="44"/>
        </w:rPr>
      </w:pPr>
      <w:bookmarkStart w:id="0" w:name="_Toc15378441"/>
      <w:bookmarkStart w:id="1" w:name="_Toc15396597"/>
      <w:bookmarkStart w:id="2" w:name="_Toc15396475"/>
      <w:bookmarkStart w:id="3" w:name="_Toc15377425"/>
      <w:bookmarkStart w:id="4" w:name="_Toc15377193"/>
      <w:bookmarkStart w:id="5" w:name="_Toc15306267"/>
    </w:p>
    <w:p w14:paraId="3D15717A">
      <w:pPr>
        <w:pStyle w:val="2"/>
        <w:spacing w:before="93"/>
        <w:jc w:val="both"/>
        <w:rPr>
          <w:rFonts w:ascii="Times New Roman" w:eastAsia="方正小标宋简体"/>
          <w:kern w:val="2"/>
          <w:sz w:val="44"/>
          <w:szCs w:val="44"/>
        </w:rPr>
      </w:pPr>
    </w:p>
    <w:p w14:paraId="7C074C1A">
      <w:pPr>
        <w:pStyle w:val="2"/>
        <w:spacing w:before="93"/>
        <w:jc w:val="both"/>
        <w:rPr>
          <w:rFonts w:ascii="Times New Roman" w:eastAsia="方正小标宋简体"/>
          <w:kern w:val="2"/>
          <w:sz w:val="44"/>
          <w:szCs w:val="44"/>
        </w:rPr>
      </w:pPr>
    </w:p>
    <w:p w14:paraId="33B0454F">
      <w:pPr>
        <w:pStyle w:val="2"/>
        <w:spacing w:before="93"/>
        <w:jc w:val="both"/>
        <w:rPr>
          <w:rFonts w:ascii="Times New Roman" w:eastAsia="方正小标宋简体"/>
          <w:kern w:val="2"/>
          <w:sz w:val="44"/>
          <w:szCs w:val="44"/>
        </w:rPr>
      </w:pPr>
    </w:p>
    <w:p w14:paraId="12C907DD">
      <w:pPr>
        <w:pStyle w:val="2"/>
        <w:spacing w:before="93"/>
        <w:jc w:val="both"/>
        <w:rPr>
          <w:rFonts w:ascii="Times New Roman" w:eastAsia="方正小标宋简体"/>
          <w:kern w:val="2"/>
          <w:sz w:val="44"/>
          <w:szCs w:val="44"/>
        </w:rPr>
      </w:pPr>
    </w:p>
    <w:p w14:paraId="7CD873DB">
      <w:pPr>
        <w:pStyle w:val="2"/>
        <w:spacing w:before="93"/>
        <w:jc w:val="both"/>
        <w:rPr>
          <w:rFonts w:ascii="Times New Roman" w:eastAsia="方正小标宋简体"/>
          <w:kern w:val="2"/>
          <w:sz w:val="44"/>
          <w:szCs w:val="44"/>
        </w:rPr>
      </w:pPr>
    </w:p>
    <w:p w14:paraId="52E79124">
      <w:pPr>
        <w:pStyle w:val="2"/>
        <w:spacing w:before="93"/>
        <w:jc w:val="both"/>
        <w:rPr>
          <w:rFonts w:ascii="Times New Roman" w:eastAsia="方正小标宋简体"/>
          <w:kern w:val="2"/>
          <w:sz w:val="44"/>
          <w:szCs w:val="44"/>
        </w:rPr>
      </w:pPr>
    </w:p>
    <w:p w14:paraId="765F3EF8">
      <w:pPr>
        <w:pStyle w:val="2"/>
        <w:spacing w:before="93"/>
        <w:jc w:val="both"/>
        <w:rPr>
          <w:rFonts w:ascii="Times New Roman" w:eastAsia="方正小标宋简体"/>
          <w:kern w:val="2"/>
          <w:sz w:val="44"/>
          <w:szCs w:val="44"/>
        </w:rPr>
      </w:pPr>
    </w:p>
    <w:bookmarkEnd w:id="0"/>
    <w:bookmarkEnd w:id="1"/>
    <w:bookmarkEnd w:id="2"/>
    <w:bookmarkEnd w:id="3"/>
    <w:bookmarkEnd w:id="4"/>
    <w:p w14:paraId="2EE8C59B">
      <w:pPr>
        <w:pStyle w:val="2"/>
        <w:spacing w:before="93"/>
        <w:jc w:val="center"/>
        <w:rPr>
          <w:rFonts w:hint="eastAsia" w:ascii="Times New Roman" w:eastAsia="方正小标宋简体"/>
          <w:kern w:val="2"/>
          <w:sz w:val="44"/>
          <w:szCs w:val="44"/>
        </w:rPr>
      </w:pPr>
      <w:bookmarkStart w:id="6" w:name="_Toc15377194"/>
      <w:bookmarkStart w:id="7" w:name="_Toc15377426"/>
      <w:bookmarkStart w:id="8" w:name="_Toc15396598"/>
      <w:bookmarkStart w:id="9" w:name="_Toc15396476"/>
      <w:bookmarkStart w:id="10" w:name="_Toc15378442"/>
      <w:r>
        <w:rPr>
          <w:rFonts w:hint="eastAsia" w:ascii="Times New Roman" w:eastAsia="方正小标宋简体"/>
          <w:kern w:val="2"/>
          <w:sz w:val="44"/>
          <w:szCs w:val="44"/>
        </w:rPr>
        <w:t>2025年度</w:t>
      </w:r>
    </w:p>
    <w:p w14:paraId="269BC34B">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rPr>
        <w:t>攀枝花市</w:t>
      </w:r>
      <w:bookmarkEnd w:id="5"/>
      <w:bookmarkStart w:id="11" w:name="_Toc15306268"/>
      <w:r>
        <w:rPr>
          <w:rFonts w:hint="eastAsia" w:ascii="Times New Roman" w:eastAsia="方正小标宋简体"/>
          <w:kern w:val="2"/>
          <w:sz w:val="44"/>
          <w:szCs w:val="44"/>
          <w:lang w:eastAsia="zh-CN"/>
        </w:rPr>
        <w:t>公路事业发展中心单位</w:t>
      </w:r>
      <w:r>
        <w:rPr>
          <w:rFonts w:hint="eastAsia" w:ascii="Times New Roman" w:eastAsia="方正小标宋简体"/>
          <w:kern w:val="2"/>
          <w:sz w:val="44"/>
          <w:szCs w:val="44"/>
        </w:rPr>
        <w:t>决算</w:t>
      </w:r>
      <w:bookmarkEnd w:id="6"/>
      <w:bookmarkEnd w:id="7"/>
      <w:bookmarkEnd w:id="8"/>
      <w:bookmarkEnd w:id="9"/>
      <w:bookmarkEnd w:id="10"/>
      <w:bookmarkEnd w:id="11"/>
    </w:p>
    <w:p w14:paraId="25E41156">
      <w:pPr>
        <w:widowControl/>
        <w:jc w:val="center"/>
        <w:rPr>
          <w:rFonts w:eastAsia="黑体"/>
          <w:sz w:val="48"/>
          <w:szCs w:val="48"/>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31F970F3">
      <w:pPr>
        <w:widowControl/>
        <w:jc w:val="center"/>
        <w:rPr>
          <w:rFonts w:eastAsia="黑体"/>
          <w:sz w:val="48"/>
          <w:szCs w:val="48"/>
        </w:rPr>
      </w:pPr>
      <w:r>
        <w:rPr>
          <w:rFonts w:hint="eastAsia" w:eastAsia="黑体"/>
          <w:sz w:val="48"/>
          <w:szCs w:val="48"/>
        </w:rPr>
        <w:t>目录</w:t>
      </w:r>
    </w:p>
    <w:p w14:paraId="48216D2B">
      <w:pPr>
        <w:widowControl/>
        <w:jc w:val="center"/>
        <w:rPr>
          <w:rFonts w:eastAsia="黑体" w:cstheme="minorBidi"/>
          <w:sz w:val="28"/>
          <w:szCs w:val="28"/>
        </w:rPr>
      </w:pPr>
    </w:p>
    <w:p w14:paraId="60572B28">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 </w:t>
      </w:r>
      <w:r>
        <w:rPr>
          <w:rFonts w:hint="eastAsia" w:eastAsia="仿宋_GB2312" w:cs="仿宋_GB2312"/>
          <w:sz w:val="32"/>
          <w:szCs w:val="32"/>
          <w:lang w:val="en-US" w:eastAsia="zh-CN"/>
        </w:rPr>
        <w:t>15</w:t>
      </w:r>
      <w:r>
        <w:rPr>
          <w:rFonts w:hint="eastAsia" w:ascii="Times New Roman" w:hAnsi="Times New Roman" w:eastAsia="仿宋_GB2312" w:cs="仿宋_GB2312"/>
          <w:sz w:val="32"/>
          <w:szCs w:val="32"/>
        </w:rPr>
        <w:t xml:space="preserve"> 日</w:t>
      </w:r>
    </w:p>
    <w:p w14:paraId="5CE67E65"/>
    <w:sdt>
      <w:sdtPr>
        <w:rPr>
          <w:rFonts w:ascii="宋体" w:hAnsi="宋体" w:eastAsia="宋体" w:cs="Times New Roman"/>
          <w:kern w:val="2"/>
          <w:sz w:val="21"/>
          <w:szCs w:val="24"/>
          <w:lang w:val="en-US" w:eastAsia="zh-CN" w:bidi="ar-SA"/>
        </w:rPr>
        <w:id w:val="147481745"/>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14:paraId="1CF73DC7">
          <w:pPr>
            <w:spacing w:before="0" w:beforeLines="0" w:after="0" w:afterLines="0" w:line="240" w:lineRule="auto"/>
            <w:ind w:left="0" w:leftChars="0" w:right="0" w:rightChars="0" w:firstLine="0" w:firstLineChars="0"/>
            <w:jc w:val="center"/>
          </w:pPr>
          <w:bookmarkStart w:id="12" w:name="_Toc15396599"/>
          <w:bookmarkStart w:id="13" w:name="_Toc15377196"/>
        </w:p>
        <w:p w14:paraId="0D325EBC">
          <w:pPr>
            <w:pStyle w:val="12"/>
            <w:tabs>
              <w:tab w:val="right" w:leader="dot" w:pos="8306"/>
              <w:tab w:val="clear" w:pos="8296"/>
            </w:tabs>
          </w:pPr>
          <w:r>
            <w:fldChar w:fldCharType="begin"/>
          </w:r>
          <w:r>
            <w:instrText xml:space="preserve">TOC \o "1-2" \h \u </w:instrText>
          </w:r>
          <w:r>
            <w:fldChar w:fldCharType="separate"/>
          </w:r>
          <w:r>
            <w:fldChar w:fldCharType="begin"/>
          </w:r>
          <w:r>
            <w:instrText xml:space="preserve"> HYPERLINK \l _Toc9410 </w:instrText>
          </w:r>
          <w:r>
            <w:fldChar w:fldCharType="separate"/>
          </w:r>
          <w:r>
            <w:rPr>
              <w:rFonts w:hint="eastAsia" w:ascii="方正小标宋简体" w:hAnsi="方正小标宋简体" w:eastAsia="方正小标宋简体" w:cs="方正小标宋简体"/>
              <w:bCs w:val="0"/>
            </w:rPr>
            <w:t xml:space="preserve">第一部分  </w:t>
          </w:r>
          <w:r>
            <w:rPr>
              <w:rFonts w:hint="eastAsia" w:ascii="方正小标宋简体" w:hAnsi="方正小标宋简体" w:eastAsia="方正小标宋简体" w:cs="方正小标宋简体"/>
              <w:bCs w:val="0"/>
              <w:lang w:eastAsia="zh-CN"/>
            </w:rPr>
            <w:t>单位</w:t>
          </w:r>
          <w:r>
            <w:rPr>
              <w:rFonts w:hint="eastAsia" w:ascii="方正小标宋简体" w:hAnsi="方正小标宋简体" w:eastAsia="方正小标宋简体" w:cs="方正小标宋简体"/>
              <w:bCs w:val="0"/>
            </w:rPr>
            <w:t>概况</w:t>
          </w:r>
          <w:r>
            <w:tab/>
          </w:r>
          <w:r>
            <w:fldChar w:fldCharType="begin"/>
          </w:r>
          <w:r>
            <w:instrText xml:space="preserve"> PAGEREF _Toc9410 \h </w:instrText>
          </w:r>
          <w:r>
            <w:fldChar w:fldCharType="separate"/>
          </w:r>
          <w:r>
            <w:t>3</w:t>
          </w:r>
          <w:r>
            <w:fldChar w:fldCharType="end"/>
          </w:r>
          <w:r>
            <w:fldChar w:fldCharType="end"/>
          </w:r>
        </w:p>
        <w:p w14:paraId="0AB59DAD">
          <w:pPr>
            <w:pStyle w:val="14"/>
            <w:tabs>
              <w:tab w:val="right" w:leader="dot" w:pos="8306"/>
              <w:tab w:val="clear" w:pos="8296"/>
            </w:tabs>
          </w:pPr>
          <w:r>
            <w:fldChar w:fldCharType="begin"/>
          </w:r>
          <w:r>
            <w:instrText xml:space="preserve"> HYPERLINK \l _Toc2450 </w:instrText>
          </w:r>
          <w:r>
            <w:fldChar w:fldCharType="separate"/>
          </w:r>
          <w:r>
            <w:rPr>
              <w:rFonts w:hint="eastAsia" w:ascii="黑体" w:hAnsi="黑体" w:eastAsia="黑体" w:cs="黑体"/>
              <w:bCs w:val="0"/>
            </w:rPr>
            <w:t xml:space="preserve">一、 </w:t>
          </w:r>
          <w:r>
            <w:rPr>
              <w:rFonts w:hint="eastAsia" w:ascii="黑体" w:hAnsi="黑体" w:eastAsia="黑体" w:cs="黑体"/>
              <w:bCs w:val="0"/>
              <w:lang w:eastAsia="zh-CN"/>
            </w:rPr>
            <w:t>单位</w:t>
          </w:r>
          <w:r>
            <w:rPr>
              <w:rFonts w:hint="eastAsia" w:ascii="黑体" w:hAnsi="黑体" w:eastAsia="黑体" w:cs="黑体"/>
              <w:bCs w:val="0"/>
            </w:rPr>
            <w:t>职责</w:t>
          </w:r>
          <w:r>
            <w:tab/>
          </w:r>
          <w:r>
            <w:fldChar w:fldCharType="begin"/>
          </w:r>
          <w:r>
            <w:instrText xml:space="preserve"> PAGEREF _Toc2450 \h </w:instrText>
          </w:r>
          <w:r>
            <w:fldChar w:fldCharType="separate"/>
          </w:r>
          <w:r>
            <w:t>3</w:t>
          </w:r>
          <w:r>
            <w:fldChar w:fldCharType="end"/>
          </w:r>
          <w:r>
            <w:fldChar w:fldCharType="end"/>
          </w:r>
        </w:p>
        <w:p w14:paraId="489DDDA2">
          <w:pPr>
            <w:pStyle w:val="14"/>
            <w:tabs>
              <w:tab w:val="right" w:leader="dot" w:pos="8306"/>
              <w:tab w:val="clear" w:pos="8296"/>
            </w:tabs>
          </w:pPr>
          <w:r>
            <w:fldChar w:fldCharType="begin"/>
          </w:r>
          <w:r>
            <w:instrText xml:space="preserve"> HYPERLINK \l _Toc24005 </w:instrText>
          </w:r>
          <w:r>
            <w:fldChar w:fldCharType="separate"/>
          </w:r>
          <w:r>
            <w:rPr>
              <w:rFonts w:hint="eastAsia" w:ascii="黑体" w:hAnsi="黑体" w:eastAsia="黑体" w:cs="黑体"/>
              <w:bCs w:val="0"/>
            </w:rPr>
            <w:t>二、 机构设置</w:t>
          </w:r>
          <w:r>
            <w:tab/>
          </w:r>
          <w:r>
            <w:fldChar w:fldCharType="begin"/>
          </w:r>
          <w:r>
            <w:instrText xml:space="preserve"> PAGEREF _Toc24005 \h </w:instrText>
          </w:r>
          <w:r>
            <w:fldChar w:fldCharType="separate"/>
          </w:r>
          <w:r>
            <w:t>4</w:t>
          </w:r>
          <w:r>
            <w:fldChar w:fldCharType="end"/>
          </w:r>
          <w:r>
            <w:fldChar w:fldCharType="end"/>
          </w:r>
        </w:p>
        <w:p w14:paraId="3F6F48FB">
          <w:pPr>
            <w:pStyle w:val="12"/>
            <w:bidi w:val="0"/>
          </w:pPr>
          <w:r>
            <w:fldChar w:fldCharType="begin"/>
          </w:r>
          <w:r>
            <w:instrText xml:space="preserve"> HYPERLINK \l _Toc14200 </w:instrText>
          </w:r>
          <w:r>
            <w:fldChar w:fldCharType="separate"/>
          </w:r>
          <w:r>
            <w:rPr>
              <w:rFonts w:hint="eastAsia" w:ascii="方正小标宋简体" w:hAnsi="方正小标宋简体" w:eastAsia="方正小标宋简体" w:cs="方正小标宋简体"/>
              <w:bCs w:val="0"/>
            </w:rPr>
            <w:t>第二部分  2025年度</w:t>
          </w:r>
          <w:r>
            <w:rPr>
              <w:rFonts w:hint="eastAsia" w:ascii="方正小标宋简体" w:hAnsi="方正小标宋简体" w:eastAsia="方正小标宋简体" w:cs="方正小标宋简体"/>
              <w:bCs w:val="0"/>
              <w:lang w:eastAsia="zh-CN"/>
            </w:rPr>
            <w:t>单位</w:t>
          </w:r>
          <w:r>
            <w:rPr>
              <w:rFonts w:hint="eastAsia" w:ascii="方正小标宋简体" w:hAnsi="方正小标宋简体" w:eastAsia="方正小标宋简体" w:cs="方正小标宋简体"/>
              <w:bCs w:val="0"/>
            </w:rPr>
            <w:t>决算情况说明</w:t>
          </w:r>
          <w:r>
            <w:tab/>
          </w:r>
          <w:r>
            <w:fldChar w:fldCharType="begin"/>
          </w:r>
          <w:r>
            <w:instrText xml:space="preserve"> PAGEREF _Toc14200 \h </w:instrText>
          </w:r>
          <w:r>
            <w:fldChar w:fldCharType="separate"/>
          </w:r>
          <w:r>
            <w:t>6</w:t>
          </w:r>
          <w:r>
            <w:fldChar w:fldCharType="end"/>
          </w:r>
          <w:r>
            <w:fldChar w:fldCharType="end"/>
          </w:r>
        </w:p>
        <w:p w14:paraId="48244073">
          <w:pPr>
            <w:pStyle w:val="14"/>
            <w:tabs>
              <w:tab w:val="right" w:leader="dot" w:pos="8306"/>
              <w:tab w:val="clear" w:pos="8296"/>
            </w:tabs>
          </w:pPr>
          <w:r>
            <w:fldChar w:fldCharType="begin"/>
          </w:r>
          <w:r>
            <w:instrText xml:space="preserve"> HYPERLINK \l _Toc19694 </w:instrText>
          </w:r>
          <w:r>
            <w:fldChar w:fldCharType="separate"/>
          </w:r>
          <w:r>
            <w:rPr>
              <w:rFonts w:hint="eastAsia" w:ascii="黑体" w:hAnsi="黑体" w:eastAsia="黑体" w:cs="黑体"/>
              <w:bCs w:val="0"/>
            </w:rPr>
            <w:t>一、 收入支出决算总体情况说明</w:t>
          </w:r>
          <w:r>
            <w:tab/>
          </w:r>
          <w:r>
            <w:fldChar w:fldCharType="begin"/>
          </w:r>
          <w:r>
            <w:instrText xml:space="preserve"> PAGEREF _Toc19694 \h </w:instrText>
          </w:r>
          <w:r>
            <w:fldChar w:fldCharType="separate"/>
          </w:r>
          <w:r>
            <w:t>6</w:t>
          </w:r>
          <w:r>
            <w:fldChar w:fldCharType="end"/>
          </w:r>
          <w:r>
            <w:fldChar w:fldCharType="end"/>
          </w:r>
        </w:p>
        <w:p w14:paraId="697ECBF3">
          <w:pPr>
            <w:pStyle w:val="14"/>
            <w:tabs>
              <w:tab w:val="right" w:leader="dot" w:pos="8306"/>
              <w:tab w:val="clear" w:pos="8296"/>
            </w:tabs>
          </w:pPr>
          <w:r>
            <w:fldChar w:fldCharType="begin"/>
          </w:r>
          <w:r>
            <w:instrText xml:space="preserve"> HYPERLINK \l _Toc29834 </w:instrText>
          </w:r>
          <w:r>
            <w:fldChar w:fldCharType="separate"/>
          </w:r>
          <w:r>
            <w:rPr>
              <w:rFonts w:hint="eastAsia" w:ascii="黑体" w:hAnsi="黑体" w:eastAsia="黑体" w:cs="黑体"/>
              <w:bCs w:val="0"/>
              <w:lang w:val="en-US" w:eastAsia="zh-CN"/>
            </w:rPr>
            <w:t>二、 收入决算情况说明</w:t>
          </w:r>
          <w:r>
            <w:tab/>
          </w:r>
          <w:r>
            <w:fldChar w:fldCharType="begin"/>
          </w:r>
          <w:r>
            <w:instrText xml:space="preserve"> PAGEREF _Toc29834 \h </w:instrText>
          </w:r>
          <w:r>
            <w:fldChar w:fldCharType="separate"/>
          </w:r>
          <w:r>
            <w:t>6</w:t>
          </w:r>
          <w:r>
            <w:fldChar w:fldCharType="end"/>
          </w:r>
          <w:r>
            <w:fldChar w:fldCharType="end"/>
          </w:r>
        </w:p>
        <w:p w14:paraId="42B41E11">
          <w:pPr>
            <w:pStyle w:val="14"/>
            <w:tabs>
              <w:tab w:val="right" w:leader="dot" w:pos="8306"/>
              <w:tab w:val="clear" w:pos="8296"/>
            </w:tabs>
          </w:pPr>
          <w:r>
            <w:fldChar w:fldCharType="begin"/>
          </w:r>
          <w:r>
            <w:instrText xml:space="preserve"> HYPERLINK \l _Toc5801 </w:instrText>
          </w:r>
          <w:r>
            <w:fldChar w:fldCharType="separate"/>
          </w:r>
          <w:r>
            <w:rPr>
              <w:rFonts w:hint="eastAsia" w:ascii="黑体" w:hAnsi="黑体" w:eastAsia="黑体" w:cs="黑体"/>
              <w:bCs w:val="0"/>
            </w:rPr>
            <w:t>三、 支出决算情况说明</w:t>
          </w:r>
          <w:r>
            <w:tab/>
          </w:r>
          <w:r>
            <w:fldChar w:fldCharType="begin"/>
          </w:r>
          <w:r>
            <w:instrText xml:space="preserve"> PAGEREF _Toc5801 \h </w:instrText>
          </w:r>
          <w:r>
            <w:fldChar w:fldCharType="separate"/>
          </w:r>
          <w:r>
            <w:t>7</w:t>
          </w:r>
          <w:r>
            <w:fldChar w:fldCharType="end"/>
          </w:r>
          <w:r>
            <w:fldChar w:fldCharType="end"/>
          </w:r>
        </w:p>
        <w:p w14:paraId="33DED756">
          <w:pPr>
            <w:pStyle w:val="14"/>
            <w:tabs>
              <w:tab w:val="right" w:leader="dot" w:pos="8306"/>
              <w:tab w:val="clear" w:pos="8296"/>
            </w:tabs>
          </w:pPr>
          <w:r>
            <w:fldChar w:fldCharType="begin"/>
          </w:r>
          <w:r>
            <w:instrText xml:space="preserve"> HYPERLINK \l _Toc12968 </w:instrText>
          </w:r>
          <w:r>
            <w:fldChar w:fldCharType="separate"/>
          </w:r>
          <w:r>
            <w:rPr>
              <w:rFonts w:hint="eastAsia" w:ascii="黑体" w:hAnsi="黑体" w:eastAsia="黑体" w:cs="黑体"/>
              <w:bCs w:val="0"/>
            </w:rPr>
            <w:t>四、 财政拨款收入支出决算总体情况说明</w:t>
          </w:r>
          <w:r>
            <w:tab/>
          </w:r>
          <w:r>
            <w:fldChar w:fldCharType="begin"/>
          </w:r>
          <w:r>
            <w:instrText xml:space="preserve"> PAGEREF _Toc12968 \h </w:instrText>
          </w:r>
          <w:r>
            <w:fldChar w:fldCharType="separate"/>
          </w:r>
          <w:r>
            <w:t>8</w:t>
          </w:r>
          <w:r>
            <w:fldChar w:fldCharType="end"/>
          </w:r>
          <w:r>
            <w:fldChar w:fldCharType="end"/>
          </w:r>
        </w:p>
        <w:p w14:paraId="003D75D1">
          <w:pPr>
            <w:pStyle w:val="14"/>
            <w:tabs>
              <w:tab w:val="right" w:leader="dot" w:pos="8306"/>
              <w:tab w:val="clear" w:pos="8296"/>
            </w:tabs>
          </w:pPr>
          <w:r>
            <w:fldChar w:fldCharType="begin"/>
          </w:r>
          <w:r>
            <w:instrText xml:space="preserve"> HYPERLINK \l _Toc12297 </w:instrText>
          </w:r>
          <w:r>
            <w:fldChar w:fldCharType="separate"/>
          </w:r>
          <w:r>
            <w:rPr>
              <w:rFonts w:hint="eastAsia" w:ascii="黑体" w:hAnsi="黑体" w:eastAsia="黑体" w:cs="黑体"/>
              <w:bCs w:val="0"/>
            </w:rPr>
            <w:t>五、 一般公共预算财政拨款支出决算情况说明</w:t>
          </w:r>
          <w:r>
            <w:tab/>
          </w:r>
          <w:r>
            <w:fldChar w:fldCharType="begin"/>
          </w:r>
          <w:r>
            <w:instrText xml:space="preserve"> PAGEREF _Toc12297 \h </w:instrText>
          </w:r>
          <w:r>
            <w:fldChar w:fldCharType="separate"/>
          </w:r>
          <w:r>
            <w:t>8</w:t>
          </w:r>
          <w:r>
            <w:fldChar w:fldCharType="end"/>
          </w:r>
          <w:r>
            <w:fldChar w:fldCharType="end"/>
          </w:r>
        </w:p>
        <w:p w14:paraId="5748E672">
          <w:pPr>
            <w:pStyle w:val="14"/>
            <w:tabs>
              <w:tab w:val="right" w:leader="dot" w:pos="8306"/>
              <w:tab w:val="clear" w:pos="8296"/>
            </w:tabs>
          </w:pPr>
          <w:r>
            <w:fldChar w:fldCharType="begin"/>
          </w:r>
          <w:r>
            <w:instrText xml:space="preserve"> HYPERLINK \l _Toc31356 </w:instrText>
          </w:r>
          <w:r>
            <w:fldChar w:fldCharType="separate"/>
          </w:r>
          <w:r>
            <w:rPr>
              <w:rFonts w:hint="eastAsia" w:ascii="黑体" w:hAnsi="黑体" w:eastAsia="黑体" w:cs="黑体"/>
              <w:bCs w:val="0"/>
            </w:rPr>
            <w:t xml:space="preserve">六、 </w:t>
          </w:r>
          <w:r>
            <w:rPr>
              <w:rFonts w:hint="eastAsia" w:ascii="黑体" w:hAnsi="黑体" w:eastAsia="黑体" w:cs="黑体"/>
              <w:bCs w:val="0"/>
              <w:lang w:val="en-US" w:eastAsia="zh-CN"/>
            </w:rPr>
            <w:t>一般公共预算财政拨款基本支出决算情况说明</w:t>
          </w:r>
          <w:r>
            <w:tab/>
          </w:r>
          <w:r>
            <w:fldChar w:fldCharType="begin"/>
          </w:r>
          <w:r>
            <w:instrText xml:space="preserve"> PAGEREF _Toc31356 \h </w:instrText>
          </w:r>
          <w:r>
            <w:fldChar w:fldCharType="separate"/>
          </w:r>
          <w:r>
            <w:t>11</w:t>
          </w:r>
          <w:r>
            <w:fldChar w:fldCharType="end"/>
          </w:r>
          <w:r>
            <w:fldChar w:fldCharType="end"/>
          </w:r>
        </w:p>
        <w:p w14:paraId="3B4B0D59">
          <w:pPr>
            <w:pStyle w:val="14"/>
            <w:tabs>
              <w:tab w:val="right" w:leader="dot" w:pos="8306"/>
              <w:tab w:val="clear" w:pos="8296"/>
            </w:tabs>
          </w:pPr>
          <w:r>
            <w:fldChar w:fldCharType="begin"/>
          </w:r>
          <w:r>
            <w:instrText xml:space="preserve"> HYPERLINK \l _Toc28495 </w:instrText>
          </w:r>
          <w:r>
            <w:fldChar w:fldCharType="separate"/>
          </w:r>
          <w:r>
            <w:rPr>
              <w:rFonts w:hint="eastAsia" w:ascii="黑体" w:hAnsi="黑体" w:eastAsia="黑体" w:cs="黑体"/>
              <w:bCs w:val="0"/>
            </w:rPr>
            <w:t>七、 财政拨款“三公”经费支出决算情况说明</w:t>
          </w:r>
          <w:r>
            <w:tab/>
          </w:r>
          <w:r>
            <w:fldChar w:fldCharType="begin"/>
          </w:r>
          <w:r>
            <w:instrText xml:space="preserve"> PAGEREF _Toc28495 \h </w:instrText>
          </w:r>
          <w:r>
            <w:fldChar w:fldCharType="separate"/>
          </w:r>
          <w:r>
            <w:t>12</w:t>
          </w:r>
          <w:r>
            <w:fldChar w:fldCharType="end"/>
          </w:r>
          <w:r>
            <w:fldChar w:fldCharType="end"/>
          </w:r>
        </w:p>
        <w:p w14:paraId="568565F5">
          <w:pPr>
            <w:pStyle w:val="14"/>
            <w:tabs>
              <w:tab w:val="right" w:leader="dot" w:pos="8306"/>
              <w:tab w:val="clear" w:pos="8296"/>
            </w:tabs>
          </w:pPr>
          <w:r>
            <w:fldChar w:fldCharType="begin"/>
          </w:r>
          <w:r>
            <w:instrText xml:space="preserve"> HYPERLINK \l _Toc128 </w:instrText>
          </w:r>
          <w:r>
            <w:fldChar w:fldCharType="separate"/>
          </w:r>
          <w:r>
            <w:rPr>
              <w:rFonts w:hint="eastAsia" w:ascii="黑体" w:hAnsi="黑体" w:eastAsia="黑体" w:cs="黑体"/>
              <w:bCs w:val="0"/>
            </w:rPr>
            <w:t>八、 政府性基金预算支出决算情况说明</w:t>
          </w:r>
          <w:r>
            <w:tab/>
          </w:r>
          <w:r>
            <w:fldChar w:fldCharType="begin"/>
          </w:r>
          <w:r>
            <w:instrText xml:space="preserve"> PAGEREF _Toc128 \h </w:instrText>
          </w:r>
          <w:r>
            <w:fldChar w:fldCharType="separate"/>
          </w:r>
          <w:r>
            <w:t>14</w:t>
          </w:r>
          <w:r>
            <w:fldChar w:fldCharType="end"/>
          </w:r>
          <w:r>
            <w:fldChar w:fldCharType="end"/>
          </w:r>
        </w:p>
        <w:p w14:paraId="2EF97AA1">
          <w:pPr>
            <w:pStyle w:val="14"/>
            <w:tabs>
              <w:tab w:val="right" w:leader="dot" w:pos="8306"/>
              <w:tab w:val="clear" w:pos="8296"/>
            </w:tabs>
          </w:pPr>
          <w:r>
            <w:fldChar w:fldCharType="begin"/>
          </w:r>
          <w:r>
            <w:instrText xml:space="preserve"> HYPERLINK \l _Toc31075 </w:instrText>
          </w:r>
          <w:r>
            <w:fldChar w:fldCharType="separate"/>
          </w:r>
          <w:r>
            <w:rPr>
              <w:rFonts w:hint="eastAsia" w:ascii="黑体" w:hAnsi="黑体" w:eastAsia="黑体" w:cs="黑体"/>
              <w:bCs w:val="0"/>
            </w:rPr>
            <w:t>九、 国有资本经营预算支出决算情况说明</w:t>
          </w:r>
          <w:r>
            <w:tab/>
          </w:r>
          <w:r>
            <w:fldChar w:fldCharType="begin"/>
          </w:r>
          <w:r>
            <w:instrText xml:space="preserve"> PAGEREF _Toc31075 \h </w:instrText>
          </w:r>
          <w:r>
            <w:fldChar w:fldCharType="separate"/>
          </w:r>
          <w:r>
            <w:t>14</w:t>
          </w:r>
          <w:r>
            <w:fldChar w:fldCharType="end"/>
          </w:r>
          <w:r>
            <w:fldChar w:fldCharType="end"/>
          </w:r>
        </w:p>
        <w:p w14:paraId="4F9FDF1C">
          <w:pPr>
            <w:pStyle w:val="14"/>
            <w:tabs>
              <w:tab w:val="right" w:leader="dot" w:pos="8306"/>
              <w:tab w:val="clear" w:pos="8296"/>
            </w:tabs>
          </w:pPr>
          <w:r>
            <w:fldChar w:fldCharType="begin"/>
          </w:r>
          <w:r>
            <w:instrText xml:space="preserve"> HYPERLINK \l _Toc22275 </w:instrText>
          </w:r>
          <w:r>
            <w:fldChar w:fldCharType="separate"/>
          </w:r>
          <w:r>
            <w:rPr>
              <w:rFonts w:hint="eastAsia" w:ascii="黑体" w:hAnsi="黑体" w:eastAsia="黑体" w:cs="黑体"/>
              <w:bCs w:val="0"/>
            </w:rPr>
            <w:t>十、 其他重要事项的情况说明</w:t>
          </w:r>
          <w:r>
            <w:tab/>
          </w:r>
          <w:r>
            <w:fldChar w:fldCharType="begin"/>
          </w:r>
          <w:r>
            <w:instrText xml:space="preserve"> PAGEREF _Toc22275 \h </w:instrText>
          </w:r>
          <w:r>
            <w:fldChar w:fldCharType="separate"/>
          </w:r>
          <w:r>
            <w:t>14</w:t>
          </w:r>
          <w:r>
            <w:fldChar w:fldCharType="end"/>
          </w:r>
          <w:r>
            <w:fldChar w:fldCharType="end"/>
          </w:r>
        </w:p>
        <w:p w14:paraId="251F4144">
          <w:pPr>
            <w:pStyle w:val="12"/>
            <w:tabs>
              <w:tab w:val="right" w:leader="dot" w:pos="8306"/>
              <w:tab w:val="clear" w:pos="8296"/>
            </w:tabs>
          </w:pPr>
          <w:r>
            <w:fldChar w:fldCharType="begin"/>
          </w:r>
          <w:r>
            <w:instrText xml:space="preserve"> HYPERLINK \l _Toc15417 </w:instrText>
          </w:r>
          <w:r>
            <w:fldChar w:fldCharType="separate"/>
          </w:r>
          <w:r>
            <w:rPr>
              <w:rFonts w:hint="eastAsia" w:ascii="方正小标宋简体" w:hAnsi="方正小标宋简体" w:eastAsia="方正小标宋简体" w:cs="方正小标宋简体"/>
              <w:bCs w:val="0"/>
            </w:rPr>
            <w:t>第三部分  名词解释</w:t>
          </w:r>
          <w:r>
            <w:tab/>
          </w:r>
          <w:r>
            <w:fldChar w:fldCharType="begin"/>
          </w:r>
          <w:r>
            <w:instrText xml:space="preserve"> PAGEREF _Toc15417 \h </w:instrText>
          </w:r>
          <w:r>
            <w:fldChar w:fldCharType="separate"/>
          </w:r>
          <w:r>
            <w:t>16</w:t>
          </w:r>
          <w:r>
            <w:fldChar w:fldCharType="end"/>
          </w:r>
          <w:r>
            <w:fldChar w:fldCharType="end"/>
          </w:r>
        </w:p>
        <w:p w14:paraId="2DF5CFCE">
          <w:pPr>
            <w:pStyle w:val="12"/>
            <w:tabs>
              <w:tab w:val="right" w:leader="dot" w:pos="8306"/>
              <w:tab w:val="clear" w:pos="8296"/>
            </w:tabs>
          </w:pPr>
          <w:r>
            <w:fldChar w:fldCharType="begin"/>
          </w:r>
          <w:r>
            <w:instrText xml:space="preserve"> HYPERLINK \l _Toc19847 </w:instrText>
          </w:r>
          <w:r>
            <w:fldChar w:fldCharType="separate"/>
          </w:r>
          <w:r>
            <w:rPr>
              <w:rFonts w:hint="eastAsia" w:ascii="方正小标宋简体" w:hAnsi="方正小标宋简体" w:eastAsia="方正小标宋简体" w:cs="方正小标宋简体"/>
              <w:bCs w:val="0"/>
              <w:kern w:val="44"/>
              <w:szCs w:val="44"/>
              <w:lang w:val="en-US" w:eastAsia="zh-CN" w:bidi="ar-SA"/>
            </w:rPr>
            <w:t>第四部分  附件</w:t>
          </w:r>
          <w:r>
            <w:tab/>
          </w:r>
          <w:r>
            <w:fldChar w:fldCharType="begin"/>
          </w:r>
          <w:r>
            <w:instrText xml:space="preserve"> PAGEREF _Toc19847 \h </w:instrText>
          </w:r>
          <w:r>
            <w:fldChar w:fldCharType="separate"/>
          </w:r>
          <w:r>
            <w:t>20</w:t>
          </w:r>
          <w:r>
            <w:fldChar w:fldCharType="end"/>
          </w:r>
          <w:r>
            <w:fldChar w:fldCharType="end"/>
          </w:r>
        </w:p>
        <w:p w14:paraId="158297C8">
          <w:pPr>
            <w:pStyle w:val="12"/>
            <w:tabs>
              <w:tab w:val="right" w:leader="dot" w:pos="8306"/>
              <w:tab w:val="clear" w:pos="8296"/>
            </w:tabs>
          </w:pPr>
          <w:r>
            <w:fldChar w:fldCharType="begin"/>
          </w:r>
          <w:r>
            <w:instrText xml:space="preserve"> HYPERLINK \l _Toc25916 </w:instrText>
          </w:r>
          <w:r>
            <w:fldChar w:fldCharType="separate"/>
          </w:r>
          <w:r>
            <w:rPr>
              <w:rFonts w:hint="eastAsia" w:ascii="方正小标宋简体" w:hAnsi="方正小标宋简体" w:eastAsia="方正小标宋简体" w:cs="方正小标宋简体"/>
              <w:bCs w:val="0"/>
            </w:rPr>
            <w:t>第五部分 附表</w:t>
          </w:r>
          <w:r>
            <w:tab/>
          </w:r>
          <w:r>
            <w:fldChar w:fldCharType="begin"/>
          </w:r>
          <w:r>
            <w:instrText xml:space="preserve"> PAGEREF _Toc25916 \h </w:instrText>
          </w:r>
          <w:r>
            <w:fldChar w:fldCharType="separate"/>
          </w:r>
          <w:r>
            <w:t>21</w:t>
          </w:r>
          <w:r>
            <w:fldChar w:fldCharType="end"/>
          </w:r>
          <w:r>
            <w:fldChar w:fldCharType="end"/>
          </w:r>
        </w:p>
        <w:p w14:paraId="79CECDA9">
          <w:pPr>
            <w:pStyle w:val="14"/>
            <w:tabs>
              <w:tab w:val="right" w:leader="dot" w:pos="8306"/>
              <w:tab w:val="clear" w:pos="8296"/>
            </w:tabs>
          </w:pPr>
          <w:r>
            <w:fldChar w:fldCharType="begin"/>
          </w:r>
          <w:r>
            <w:instrText xml:space="preserve"> HYPERLINK \l _Toc20469 </w:instrText>
          </w:r>
          <w:r>
            <w:fldChar w:fldCharType="separate"/>
          </w:r>
          <w:r>
            <w:rPr>
              <w:rFonts w:hint="eastAsia" w:ascii="黑体" w:hAnsi="黑体" w:eastAsia="黑体" w:cs="黑体"/>
              <w:bCs w:val="0"/>
            </w:rPr>
            <w:t>一、 收入支出决算总表</w:t>
          </w:r>
          <w:r>
            <w:tab/>
          </w:r>
          <w:r>
            <w:fldChar w:fldCharType="begin"/>
          </w:r>
          <w:r>
            <w:instrText xml:space="preserve"> PAGEREF _Toc20469 \h </w:instrText>
          </w:r>
          <w:r>
            <w:fldChar w:fldCharType="separate"/>
          </w:r>
          <w:r>
            <w:t>21</w:t>
          </w:r>
          <w:r>
            <w:fldChar w:fldCharType="end"/>
          </w:r>
          <w:r>
            <w:fldChar w:fldCharType="end"/>
          </w:r>
        </w:p>
        <w:p w14:paraId="3197FFBF">
          <w:pPr>
            <w:pStyle w:val="14"/>
            <w:tabs>
              <w:tab w:val="right" w:leader="dot" w:pos="8306"/>
              <w:tab w:val="clear" w:pos="8296"/>
            </w:tabs>
          </w:pPr>
          <w:r>
            <w:fldChar w:fldCharType="begin"/>
          </w:r>
          <w:r>
            <w:instrText xml:space="preserve"> HYPERLINK \l _Toc31793 </w:instrText>
          </w:r>
          <w:r>
            <w:fldChar w:fldCharType="separate"/>
          </w:r>
          <w:r>
            <w:rPr>
              <w:rFonts w:hint="eastAsia" w:ascii="黑体" w:hAnsi="黑体" w:eastAsia="黑体" w:cs="黑体"/>
              <w:bCs w:val="0"/>
            </w:rPr>
            <w:t>二、 收入决算表</w:t>
          </w:r>
          <w:r>
            <w:tab/>
          </w:r>
          <w:r>
            <w:fldChar w:fldCharType="begin"/>
          </w:r>
          <w:r>
            <w:instrText xml:space="preserve"> PAGEREF _Toc31793 \h </w:instrText>
          </w:r>
          <w:r>
            <w:fldChar w:fldCharType="separate"/>
          </w:r>
          <w:r>
            <w:t>21</w:t>
          </w:r>
          <w:r>
            <w:fldChar w:fldCharType="end"/>
          </w:r>
          <w:r>
            <w:fldChar w:fldCharType="end"/>
          </w:r>
        </w:p>
        <w:p w14:paraId="3D28B59B">
          <w:pPr>
            <w:pStyle w:val="14"/>
            <w:tabs>
              <w:tab w:val="right" w:leader="dot" w:pos="8306"/>
              <w:tab w:val="clear" w:pos="8296"/>
            </w:tabs>
          </w:pPr>
          <w:r>
            <w:fldChar w:fldCharType="begin"/>
          </w:r>
          <w:r>
            <w:instrText xml:space="preserve"> HYPERLINK \l _Toc27762 </w:instrText>
          </w:r>
          <w:r>
            <w:fldChar w:fldCharType="separate"/>
          </w:r>
          <w:r>
            <w:rPr>
              <w:rFonts w:hint="eastAsia" w:ascii="黑体" w:hAnsi="黑体" w:eastAsia="黑体" w:cs="黑体"/>
              <w:bCs w:val="0"/>
            </w:rPr>
            <w:t>三、 支出决算表</w:t>
          </w:r>
          <w:r>
            <w:tab/>
          </w:r>
          <w:r>
            <w:fldChar w:fldCharType="begin"/>
          </w:r>
          <w:r>
            <w:instrText xml:space="preserve"> PAGEREF _Toc27762 \h </w:instrText>
          </w:r>
          <w:r>
            <w:fldChar w:fldCharType="separate"/>
          </w:r>
          <w:r>
            <w:t>21</w:t>
          </w:r>
          <w:r>
            <w:fldChar w:fldCharType="end"/>
          </w:r>
          <w:r>
            <w:fldChar w:fldCharType="end"/>
          </w:r>
        </w:p>
        <w:p w14:paraId="6ECEFC02">
          <w:pPr>
            <w:pStyle w:val="14"/>
            <w:tabs>
              <w:tab w:val="right" w:leader="dot" w:pos="8306"/>
              <w:tab w:val="clear" w:pos="8296"/>
            </w:tabs>
          </w:pPr>
          <w:r>
            <w:fldChar w:fldCharType="begin"/>
          </w:r>
          <w:r>
            <w:instrText xml:space="preserve"> HYPERLINK \l _Toc20030 </w:instrText>
          </w:r>
          <w:r>
            <w:fldChar w:fldCharType="separate"/>
          </w:r>
          <w:r>
            <w:rPr>
              <w:rFonts w:hint="eastAsia" w:ascii="黑体" w:hAnsi="黑体" w:eastAsia="黑体" w:cs="黑体"/>
              <w:bCs w:val="0"/>
            </w:rPr>
            <w:t>四、 财政拨款收入支出决算总表</w:t>
          </w:r>
          <w:r>
            <w:tab/>
          </w:r>
          <w:r>
            <w:fldChar w:fldCharType="begin"/>
          </w:r>
          <w:r>
            <w:instrText xml:space="preserve"> PAGEREF _Toc20030 \h </w:instrText>
          </w:r>
          <w:r>
            <w:fldChar w:fldCharType="separate"/>
          </w:r>
          <w:r>
            <w:t>21</w:t>
          </w:r>
          <w:r>
            <w:fldChar w:fldCharType="end"/>
          </w:r>
          <w:r>
            <w:fldChar w:fldCharType="end"/>
          </w:r>
        </w:p>
        <w:p w14:paraId="7C1E190C">
          <w:pPr>
            <w:pStyle w:val="14"/>
            <w:tabs>
              <w:tab w:val="right" w:leader="dot" w:pos="8306"/>
              <w:tab w:val="clear" w:pos="8296"/>
            </w:tabs>
          </w:pPr>
          <w:r>
            <w:fldChar w:fldCharType="begin"/>
          </w:r>
          <w:r>
            <w:instrText xml:space="preserve"> HYPERLINK \l _Toc7389 </w:instrText>
          </w:r>
          <w:r>
            <w:fldChar w:fldCharType="separate"/>
          </w:r>
          <w:r>
            <w:rPr>
              <w:rFonts w:hint="eastAsia" w:ascii="黑体" w:hAnsi="黑体" w:eastAsia="黑体" w:cs="黑体"/>
              <w:bCs w:val="0"/>
            </w:rPr>
            <w:t>五、 财政拨款支出决算明细表</w:t>
          </w:r>
          <w:r>
            <w:tab/>
          </w:r>
          <w:r>
            <w:fldChar w:fldCharType="begin"/>
          </w:r>
          <w:r>
            <w:instrText xml:space="preserve"> PAGEREF _Toc7389 \h </w:instrText>
          </w:r>
          <w:r>
            <w:fldChar w:fldCharType="separate"/>
          </w:r>
          <w:r>
            <w:t>21</w:t>
          </w:r>
          <w:r>
            <w:fldChar w:fldCharType="end"/>
          </w:r>
          <w:r>
            <w:fldChar w:fldCharType="end"/>
          </w:r>
        </w:p>
        <w:p w14:paraId="26162D65">
          <w:pPr>
            <w:pStyle w:val="14"/>
            <w:tabs>
              <w:tab w:val="right" w:leader="dot" w:pos="8306"/>
              <w:tab w:val="clear" w:pos="8296"/>
            </w:tabs>
          </w:pPr>
          <w:r>
            <w:fldChar w:fldCharType="begin"/>
          </w:r>
          <w:r>
            <w:instrText xml:space="preserve"> HYPERLINK \l _Toc29160 </w:instrText>
          </w:r>
          <w:r>
            <w:fldChar w:fldCharType="separate"/>
          </w:r>
          <w:r>
            <w:rPr>
              <w:rFonts w:hint="eastAsia" w:ascii="黑体" w:hAnsi="黑体" w:eastAsia="黑体" w:cs="黑体"/>
              <w:bCs w:val="0"/>
            </w:rPr>
            <w:t>六、 一般公共预算财政拨款支出决算表</w:t>
          </w:r>
          <w:r>
            <w:tab/>
          </w:r>
          <w:r>
            <w:fldChar w:fldCharType="begin"/>
          </w:r>
          <w:r>
            <w:instrText xml:space="preserve"> PAGEREF _Toc29160 \h </w:instrText>
          </w:r>
          <w:r>
            <w:fldChar w:fldCharType="separate"/>
          </w:r>
          <w:r>
            <w:t>21</w:t>
          </w:r>
          <w:r>
            <w:fldChar w:fldCharType="end"/>
          </w:r>
          <w:r>
            <w:fldChar w:fldCharType="end"/>
          </w:r>
        </w:p>
        <w:p w14:paraId="26862323">
          <w:pPr>
            <w:pStyle w:val="14"/>
            <w:tabs>
              <w:tab w:val="right" w:leader="dot" w:pos="8306"/>
              <w:tab w:val="clear" w:pos="8296"/>
            </w:tabs>
          </w:pPr>
          <w:r>
            <w:fldChar w:fldCharType="begin"/>
          </w:r>
          <w:r>
            <w:instrText xml:space="preserve"> HYPERLINK \l _Toc6462 </w:instrText>
          </w:r>
          <w:r>
            <w:fldChar w:fldCharType="separate"/>
          </w:r>
          <w:r>
            <w:rPr>
              <w:rFonts w:hint="eastAsia" w:ascii="黑体" w:hAnsi="黑体" w:eastAsia="黑体" w:cs="黑体"/>
              <w:bCs w:val="0"/>
            </w:rPr>
            <w:t>七、 一般公共预算财政拨款支出决算明细表</w:t>
          </w:r>
          <w:r>
            <w:tab/>
          </w:r>
          <w:r>
            <w:fldChar w:fldCharType="begin"/>
          </w:r>
          <w:r>
            <w:instrText xml:space="preserve"> PAGEREF _Toc6462 \h </w:instrText>
          </w:r>
          <w:r>
            <w:fldChar w:fldCharType="separate"/>
          </w:r>
          <w:r>
            <w:t>21</w:t>
          </w:r>
          <w:r>
            <w:fldChar w:fldCharType="end"/>
          </w:r>
          <w:r>
            <w:fldChar w:fldCharType="end"/>
          </w:r>
        </w:p>
        <w:p w14:paraId="622B5882">
          <w:pPr>
            <w:pStyle w:val="14"/>
            <w:tabs>
              <w:tab w:val="right" w:leader="dot" w:pos="8306"/>
              <w:tab w:val="clear" w:pos="8296"/>
            </w:tabs>
          </w:pPr>
          <w:r>
            <w:fldChar w:fldCharType="begin"/>
          </w:r>
          <w:r>
            <w:instrText xml:space="preserve"> HYPERLINK \l _Toc13387 </w:instrText>
          </w:r>
          <w:r>
            <w:fldChar w:fldCharType="separate"/>
          </w:r>
          <w:r>
            <w:rPr>
              <w:rFonts w:hint="eastAsia" w:ascii="黑体" w:hAnsi="黑体" w:eastAsia="黑体" w:cs="黑体"/>
              <w:bCs w:val="0"/>
            </w:rPr>
            <w:t>八、 一般公共预算财政拨款基本支出决算表</w:t>
          </w:r>
          <w:r>
            <w:tab/>
          </w:r>
          <w:r>
            <w:fldChar w:fldCharType="begin"/>
          </w:r>
          <w:r>
            <w:instrText xml:space="preserve"> PAGEREF _Toc13387 \h </w:instrText>
          </w:r>
          <w:r>
            <w:fldChar w:fldCharType="separate"/>
          </w:r>
          <w:r>
            <w:t>21</w:t>
          </w:r>
          <w:r>
            <w:fldChar w:fldCharType="end"/>
          </w:r>
          <w:r>
            <w:fldChar w:fldCharType="end"/>
          </w:r>
        </w:p>
        <w:p w14:paraId="5C3063F9">
          <w:pPr>
            <w:pStyle w:val="14"/>
            <w:tabs>
              <w:tab w:val="right" w:leader="dot" w:pos="8306"/>
              <w:tab w:val="clear" w:pos="8296"/>
            </w:tabs>
          </w:pPr>
          <w:r>
            <w:fldChar w:fldCharType="begin"/>
          </w:r>
          <w:r>
            <w:instrText xml:space="preserve"> HYPERLINK \l _Toc25260 </w:instrText>
          </w:r>
          <w:r>
            <w:fldChar w:fldCharType="separate"/>
          </w:r>
          <w:r>
            <w:rPr>
              <w:rFonts w:hint="eastAsia" w:ascii="黑体" w:hAnsi="黑体" w:eastAsia="黑体" w:cs="黑体"/>
              <w:bCs w:val="0"/>
            </w:rPr>
            <w:t>九、 一般公共预算财政拨款项目支出决算表</w:t>
          </w:r>
          <w:r>
            <w:tab/>
          </w:r>
          <w:r>
            <w:fldChar w:fldCharType="begin"/>
          </w:r>
          <w:r>
            <w:instrText xml:space="preserve"> PAGEREF _Toc25260 \h </w:instrText>
          </w:r>
          <w:r>
            <w:fldChar w:fldCharType="separate"/>
          </w:r>
          <w:r>
            <w:t>21</w:t>
          </w:r>
          <w:r>
            <w:fldChar w:fldCharType="end"/>
          </w:r>
          <w:r>
            <w:fldChar w:fldCharType="end"/>
          </w:r>
        </w:p>
        <w:p w14:paraId="5A8781EF">
          <w:pPr>
            <w:pStyle w:val="14"/>
            <w:tabs>
              <w:tab w:val="right" w:leader="dot" w:pos="8306"/>
              <w:tab w:val="clear" w:pos="8296"/>
            </w:tabs>
          </w:pPr>
          <w:r>
            <w:fldChar w:fldCharType="begin"/>
          </w:r>
          <w:r>
            <w:instrText xml:space="preserve"> HYPERLINK \l _Toc222 </w:instrText>
          </w:r>
          <w:r>
            <w:fldChar w:fldCharType="separate"/>
          </w:r>
          <w:r>
            <w:rPr>
              <w:rFonts w:hint="eastAsia" w:ascii="黑体" w:hAnsi="黑体" w:eastAsia="黑体" w:cs="黑体"/>
              <w:bCs w:val="0"/>
            </w:rPr>
            <w:t>十、 政府性基金预算财政拨款收入支出决算表</w:t>
          </w:r>
          <w:r>
            <w:tab/>
          </w:r>
          <w:r>
            <w:fldChar w:fldCharType="begin"/>
          </w:r>
          <w:r>
            <w:instrText xml:space="preserve"> PAGEREF _Toc222 \h </w:instrText>
          </w:r>
          <w:r>
            <w:fldChar w:fldCharType="separate"/>
          </w:r>
          <w:r>
            <w:t>21</w:t>
          </w:r>
          <w:r>
            <w:fldChar w:fldCharType="end"/>
          </w:r>
          <w:r>
            <w:fldChar w:fldCharType="end"/>
          </w:r>
        </w:p>
        <w:p w14:paraId="67857918">
          <w:pPr>
            <w:pStyle w:val="14"/>
            <w:tabs>
              <w:tab w:val="right" w:leader="dot" w:pos="8306"/>
              <w:tab w:val="clear" w:pos="8296"/>
            </w:tabs>
          </w:pPr>
          <w:r>
            <w:fldChar w:fldCharType="begin"/>
          </w:r>
          <w:r>
            <w:instrText xml:space="preserve"> HYPERLINK \l _Toc29307 </w:instrText>
          </w:r>
          <w:r>
            <w:fldChar w:fldCharType="separate"/>
          </w:r>
          <w:r>
            <w:rPr>
              <w:rFonts w:hint="eastAsia" w:ascii="黑体" w:hAnsi="黑体" w:eastAsia="黑体" w:cs="黑体"/>
              <w:bCs w:val="0"/>
            </w:rPr>
            <w:t>十一、 国有资本经营预算财政拨款收入支出决算表</w:t>
          </w:r>
          <w:r>
            <w:tab/>
          </w:r>
          <w:r>
            <w:fldChar w:fldCharType="begin"/>
          </w:r>
          <w:r>
            <w:instrText xml:space="preserve"> PAGEREF _Toc29307 \h </w:instrText>
          </w:r>
          <w:r>
            <w:fldChar w:fldCharType="separate"/>
          </w:r>
          <w:r>
            <w:t>21</w:t>
          </w:r>
          <w:r>
            <w:fldChar w:fldCharType="end"/>
          </w:r>
          <w:r>
            <w:fldChar w:fldCharType="end"/>
          </w:r>
        </w:p>
        <w:p w14:paraId="5A885F73">
          <w:pPr>
            <w:pStyle w:val="14"/>
            <w:tabs>
              <w:tab w:val="right" w:leader="dot" w:pos="8306"/>
              <w:tab w:val="clear" w:pos="8296"/>
            </w:tabs>
          </w:pPr>
          <w:r>
            <w:fldChar w:fldCharType="begin"/>
          </w:r>
          <w:r>
            <w:instrText xml:space="preserve"> HYPERLINK \l _Toc8313 </w:instrText>
          </w:r>
          <w:r>
            <w:fldChar w:fldCharType="separate"/>
          </w:r>
          <w:r>
            <w:rPr>
              <w:rFonts w:hint="eastAsia" w:ascii="黑体" w:hAnsi="黑体" w:eastAsia="黑体" w:cs="黑体"/>
              <w:bCs w:val="0"/>
            </w:rPr>
            <w:t>十二、 国有资本经营预算财政拨款支出决算表</w:t>
          </w:r>
          <w:r>
            <w:tab/>
          </w:r>
          <w:r>
            <w:fldChar w:fldCharType="begin"/>
          </w:r>
          <w:r>
            <w:instrText xml:space="preserve"> PAGEREF _Toc8313 \h </w:instrText>
          </w:r>
          <w:r>
            <w:fldChar w:fldCharType="separate"/>
          </w:r>
          <w:r>
            <w:t>21</w:t>
          </w:r>
          <w:r>
            <w:fldChar w:fldCharType="end"/>
          </w:r>
          <w:r>
            <w:fldChar w:fldCharType="end"/>
          </w:r>
        </w:p>
        <w:p w14:paraId="1E407029">
          <w:pPr>
            <w:pStyle w:val="14"/>
            <w:tabs>
              <w:tab w:val="right" w:leader="dot" w:pos="8306"/>
              <w:tab w:val="clear" w:pos="8296"/>
            </w:tabs>
          </w:pPr>
          <w:r>
            <w:fldChar w:fldCharType="begin"/>
          </w:r>
          <w:r>
            <w:instrText xml:space="preserve"> HYPERLINK \l _Toc6059 </w:instrText>
          </w:r>
          <w:r>
            <w:fldChar w:fldCharType="separate"/>
          </w:r>
          <w:r>
            <w:rPr>
              <w:rFonts w:hint="eastAsia" w:ascii="黑体" w:hAnsi="黑体" w:eastAsia="黑体" w:cs="黑体"/>
              <w:bCs w:val="0"/>
            </w:rPr>
            <w:t>十三、 财政拨款“三公”经费支出决算表</w:t>
          </w:r>
          <w:r>
            <w:tab/>
          </w:r>
          <w:r>
            <w:fldChar w:fldCharType="begin"/>
          </w:r>
          <w:r>
            <w:instrText xml:space="preserve"> PAGEREF _Toc6059 \h </w:instrText>
          </w:r>
          <w:r>
            <w:fldChar w:fldCharType="separate"/>
          </w:r>
          <w:r>
            <w:t>21</w:t>
          </w:r>
          <w:r>
            <w:fldChar w:fldCharType="end"/>
          </w:r>
          <w:r>
            <w:fldChar w:fldCharType="end"/>
          </w:r>
        </w:p>
        <w:p w14:paraId="3BC57A81">
          <w:r>
            <w:fldChar w:fldCharType="end"/>
          </w:r>
        </w:p>
      </w:sdtContent>
    </w:sdt>
    <w:p w14:paraId="54EE462E">
      <w:pPr>
        <w:rPr>
          <w:rFonts w:eastAsia="仿宋_GB2312" w:cs="仿宋_GB2312"/>
          <w:bCs/>
          <w:kern w:val="44"/>
          <w:sz w:val="32"/>
          <w:szCs w:val="32"/>
        </w:rPr>
      </w:pPr>
      <w:r>
        <w:rPr>
          <w:rFonts w:hint="eastAsia" w:eastAsia="仿宋_GB2312" w:cs="仿宋_GB2312"/>
          <w:b/>
          <w:sz w:val="32"/>
          <w:szCs w:val="32"/>
        </w:rPr>
        <w:br w:type="page"/>
      </w:r>
    </w:p>
    <w:p w14:paraId="1D350241">
      <w:pPr>
        <w:pStyle w:val="3"/>
        <w:bidi w:val="0"/>
        <w:jc w:val="center"/>
        <w:rPr>
          <w:rFonts w:hint="eastAsia" w:ascii="方正小标宋简体" w:hAnsi="方正小标宋简体" w:eastAsia="方正小标宋简体" w:cs="方正小标宋简体"/>
          <w:b w:val="0"/>
          <w:bCs w:val="0"/>
        </w:rPr>
      </w:pPr>
      <w:bookmarkStart w:id="14" w:name="_Toc9410"/>
      <w:r>
        <w:rPr>
          <w:rFonts w:hint="eastAsia" w:ascii="方正小标宋简体" w:hAnsi="方正小标宋简体" w:eastAsia="方正小标宋简体" w:cs="方正小标宋简体"/>
          <w:b w:val="0"/>
          <w:bCs w:val="0"/>
        </w:rPr>
        <w:t xml:space="preserve">第一部分  </w:t>
      </w:r>
      <w:r>
        <w:rPr>
          <w:rFonts w:hint="eastAsia" w:ascii="方正小标宋简体" w:hAnsi="方正小标宋简体" w:eastAsia="方正小标宋简体" w:cs="方正小标宋简体"/>
          <w:b w:val="0"/>
          <w:bCs w:val="0"/>
          <w:lang w:eastAsia="zh-CN"/>
        </w:rPr>
        <w:t>单位</w:t>
      </w:r>
      <w:r>
        <w:rPr>
          <w:rFonts w:hint="eastAsia" w:ascii="方正小标宋简体" w:hAnsi="方正小标宋简体" w:eastAsia="方正小标宋简体" w:cs="方正小标宋简体"/>
          <w:b w:val="0"/>
          <w:bCs w:val="0"/>
        </w:rPr>
        <w:t>概况</w:t>
      </w:r>
      <w:bookmarkEnd w:id="12"/>
      <w:bookmarkEnd w:id="13"/>
      <w:bookmarkEnd w:id="14"/>
    </w:p>
    <w:p w14:paraId="765BA221">
      <w:pPr>
        <w:widowControl/>
        <w:jc w:val="left"/>
        <w:rPr>
          <w:rFonts w:eastAsia="黑体"/>
          <w:sz w:val="32"/>
          <w:szCs w:val="32"/>
        </w:rPr>
      </w:pPr>
    </w:p>
    <w:p w14:paraId="4C905794">
      <w:pPr>
        <w:pStyle w:val="4"/>
        <w:keepNext/>
        <w:keepLines/>
        <w:pageBreakBefore w:val="0"/>
        <w:widowControl w:val="0"/>
        <w:numPr>
          <w:ilvl w:val="0"/>
          <w:numId w:val="1"/>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15" w:name="_Toc2450"/>
      <w:r>
        <w:rPr>
          <w:rFonts w:hint="eastAsia" w:ascii="黑体" w:hAnsi="黑体" w:eastAsia="黑体" w:cs="黑体"/>
          <w:b w:val="0"/>
          <w:bCs w:val="0"/>
          <w:lang w:eastAsia="zh-CN"/>
        </w:rPr>
        <w:t>单位</w:t>
      </w:r>
      <w:r>
        <w:rPr>
          <w:rFonts w:hint="eastAsia" w:ascii="黑体" w:hAnsi="黑体" w:eastAsia="黑体" w:cs="黑体"/>
          <w:b w:val="0"/>
          <w:bCs w:val="0"/>
        </w:rPr>
        <w:t>职责</w:t>
      </w:r>
      <w:bookmarkEnd w:id="15"/>
    </w:p>
    <w:p w14:paraId="1E8D0B32">
      <w:pPr>
        <w:numPr>
          <w:ilvl w:val="0"/>
          <w:numId w:val="2"/>
        </w:numPr>
        <w:ind w:firstLine="803" w:firstLineChars="25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t>攀枝花市公路事业发展中心：为市交通运输局提供行政辅助和技术支持的职能：</w:t>
      </w:r>
      <w:r>
        <w:rPr>
          <w:rFonts w:hint="eastAsia" w:ascii="仿宋_GB2312" w:hAnsi="仿宋_GB2312" w:eastAsia="仿宋_GB2312" w:cs="仿宋_GB2312"/>
          <w:color w:val="auto"/>
          <w:sz w:val="32"/>
          <w:szCs w:val="32"/>
          <w:highlight w:val="none"/>
          <w:lang w:eastAsia="zh-CN"/>
        </w:rPr>
        <w:t>贯彻执行国家有关公路的法律、法规、规章和方针政策、技术规范、养护标准；参与拟定全市普通公路发展政策、规章和标准并协助实施；参与编制全市普通公路发展规划、计划；承担全市公路规划、建设、养护和管理等行政辅助工作。承担普通国省干线公路设计类、竣工类，公路养护工程项目、桥隧大修（改建）项目的设计类，农村公路设计类，公路设施服务及涉路施工等行政许可的行政辅助工作。承担普通公路建设和养护行业管理、基础设施管理和保护，公路行业节能减排及环保指导，全市普通国省道抢通保通，普通公路路况评估管理的行政辅助工作。承担全市普通公路行业安全生产监督管理和应急管理的行政辅助工作；参与有关普通公路事故的调查处理工作；参与普通公路战备保障协调工作。承担普通公路行业的科技技术指导、教育培训的技术支撑和新技术推广应用等工作。负责统筹交通运输信息化发展建设和技术支撑工作，负责交通运输信息化系统的运行、维护和管理，提供交通运行应急调度保障。完成市交通运输局交办的其他任务。</w:t>
      </w:r>
      <w:r>
        <w:rPr>
          <w:rFonts w:hint="eastAsia" w:ascii="仿宋_GB2312" w:hAnsi="仿宋_GB2312" w:eastAsia="仿宋_GB2312" w:cs="仿宋_GB2312"/>
          <w:b/>
          <w:bCs/>
          <w:color w:val="auto"/>
          <w:sz w:val="32"/>
          <w:szCs w:val="32"/>
          <w:highlight w:val="none"/>
          <w:lang w:eastAsia="zh-CN"/>
        </w:rPr>
        <w:t>面向社会提供公益服务的职能</w:t>
      </w:r>
      <w:r>
        <w:rPr>
          <w:rFonts w:hint="eastAsia" w:ascii="仿宋_GB2312" w:hAnsi="仿宋_GB2312" w:eastAsia="仿宋_GB2312" w:cs="仿宋_GB2312"/>
          <w:color w:val="auto"/>
          <w:sz w:val="32"/>
          <w:szCs w:val="32"/>
          <w:highlight w:val="none"/>
          <w:lang w:eastAsia="zh-CN"/>
        </w:rPr>
        <w:t>：承担普通公路路网的基础数据公共服务工作。承担普通公路网运行状况管理和信息服务工作。负责普通公路行业统计数据的发布工作。负责交通运输服务监督热线 12328 的管理、派单、督办和回访工作。承担普通公路路网的基础数据公共服务工作；承担普通公路行业信息化建设和普通公路网运行状况信息服务工作；负责普通公路行业统计数据的发布工作。</w:t>
      </w:r>
    </w:p>
    <w:p w14:paraId="3B1B0B22">
      <w:pPr>
        <w:numPr>
          <w:ilvl w:val="0"/>
          <w:numId w:val="2"/>
        </w:numPr>
        <w:ind w:firstLine="803" w:firstLineChars="25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市交通建设工程造价站：</w:t>
      </w:r>
      <w:r>
        <w:rPr>
          <w:rFonts w:hint="eastAsia" w:ascii="仿宋_GB2312" w:hAnsi="仿宋_GB2312" w:eastAsia="仿宋_GB2312" w:cs="仿宋_GB2312"/>
          <w:b w:val="0"/>
          <w:bCs w:val="0"/>
          <w:color w:val="auto"/>
          <w:sz w:val="32"/>
          <w:szCs w:val="32"/>
          <w:highlight w:val="none"/>
          <w:lang w:val="en-US" w:eastAsia="zh-CN"/>
        </w:rPr>
        <w:t>贯彻执行国家和省市有关交通工程造价管理的方针、政策和法规；完善我市交通建设造价管理实施细则；结合我市的实际情况，协助厅造价站完成交通建设工程劳动定额的测定和施工定额、养护定额的编制与修订；负责我市职责范围内的交通建设项目的投资估算、概算、预算、设计变更和竣工决算的造价审核工作，并参与市重点项目的交竣工验收工作；负责我市辖区内高速公路和市重点项目的造价监督检查；负责收集和整理我市交通建设工程的材料价格信息，并定期上报我市交通建设工程造价信息；协助厅交通建设造价管理站开展我市交通建设工程造价人员的培训、资格认证和考核工作。</w:t>
      </w:r>
    </w:p>
    <w:p w14:paraId="276E6F7D">
      <w:pPr>
        <w:numPr>
          <w:ilvl w:val="0"/>
          <w:numId w:val="0"/>
        </w:numPr>
      </w:pPr>
    </w:p>
    <w:p w14:paraId="5DE8E78A">
      <w:pPr>
        <w:pStyle w:val="4"/>
        <w:keepNext/>
        <w:keepLines/>
        <w:pageBreakBefore w:val="0"/>
        <w:widowControl w:val="0"/>
        <w:numPr>
          <w:ilvl w:val="0"/>
          <w:numId w:val="1"/>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16" w:name="_Toc15377200"/>
      <w:bookmarkStart w:id="17" w:name="_Toc15396601"/>
      <w:bookmarkStart w:id="18" w:name="_Toc24005"/>
      <w:r>
        <w:rPr>
          <w:rFonts w:hint="eastAsia" w:ascii="黑体" w:hAnsi="黑体" w:eastAsia="黑体" w:cs="黑体"/>
          <w:b w:val="0"/>
          <w:bCs w:val="0"/>
        </w:rPr>
        <w:t>机构设置</w:t>
      </w:r>
      <w:bookmarkEnd w:id="16"/>
      <w:bookmarkEnd w:id="17"/>
      <w:bookmarkEnd w:id="18"/>
    </w:p>
    <w:p w14:paraId="0050AD35">
      <w:pPr>
        <w:numPr>
          <w:ilvl w:val="0"/>
          <w:numId w:val="0"/>
        </w:numPr>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我中心属参照公务员法管理的事业单位，设有7个内设机构：综合科、发展计划科、工程技术科、路产养护科、安全法规科、运行调度科、信息服务科。市公路事业发展中心预算实际包含2个单位，其中参照公务员法管理的事业单位1个，其他事业单位1个。单位为：攀枝花市公路事业发展中心、攀枝花市交通建设工程造价站。</w:t>
      </w:r>
    </w:p>
    <w:p w14:paraId="58F571A9">
      <w:pPr>
        <w:widowControl/>
        <w:jc w:val="left"/>
        <w:rPr>
          <w:rFonts w:eastAsia="仿宋"/>
          <w:kern w:val="0"/>
          <w:sz w:val="32"/>
          <w:szCs w:val="32"/>
        </w:rPr>
      </w:pPr>
      <w:r>
        <w:rPr>
          <w:rFonts w:eastAsia="仿宋"/>
          <w:sz w:val="32"/>
          <w:szCs w:val="32"/>
        </w:rPr>
        <w:br w:type="page"/>
      </w:r>
    </w:p>
    <w:p w14:paraId="20F910CB">
      <w:pPr>
        <w:pStyle w:val="3"/>
        <w:bidi w:val="0"/>
        <w:jc w:val="center"/>
        <w:rPr>
          <w:rFonts w:hint="eastAsia" w:ascii="方正小标宋简体" w:hAnsi="方正小标宋简体" w:eastAsia="方正小标宋简体" w:cs="方正小标宋简体"/>
          <w:b w:val="0"/>
          <w:bCs w:val="0"/>
        </w:rPr>
      </w:pPr>
      <w:bookmarkStart w:id="19" w:name="_Toc15377204"/>
      <w:bookmarkStart w:id="20" w:name="_Toc15396602"/>
      <w:bookmarkStart w:id="21" w:name="_Toc14200"/>
      <w:r>
        <w:rPr>
          <w:rFonts w:hint="eastAsia" w:ascii="方正小标宋简体" w:hAnsi="方正小标宋简体" w:eastAsia="方正小标宋简体" w:cs="方正小标宋简体"/>
          <w:b w:val="0"/>
          <w:bCs w:val="0"/>
        </w:rPr>
        <w:t>第二部分  2025年度</w:t>
      </w:r>
      <w:r>
        <w:rPr>
          <w:rFonts w:hint="eastAsia" w:ascii="方正小标宋简体" w:hAnsi="方正小标宋简体" w:eastAsia="方正小标宋简体" w:cs="方正小标宋简体"/>
          <w:b w:val="0"/>
          <w:bCs w:val="0"/>
          <w:lang w:eastAsia="zh-CN"/>
        </w:rPr>
        <w:t>单位</w:t>
      </w:r>
      <w:r>
        <w:rPr>
          <w:rFonts w:hint="eastAsia" w:ascii="方正小标宋简体" w:hAnsi="方正小标宋简体" w:eastAsia="方正小标宋简体" w:cs="方正小标宋简体"/>
          <w:b w:val="0"/>
          <w:bCs w:val="0"/>
        </w:rPr>
        <w:t>决算情况说明</w:t>
      </w:r>
      <w:bookmarkEnd w:id="19"/>
      <w:bookmarkEnd w:id="20"/>
      <w:bookmarkEnd w:id="21"/>
    </w:p>
    <w:p w14:paraId="3C206C47"/>
    <w:p w14:paraId="17612802">
      <w:pPr>
        <w:pStyle w:val="4"/>
        <w:keepNext/>
        <w:keepLines/>
        <w:pageBreakBefore w:val="0"/>
        <w:widowControl w:val="0"/>
        <w:numPr>
          <w:ilvl w:val="0"/>
          <w:numId w:val="3"/>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22" w:name="_Toc19694"/>
      <w:bookmarkStart w:id="23" w:name="_Toc15377205"/>
      <w:bookmarkStart w:id="24" w:name="_Toc15396603"/>
      <w:r>
        <w:rPr>
          <w:rFonts w:hint="eastAsia" w:ascii="黑体" w:hAnsi="黑体" w:eastAsia="黑体" w:cs="黑体"/>
          <w:b w:val="0"/>
          <w:bCs w:val="0"/>
        </w:rPr>
        <w:t>收入支出决算总体情况说明</w:t>
      </w:r>
      <w:bookmarkEnd w:id="22"/>
      <w:bookmarkEnd w:id="23"/>
      <w:bookmarkEnd w:id="24"/>
    </w:p>
    <w:p w14:paraId="2916421F">
      <w:pPr>
        <w:numPr>
          <w:ilvl w:val="0"/>
          <w:numId w:val="0"/>
        </w:numPr>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2025年度收入、支出总计均为3043.2万元。与上年度相比，收入、支出总计各增加1610.37万元，增长112.4%。主要变动原因是项目支出增加，2025年新增公路灾害防治工程项目。</w:t>
      </w:r>
    </w:p>
    <w:p w14:paraId="6ACC7ABF">
      <w:pPr>
        <w:numPr>
          <w:ilvl w:val="0"/>
          <w:numId w:val="0"/>
        </w:numPr>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（图1：收入、支出决算总计变动情况图）</w:t>
      </w:r>
    </w:p>
    <w:p w14:paraId="20CAFFE1">
      <w:pPr>
        <w:ind w:firstLine="640" w:firstLineChars="200"/>
        <w:rPr>
          <w:rFonts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59264" behindDoc="1" locked="0" layoutInCell="1" allowOverlap="1">
            <wp:simplePos x="0" y="0"/>
            <wp:positionH relativeFrom="column">
              <wp:posOffset>639445</wp:posOffset>
            </wp:positionH>
            <wp:positionV relativeFrom="paragraph">
              <wp:posOffset>343535</wp:posOffset>
            </wp:positionV>
            <wp:extent cx="4122420" cy="2092960"/>
            <wp:effectExtent l="4445" t="5080" r="6985" b="16510"/>
            <wp:wrapTight wrapText="bothSides">
              <wp:wrapPolygon>
                <wp:start x="-23" y="-52"/>
                <wp:lineTo x="-23" y="21377"/>
                <wp:lineTo x="21537" y="21377"/>
                <wp:lineTo x="21537" y="-52"/>
                <wp:lineTo x="-23" y="-52"/>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2C489DFB">
      <w:pPr>
        <w:pStyle w:val="2"/>
        <w:rPr>
          <w:rFonts w:eastAsia="仿宋_GB2312" w:cs="仿宋_GB2312"/>
          <w:sz w:val="32"/>
          <w:szCs w:val="32"/>
        </w:rPr>
      </w:pPr>
    </w:p>
    <w:p w14:paraId="22EBB7E0">
      <w:pPr>
        <w:pStyle w:val="2"/>
        <w:rPr>
          <w:rFonts w:eastAsia="仿宋_GB2312" w:cs="仿宋_GB2312"/>
          <w:sz w:val="32"/>
          <w:szCs w:val="32"/>
        </w:rPr>
      </w:pPr>
    </w:p>
    <w:p w14:paraId="789F343A">
      <w:pPr>
        <w:pStyle w:val="2"/>
        <w:rPr>
          <w:rFonts w:eastAsia="仿宋_GB2312" w:cs="仿宋_GB2312"/>
          <w:sz w:val="32"/>
          <w:szCs w:val="32"/>
        </w:rPr>
      </w:pPr>
    </w:p>
    <w:p w14:paraId="444367AA">
      <w:pPr>
        <w:pStyle w:val="2"/>
        <w:rPr>
          <w:rFonts w:eastAsia="仿宋_GB2312" w:cs="仿宋_GB2312"/>
          <w:sz w:val="32"/>
          <w:szCs w:val="32"/>
        </w:rPr>
      </w:pPr>
    </w:p>
    <w:p w14:paraId="15C383E7">
      <w:pPr>
        <w:pStyle w:val="2"/>
        <w:rPr>
          <w:rFonts w:eastAsia="仿宋_GB2312" w:cs="仿宋_GB2312"/>
          <w:sz w:val="32"/>
          <w:szCs w:val="32"/>
        </w:rPr>
      </w:pPr>
    </w:p>
    <w:p w14:paraId="17535D80">
      <w:pPr>
        <w:pStyle w:val="2"/>
        <w:rPr>
          <w:rFonts w:eastAsia="仿宋_GB2312" w:cs="仿宋_GB2312"/>
          <w:sz w:val="32"/>
          <w:szCs w:val="32"/>
        </w:rPr>
      </w:pPr>
    </w:p>
    <w:p w14:paraId="5C490ED3">
      <w:pPr>
        <w:pStyle w:val="4"/>
        <w:keepNext/>
        <w:keepLines/>
        <w:pageBreakBefore w:val="0"/>
        <w:widowControl w:val="0"/>
        <w:numPr>
          <w:ilvl w:val="0"/>
          <w:numId w:val="3"/>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lang w:val="en-US" w:eastAsia="zh-CN"/>
        </w:rPr>
      </w:pPr>
      <w:bookmarkStart w:id="25" w:name="_Toc15377206"/>
      <w:bookmarkStart w:id="26" w:name="_Toc29834"/>
      <w:bookmarkStart w:id="27" w:name="_Toc15396604"/>
      <w:r>
        <w:rPr>
          <w:rFonts w:hint="eastAsia" w:ascii="黑体" w:hAnsi="黑体" w:eastAsia="黑体" w:cs="黑体"/>
          <w:b w:val="0"/>
          <w:bCs w:val="0"/>
          <w:lang w:val="en-US" w:eastAsia="zh-CN"/>
        </w:rPr>
        <w:t>收入决算情况说明</w:t>
      </w:r>
      <w:bookmarkEnd w:id="25"/>
      <w:bookmarkEnd w:id="26"/>
      <w:bookmarkEnd w:id="27"/>
    </w:p>
    <w:p w14:paraId="12FEF0B0">
      <w:pPr>
        <w:numPr>
          <w:ilvl w:val="0"/>
          <w:numId w:val="0"/>
        </w:numPr>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2025年度本年收入合计3043.2万元，其中：一般公共预算财政拨款收入2975.75万元，占97.8%；政府性基金预算财政拨款收入67.45万元，占2.2%。</w:t>
      </w:r>
    </w:p>
    <w:p w14:paraId="5AD6DC72">
      <w:pPr>
        <w:numPr>
          <w:ilvl w:val="0"/>
          <w:numId w:val="0"/>
        </w:numPr>
        <w:ind w:firstLine="640" w:firstLineChars="200"/>
        <w:rPr>
          <w:rFonts w:hint="eastAsia" w:ascii="仿宋_GB2312" w:hAnsi="仿宋_GB2312" w:eastAsia="仿宋_GB2312" w:cs="仿宋_GB2312"/>
          <w:b w:val="0"/>
          <w:bCs w:val="0"/>
          <w:color w:val="auto"/>
          <w:sz w:val="32"/>
          <w:szCs w:val="32"/>
          <w:highlight w:val="none"/>
          <w:lang w:val="en-US" w:eastAsia="zh-CN"/>
        </w:rPr>
      </w:pPr>
    </w:p>
    <w:p w14:paraId="00D7D8CE">
      <w:pPr>
        <w:numPr>
          <w:ilvl w:val="0"/>
          <w:numId w:val="0"/>
        </w:numPr>
        <w:ind w:firstLine="640" w:firstLineChars="200"/>
        <w:jc w:val="center"/>
        <w:rPr>
          <w:rFonts w:hint="eastAsia" w:ascii="仿宋_GB2312" w:hAnsi="仿宋_GB2312" w:eastAsia="仿宋_GB2312" w:cs="仿宋_GB2312"/>
          <w:b w:val="0"/>
          <w:bCs w:val="0"/>
          <w:color w:val="auto"/>
          <w:sz w:val="32"/>
          <w:szCs w:val="32"/>
          <w:highlight w:val="none"/>
          <w:lang w:val="en-US" w:eastAsia="zh-CN"/>
        </w:rPr>
      </w:pPr>
    </w:p>
    <w:p w14:paraId="38A0669A">
      <w:pPr>
        <w:numPr>
          <w:ilvl w:val="0"/>
          <w:numId w:val="0"/>
        </w:numPr>
        <w:ind w:firstLine="640" w:firstLineChars="200"/>
        <w:jc w:val="center"/>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（图2：收入决算结构图）</w:t>
      </w:r>
    </w:p>
    <w:p w14:paraId="2A7E5857">
      <w:pPr>
        <w:numPr>
          <w:ilvl w:val="0"/>
          <w:numId w:val="0"/>
        </w:numPr>
        <w:ind w:firstLine="640" w:firstLineChars="200"/>
        <w:rPr>
          <w:rFonts w:hint="eastAsia" w:ascii="仿宋_GB2312" w:hAnsi="仿宋_GB2312" w:eastAsia="仿宋_GB2312" w:cs="仿宋_GB2312"/>
          <w:b w:val="0"/>
          <w:bCs w:val="0"/>
          <w:color w:val="auto"/>
          <w:sz w:val="32"/>
          <w:szCs w:val="32"/>
          <w:highlight w:val="none"/>
          <w:lang w:val="en-US" w:eastAsia="zh-CN"/>
        </w:rPr>
      </w:pPr>
    </w:p>
    <w:p w14:paraId="3647994F">
      <w:pPr>
        <w:pStyle w:val="27"/>
        <w:spacing w:line="600" w:lineRule="exact"/>
        <w:ind w:firstLine="640"/>
        <w:outlineLvl w:val="9"/>
        <w:rPr>
          <w:rFonts w:hint="eastAsia"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60288" behindDoc="1" locked="0" layoutInCell="1" allowOverlap="1">
            <wp:simplePos x="0" y="0"/>
            <wp:positionH relativeFrom="column">
              <wp:posOffset>628650</wp:posOffset>
            </wp:positionH>
            <wp:positionV relativeFrom="paragraph">
              <wp:posOffset>201295</wp:posOffset>
            </wp:positionV>
            <wp:extent cx="3943350" cy="2030095"/>
            <wp:effectExtent l="4445" t="4445" r="14605" b="22860"/>
            <wp:wrapTight wrapText="bothSides">
              <wp:wrapPolygon>
                <wp:start x="-24" y="-47"/>
                <wp:lineTo x="-24" y="21438"/>
                <wp:lineTo x="21576" y="21438"/>
                <wp:lineTo x="21576" y="-47"/>
                <wp:lineTo x="-24" y="-47"/>
              </wp:wrapPolygon>
            </wp:wrapTight>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4F4BAF9E">
      <w:pPr>
        <w:pStyle w:val="27"/>
        <w:spacing w:line="600" w:lineRule="exact"/>
        <w:ind w:firstLine="640"/>
        <w:outlineLvl w:val="9"/>
        <w:rPr>
          <w:rFonts w:hint="eastAsia" w:eastAsia="仿宋_GB2312" w:cs="仿宋_GB2312"/>
          <w:sz w:val="32"/>
          <w:szCs w:val="32"/>
        </w:rPr>
      </w:pPr>
    </w:p>
    <w:p w14:paraId="3E9D0214">
      <w:pPr>
        <w:pStyle w:val="27"/>
        <w:spacing w:line="600" w:lineRule="exact"/>
        <w:ind w:firstLine="640"/>
        <w:outlineLvl w:val="9"/>
        <w:rPr>
          <w:rFonts w:hint="eastAsia" w:eastAsia="仿宋_GB2312" w:cs="仿宋_GB2312"/>
          <w:sz w:val="32"/>
          <w:szCs w:val="32"/>
        </w:rPr>
      </w:pPr>
    </w:p>
    <w:p w14:paraId="62A5FCBB">
      <w:pPr>
        <w:pStyle w:val="27"/>
        <w:spacing w:line="600" w:lineRule="exact"/>
        <w:ind w:firstLine="640"/>
        <w:outlineLvl w:val="9"/>
        <w:rPr>
          <w:rFonts w:hint="eastAsia" w:eastAsia="仿宋_GB2312" w:cs="仿宋_GB2312"/>
          <w:sz w:val="32"/>
          <w:szCs w:val="32"/>
        </w:rPr>
      </w:pPr>
    </w:p>
    <w:p w14:paraId="5FEAA963">
      <w:pPr>
        <w:pStyle w:val="27"/>
        <w:spacing w:line="600" w:lineRule="exact"/>
        <w:ind w:firstLine="640"/>
        <w:outlineLvl w:val="9"/>
        <w:rPr>
          <w:rFonts w:hint="eastAsia" w:eastAsia="仿宋_GB2312" w:cs="仿宋_GB2312"/>
          <w:sz w:val="32"/>
          <w:szCs w:val="32"/>
        </w:rPr>
      </w:pPr>
    </w:p>
    <w:p w14:paraId="3402162F">
      <w:pPr>
        <w:pStyle w:val="27"/>
        <w:spacing w:line="600" w:lineRule="exact"/>
        <w:ind w:firstLine="640"/>
        <w:outlineLvl w:val="9"/>
        <w:rPr>
          <w:rFonts w:hint="eastAsia" w:eastAsia="仿宋_GB2312" w:cs="仿宋_GB2312"/>
          <w:sz w:val="32"/>
          <w:szCs w:val="32"/>
        </w:rPr>
      </w:pPr>
    </w:p>
    <w:p w14:paraId="02743192">
      <w:pPr>
        <w:ind w:firstLine="800" w:firstLineChars="250"/>
        <w:rPr>
          <w:rFonts w:eastAsia="仿宋_GB2312" w:cs="仿宋_GB2312"/>
          <w:sz w:val="32"/>
          <w:szCs w:val="32"/>
        </w:rPr>
      </w:pPr>
    </w:p>
    <w:p w14:paraId="557F445C">
      <w:pPr>
        <w:pStyle w:val="4"/>
        <w:keepNext/>
        <w:keepLines/>
        <w:pageBreakBefore w:val="0"/>
        <w:widowControl w:val="0"/>
        <w:numPr>
          <w:ilvl w:val="0"/>
          <w:numId w:val="3"/>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28" w:name="_Toc15396605"/>
      <w:bookmarkStart w:id="29" w:name="_Toc15377207"/>
      <w:bookmarkStart w:id="30" w:name="_Toc5801"/>
      <w:r>
        <w:rPr>
          <w:rFonts w:hint="eastAsia" w:ascii="黑体" w:hAnsi="黑体" w:eastAsia="黑体" w:cs="黑体"/>
          <w:b w:val="0"/>
          <w:bCs w:val="0"/>
        </w:rPr>
        <w:t>支出决算情况说明</w:t>
      </w:r>
      <w:bookmarkEnd w:id="28"/>
      <w:bookmarkEnd w:id="29"/>
      <w:bookmarkEnd w:id="30"/>
    </w:p>
    <w:p w14:paraId="1A2CE7E0">
      <w:pPr>
        <w:numPr>
          <w:ilvl w:val="0"/>
          <w:numId w:val="0"/>
        </w:numPr>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2025年度本年支出合计3043.2万元，其中：基本支出779.25万元，占25.6%；项目支出2263.95万元，占74.4%。</w:t>
      </w:r>
    </w:p>
    <w:p w14:paraId="55EA5A4A">
      <w:pPr>
        <w:numPr>
          <w:ilvl w:val="0"/>
          <w:numId w:val="0"/>
        </w:numPr>
        <w:ind w:firstLine="640" w:firstLineChars="200"/>
        <w:jc w:val="center"/>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（图3：支出决算结构图）</w:t>
      </w:r>
    </w:p>
    <w:p w14:paraId="30F922AE">
      <w:pPr>
        <w:pStyle w:val="27"/>
        <w:spacing w:line="600" w:lineRule="exact"/>
        <w:ind w:firstLine="640"/>
        <w:jc w:val="center"/>
        <w:outlineLvl w:val="9"/>
        <w:rPr>
          <w:rFonts w:hint="eastAsia"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61312" behindDoc="1" locked="0" layoutInCell="1" allowOverlap="1">
            <wp:simplePos x="0" y="0"/>
            <wp:positionH relativeFrom="column">
              <wp:posOffset>725170</wp:posOffset>
            </wp:positionH>
            <wp:positionV relativeFrom="paragraph">
              <wp:posOffset>281940</wp:posOffset>
            </wp:positionV>
            <wp:extent cx="4331970" cy="2141220"/>
            <wp:effectExtent l="5080" t="5080" r="6350" b="6350"/>
            <wp:wrapTight wrapText="bothSides">
              <wp:wrapPolygon>
                <wp:start x="-25" y="-51"/>
                <wp:lineTo x="-25" y="21472"/>
                <wp:lineTo x="21537" y="21472"/>
                <wp:lineTo x="21537" y="-51"/>
                <wp:lineTo x="-25" y="-51"/>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197A20B9">
      <w:pPr>
        <w:pStyle w:val="27"/>
        <w:spacing w:line="600" w:lineRule="exact"/>
        <w:ind w:firstLine="640"/>
        <w:jc w:val="center"/>
        <w:outlineLvl w:val="9"/>
        <w:rPr>
          <w:rFonts w:hint="eastAsia" w:eastAsia="仿宋_GB2312" w:cs="仿宋_GB2312"/>
          <w:sz w:val="32"/>
          <w:szCs w:val="32"/>
        </w:rPr>
      </w:pPr>
    </w:p>
    <w:p w14:paraId="509E72D2">
      <w:pPr>
        <w:pStyle w:val="27"/>
        <w:spacing w:line="600" w:lineRule="exact"/>
        <w:ind w:firstLine="640"/>
        <w:jc w:val="center"/>
        <w:outlineLvl w:val="9"/>
        <w:rPr>
          <w:rFonts w:hint="eastAsia" w:eastAsia="仿宋_GB2312" w:cs="仿宋_GB2312"/>
          <w:sz w:val="32"/>
          <w:szCs w:val="32"/>
        </w:rPr>
      </w:pPr>
    </w:p>
    <w:p w14:paraId="4CD227A6">
      <w:pPr>
        <w:pStyle w:val="27"/>
        <w:spacing w:line="600" w:lineRule="exact"/>
        <w:ind w:firstLine="640"/>
        <w:jc w:val="center"/>
        <w:outlineLvl w:val="9"/>
        <w:rPr>
          <w:rFonts w:hint="eastAsia" w:eastAsia="仿宋_GB2312" w:cs="仿宋_GB2312"/>
          <w:sz w:val="32"/>
          <w:szCs w:val="32"/>
        </w:rPr>
      </w:pPr>
    </w:p>
    <w:p w14:paraId="6D574A12">
      <w:pPr>
        <w:pStyle w:val="27"/>
        <w:spacing w:line="600" w:lineRule="exact"/>
        <w:ind w:firstLine="640"/>
        <w:jc w:val="center"/>
        <w:outlineLvl w:val="9"/>
        <w:rPr>
          <w:rFonts w:hint="eastAsia" w:eastAsia="仿宋_GB2312" w:cs="仿宋_GB2312"/>
          <w:sz w:val="32"/>
          <w:szCs w:val="32"/>
        </w:rPr>
      </w:pPr>
    </w:p>
    <w:p w14:paraId="7E9BBBF4">
      <w:pPr>
        <w:pStyle w:val="27"/>
        <w:spacing w:line="600" w:lineRule="exact"/>
        <w:ind w:firstLine="640"/>
        <w:jc w:val="center"/>
        <w:outlineLvl w:val="9"/>
        <w:rPr>
          <w:rFonts w:hint="eastAsia" w:eastAsia="仿宋_GB2312" w:cs="仿宋_GB2312"/>
          <w:sz w:val="32"/>
          <w:szCs w:val="32"/>
        </w:rPr>
      </w:pPr>
    </w:p>
    <w:p w14:paraId="36D57C55">
      <w:pPr>
        <w:pStyle w:val="27"/>
        <w:spacing w:line="600" w:lineRule="exact"/>
        <w:ind w:firstLine="640"/>
        <w:jc w:val="center"/>
        <w:outlineLvl w:val="9"/>
        <w:rPr>
          <w:rFonts w:hint="eastAsia" w:eastAsia="仿宋_GB2312" w:cs="仿宋_GB2312"/>
          <w:sz w:val="32"/>
          <w:szCs w:val="32"/>
        </w:rPr>
      </w:pPr>
    </w:p>
    <w:p w14:paraId="53829AF9">
      <w:pPr>
        <w:ind w:firstLine="800" w:firstLineChars="250"/>
        <w:rPr>
          <w:rFonts w:eastAsia="仿宋_GB2312" w:cs="仿宋_GB2312"/>
          <w:sz w:val="32"/>
          <w:szCs w:val="32"/>
        </w:rPr>
      </w:pPr>
    </w:p>
    <w:p w14:paraId="3ECEB1FE">
      <w:pPr>
        <w:pStyle w:val="4"/>
        <w:keepNext/>
        <w:keepLines/>
        <w:pageBreakBefore w:val="0"/>
        <w:widowControl w:val="0"/>
        <w:numPr>
          <w:ilvl w:val="0"/>
          <w:numId w:val="3"/>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31" w:name="_Toc15396606"/>
      <w:bookmarkStart w:id="32" w:name="_Toc12968"/>
      <w:bookmarkStart w:id="33" w:name="_Toc15377208"/>
      <w:r>
        <w:rPr>
          <w:rFonts w:hint="eastAsia" w:ascii="黑体" w:hAnsi="黑体" w:eastAsia="黑体" w:cs="黑体"/>
          <w:b w:val="0"/>
          <w:bCs w:val="0"/>
        </w:rPr>
        <w:t>财政拨款收入支出决算总体情况说明</w:t>
      </w:r>
      <w:bookmarkEnd w:id="31"/>
      <w:bookmarkEnd w:id="32"/>
      <w:bookmarkEnd w:id="33"/>
    </w:p>
    <w:p w14:paraId="77A31523">
      <w:pPr>
        <w:numPr>
          <w:ilvl w:val="0"/>
          <w:numId w:val="0"/>
        </w:numPr>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2025年度财政拨款收入、支出总计均为3043.2万元。与上年度相比，财政拨款收入、支出总计各增加1610.37万元，增长112.4%。主要变动原因是项目支出增加，2025年新增公路灾害防治工程项目。</w:t>
      </w:r>
    </w:p>
    <w:p w14:paraId="71093E48">
      <w:pPr>
        <w:numPr>
          <w:ilvl w:val="0"/>
          <w:numId w:val="0"/>
        </w:numPr>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（图4：财政拨款收、支决算总计变动情况）</w:t>
      </w:r>
    </w:p>
    <w:p w14:paraId="25364A05">
      <w:pPr>
        <w:pStyle w:val="2"/>
        <w:rPr>
          <w:rFonts w:hint="eastAsia"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63360" behindDoc="1" locked="0" layoutInCell="1" allowOverlap="1">
            <wp:simplePos x="0" y="0"/>
            <wp:positionH relativeFrom="column">
              <wp:posOffset>374650</wp:posOffset>
            </wp:positionH>
            <wp:positionV relativeFrom="paragraph">
              <wp:posOffset>349250</wp:posOffset>
            </wp:positionV>
            <wp:extent cx="4828540" cy="2645410"/>
            <wp:effectExtent l="4445" t="4445" r="5715" b="55245"/>
            <wp:wrapTight wrapText="bothSides">
              <wp:wrapPolygon>
                <wp:start x="-20" y="-36"/>
                <wp:lineTo x="-20" y="21429"/>
                <wp:lineTo x="21540" y="21429"/>
                <wp:lineTo x="21540" y="-36"/>
                <wp:lineTo x="-20" y="-36"/>
              </wp:wrapPolygon>
            </wp:wrapTight>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4AABEDD4">
      <w:pPr>
        <w:pStyle w:val="2"/>
        <w:rPr>
          <w:rFonts w:hint="eastAsia" w:eastAsia="仿宋_GB2312" w:cs="仿宋_GB2312"/>
          <w:sz w:val="32"/>
          <w:szCs w:val="32"/>
        </w:rPr>
      </w:pPr>
    </w:p>
    <w:p w14:paraId="0CC8F6BE">
      <w:pPr>
        <w:pStyle w:val="2"/>
        <w:rPr>
          <w:rFonts w:hint="eastAsia" w:eastAsia="仿宋_GB2312" w:cs="仿宋_GB2312"/>
          <w:sz w:val="32"/>
          <w:szCs w:val="32"/>
        </w:rPr>
      </w:pPr>
    </w:p>
    <w:p w14:paraId="029DD302">
      <w:pPr>
        <w:pStyle w:val="2"/>
        <w:rPr>
          <w:rFonts w:hint="eastAsia" w:eastAsia="仿宋_GB2312" w:cs="仿宋_GB2312"/>
          <w:sz w:val="32"/>
          <w:szCs w:val="32"/>
        </w:rPr>
      </w:pPr>
    </w:p>
    <w:p w14:paraId="1869F826">
      <w:pPr>
        <w:pStyle w:val="2"/>
        <w:rPr>
          <w:rFonts w:hint="eastAsia" w:eastAsia="仿宋_GB2312" w:cs="仿宋_GB2312"/>
          <w:sz w:val="32"/>
          <w:szCs w:val="32"/>
        </w:rPr>
      </w:pPr>
    </w:p>
    <w:p w14:paraId="75AAE3D7">
      <w:pPr>
        <w:pStyle w:val="2"/>
        <w:rPr>
          <w:rFonts w:hint="eastAsia" w:eastAsia="仿宋_GB2312" w:cs="仿宋_GB2312"/>
          <w:sz w:val="32"/>
          <w:szCs w:val="32"/>
        </w:rPr>
      </w:pPr>
    </w:p>
    <w:p w14:paraId="3D21B54D">
      <w:pPr>
        <w:pStyle w:val="2"/>
        <w:rPr>
          <w:rFonts w:hint="eastAsia" w:eastAsia="仿宋_GB2312" w:cs="仿宋_GB2312"/>
          <w:sz w:val="32"/>
          <w:szCs w:val="32"/>
        </w:rPr>
      </w:pPr>
    </w:p>
    <w:p w14:paraId="1BE85D89">
      <w:pPr>
        <w:spacing w:line="600" w:lineRule="exact"/>
        <w:ind w:firstLine="640"/>
        <w:rPr>
          <w:rFonts w:eastAsia="仿宋_GB2312" w:cs="仿宋_GB2312"/>
          <w:sz w:val="32"/>
          <w:szCs w:val="32"/>
        </w:rPr>
      </w:pPr>
    </w:p>
    <w:p w14:paraId="30C40DAA">
      <w:pPr>
        <w:pStyle w:val="4"/>
        <w:keepNext/>
        <w:keepLines/>
        <w:pageBreakBefore w:val="0"/>
        <w:widowControl w:val="0"/>
        <w:numPr>
          <w:ilvl w:val="0"/>
          <w:numId w:val="3"/>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34" w:name="_Toc15377209"/>
      <w:bookmarkStart w:id="35" w:name="_Toc12297"/>
      <w:bookmarkStart w:id="36" w:name="_Toc15396607"/>
      <w:r>
        <w:rPr>
          <w:rFonts w:hint="eastAsia" w:ascii="黑体" w:hAnsi="黑体" w:eastAsia="黑体" w:cs="黑体"/>
          <w:b w:val="0"/>
          <w:bCs w:val="0"/>
        </w:rPr>
        <w:t>一般公共预算财政拨款支出决算情况说明</w:t>
      </w:r>
      <w:bookmarkEnd w:id="34"/>
      <w:bookmarkEnd w:id="35"/>
      <w:bookmarkEnd w:id="36"/>
    </w:p>
    <w:p w14:paraId="24C69AF4">
      <w:pPr>
        <w:numPr>
          <w:ilvl w:val="0"/>
          <w:numId w:val="0"/>
        </w:numPr>
        <w:ind w:firstLine="643" w:firstLineChars="200"/>
        <w:rPr>
          <w:rFonts w:hint="eastAsia" w:ascii="仿宋_GB2312" w:hAnsi="仿宋_GB2312" w:eastAsia="仿宋_GB2312" w:cs="仿宋_GB2312"/>
          <w:b/>
          <w:bCs/>
          <w:color w:val="auto"/>
          <w:sz w:val="32"/>
          <w:szCs w:val="32"/>
          <w:highlight w:val="none"/>
          <w:lang w:val="en-US" w:eastAsia="zh-CN"/>
        </w:rPr>
      </w:pPr>
      <w:bookmarkStart w:id="37" w:name="_Toc15377210"/>
      <w:r>
        <w:rPr>
          <w:rFonts w:hint="eastAsia" w:ascii="仿宋_GB2312" w:hAnsi="仿宋_GB2312" w:eastAsia="仿宋_GB2312" w:cs="仿宋_GB2312"/>
          <w:b/>
          <w:bCs/>
          <w:color w:val="auto"/>
          <w:sz w:val="32"/>
          <w:szCs w:val="32"/>
          <w:highlight w:val="none"/>
          <w:lang w:val="en-US" w:eastAsia="zh-CN"/>
        </w:rPr>
        <w:t>（一）一般公共预算财政拨款支出决算总体情况</w:t>
      </w:r>
      <w:bookmarkEnd w:id="37"/>
    </w:p>
    <w:p w14:paraId="608585F7">
      <w:pPr>
        <w:numPr>
          <w:ilvl w:val="0"/>
          <w:numId w:val="0"/>
        </w:numPr>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2025年度一般公共预算财政拨款支出2975.75万元，占本年支出合计的97.8%。与上年度相比，一般公共预算财政拨款支出增加1542.92万元，增长107.7%。主要变动原因是项目支出增加，2025年新增公路灾害防治工程项目。</w:t>
      </w:r>
    </w:p>
    <w:p w14:paraId="48546083">
      <w:pPr>
        <w:numPr>
          <w:ilvl w:val="0"/>
          <w:numId w:val="0"/>
        </w:numPr>
        <w:ind w:firstLine="640" w:firstLineChars="200"/>
        <w:rPr>
          <w:rFonts w:hint="eastAsia" w:eastAsia="仿宋_GB2312" w:cs="仿宋_GB2312"/>
          <w:sz w:val="32"/>
          <w:szCs w:val="32"/>
        </w:rPr>
      </w:pPr>
      <w:r>
        <w:rPr>
          <w:rFonts w:hint="eastAsia" w:ascii="仿宋_GB2312" w:hAnsi="仿宋_GB2312" w:eastAsia="仿宋_GB2312" w:cs="仿宋_GB2312"/>
          <w:b w:val="0"/>
          <w:bCs w:val="0"/>
          <w:color w:val="auto"/>
          <w:sz w:val="32"/>
          <w:szCs w:val="32"/>
          <w:highlight w:val="none"/>
          <w:lang w:val="en-US" w:eastAsia="zh-CN"/>
        </w:rPr>
        <w:t>（图5：一般公共预算财政拨款支出决算变动情况）</w:t>
      </w:r>
    </w:p>
    <w:p w14:paraId="7189D351">
      <w:pPr>
        <w:pStyle w:val="2"/>
        <w:rPr>
          <w:rFonts w:hint="eastAsia"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64384" behindDoc="1" locked="0" layoutInCell="1" allowOverlap="1">
            <wp:simplePos x="0" y="0"/>
            <wp:positionH relativeFrom="column">
              <wp:posOffset>278130</wp:posOffset>
            </wp:positionH>
            <wp:positionV relativeFrom="paragraph">
              <wp:posOffset>123190</wp:posOffset>
            </wp:positionV>
            <wp:extent cx="4834890" cy="2893060"/>
            <wp:effectExtent l="4445" t="4445" r="18415" b="17145"/>
            <wp:wrapTight wrapText="bothSides">
              <wp:wrapPolygon>
                <wp:start x="-20" y="-33"/>
                <wp:lineTo x="-20" y="21444"/>
                <wp:lineTo x="21512" y="21444"/>
                <wp:lineTo x="21512" y="-33"/>
                <wp:lineTo x="-20" y="-33"/>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68098001">
      <w:pPr>
        <w:pStyle w:val="2"/>
        <w:rPr>
          <w:rFonts w:hint="eastAsia" w:eastAsia="仿宋_GB2312" w:cs="仿宋_GB2312"/>
          <w:sz w:val="32"/>
          <w:szCs w:val="32"/>
        </w:rPr>
      </w:pPr>
    </w:p>
    <w:p w14:paraId="23F6635B">
      <w:pPr>
        <w:pStyle w:val="2"/>
        <w:rPr>
          <w:rFonts w:hint="eastAsia" w:eastAsia="仿宋_GB2312" w:cs="仿宋_GB2312"/>
          <w:sz w:val="32"/>
          <w:szCs w:val="32"/>
        </w:rPr>
      </w:pPr>
    </w:p>
    <w:p w14:paraId="162ED36B">
      <w:pPr>
        <w:pStyle w:val="2"/>
        <w:rPr>
          <w:rFonts w:hint="eastAsia" w:eastAsia="仿宋_GB2312" w:cs="仿宋_GB2312"/>
          <w:sz w:val="32"/>
          <w:szCs w:val="32"/>
        </w:rPr>
      </w:pPr>
    </w:p>
    <w:p w14:paraId="5BD41950">
      <w:pPr>
        <w:pStyle w:val="2"/>
        <w:rPr>
          <w:rFonts w:hint="eastAsia" w:eastAsia="仿宋_GB2312" w:cs="仿宋_GB2312"/>
          <w:sz w:val="32"/>
          <w:szCs w:val="32"/>
        </w:rPr>
      </w:pPr>
    </w:p>
    <w:p w14:paraId="7A9BB44D">
      <w:pPr>
        <w:pStyle w:val="2"/>
        <w:rPr>
          <w:rFonts w:hint="eastAsia" w:eastAsia="仿宋_GB2312" w:cs="仿宋_GB2312"/>
          <w:sz w:val="32"/>
          <w:szCs w:val="32"/>
        </w:rPr>
      </w:pPr>
    </w:p>
    <w:p w14:paraId="3F8C2452">
      <w:pPr>
        <w:pStyle w:val="2"/>
        <w:rPr>
          <w:rFonts w:hint="eastAsia" w:eastAsia="仿宋_GB2312" w:cs="仿宋_GB2312"/>
          <w:sz w:val="32"/>
          <w:szCs w:val="32"/>
        </w:rPr>
      </w:pPr>
    </w:p>
    <w:p w14:paraId="6AB0C023">
      <w:pPr>
        <w:pStyle w:val="2"/>
        <w:rPr>
          <w:rFonts w:hint="eastAsia" w:eastAsia="仿宋_GB2312" w:cs="仿宋_GB2312"/>
          <w:sz w:val="32"/>
          <w:szCs w:val="32"/>
        </w:rPr>
      </w:pPr>
    </w:p>
    <w:p w14:paraId="605C1C8C">
      <w:pPr>
        <w:numPr>
          <w:ilvl w:val="0"/>
          <w:numId w:val="0"/>
        </w:numPr>
        <w:ind w:firstLine="643" w:firstLineChars="200"/>
        <w:rPr>
          <w:rFonts w:hint="eastAsia" w:ascii="仿宋_GB2312" w:hAnsi="仿宋_GB2312" w:eastAsia="仿宋_GB2312" w:cs="仿宋_GB2312"/>
          <w:b/>
          <w:bCs/>
          <w:color w:val="auto"/>
          <w:sz w:val="32"/>
          <w:szCs w:val="32"/>
          <w:highlight w:val="none"/>
          <w:lang w:val="en-US" w:eastAsia="zh-CN"/>
        </w:rPr>
      </w:pPr>
      <w:bookmarkStart w:id="38" w:name="_Toc15377211"/>
      <w:r>
        <w:rPr>
          <w:rFonts w:hint="eastAsia" w:ascii="仿宋_GB2312" w:hAnsi="仿宋_GB2312" w:eastAsia="仿宋_GB2312" w:cs="仿宋_GB2312"/>
          <w:b/>
          <w:bCs/>
          <w:color w:val="auto"/>
          <w:sz w:val="32"/>
          <w:szCs w:val="32"/>
          <w:highlight w:val="none"/>
          <w:lang w:val="en-US" w:eastAsia="zh-CN"/>
        </w:rPr>
        <w:t>（二）一般公共预算财政拨款支出决算结构情况</w:t>
      </w:r>
      <w:bookmarkEnd w:id="38"/>
    </w:p>
    <w:p w14:paraId="463C1FED">
      <w:pPr>
        <w:numPr>
          <w:ilvl w:val="0"/>
          <w:numId w:val="0"/>
        </w:numPr>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2025年度一般公共预算财政拨款支出2975.75万元，主要用于以下方面：社会保障和就业支出151.41万元，占5%；卫生健康支出36.65万元，占1%；交通运输支出2738.13，占92%；住房保障支出49.56万元，占2%。</w:t>
      </w:r>
    </w:p>
    <w:p w14:paraId="55ABA78A">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65408" behindDoc="1" locked="0" layoutInCell="1" allowOverlap="1">
            <wp:simplePos x="0" y="0"/>
            <wp:positionH relativeFrom="column">
              <wp:posOffset>300990</wp:posOffset>
            </wp:positionH>
            <wp:positionV relativeFrom="paragraph">
              <wp:posOffset>687705</wp:posOffset>
            </wp:positionV>
            <wp:extent cx="4618355" cy="2562225"/>
            <wp:effectExtent l="4445" t="5080" r="6350" b="4445"/>
            <wp:wrapTight wrapText="bothSides">
              <wp:wrapPolygon>
                <wp:start x="-21" y="-43"/>
                <wp:lineTo x="-21" y="21477"/>
                <wp:lineTo x="21541" y="21477"/>
                <wp:lineTo x="21541" y="-43"/>
                <wp:lineTo x="-21" y="-43"/>
              </wp:wrapPolygon>
            </wp:wrapTight>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eastAsia="仿宋_GB2312" w:cs="仿宋_GB2312"/>
          <w:sz w:val="32"/>
          <w:szCs w:val="32"/>
        </w:rPr>
        <w:t>（图6：一般公共预算财政拨款支出决算结构）</w:t>
      </w:r>
    </w:p>
    <w:p w14:paraId="44C43155">
      <w:pPr>
        <w:spacing w:line="600" w:lineRule="exact"/>
        <w:ind w:firstLine="640"/>
        <w:rPr>
          <w:rFonts w:eastAsia="仿宋_GB2312" w:cs="仿宋_GB2312"/>
          <w:sz w:val="32"/>
          <w:szCs w:val="32"/>
        </w:rPr>
      </w:pPr>
    </w:p>
    <w:p w14:paraId="36FA7869">
      <w:pPr>
        <w:pStyle w:val="2"/>
        <w:rPr>
          <w:rFonts w:eastAsia="仿宋_GB2312" w:cs="仿宋_GB2312"/>
          <w:sz w:val="32"/>
          <w:szCs w:val="32"/>
        </w:rPr>
      </w:pPr>
    </w:p>
    <w:p w14:paraId="5368C517">
      <w:pPr>
        <w:pStyle w:val="2"/>
        <w:rPr>
          <w:rFonts w:eastAsia="仿宋_GB2312" w:cs="仿宋_GB2312"/>
          <w:sz w:val="32"/>
          <w:szCs w:val="32"/>
        </w:rPr>
      </w:pPr>
    </w:p>
    <w:p w14:paraId="5D206C3B">
      <w:pPr>
        <w:pStyle w:val="2"/>
        <w:rPr>
          <w:rFonts w:eastAsia="仿宋_GB2312" w:cs="仿宋_GB2312"/>
          <w:sz w:val="32"/>
          <w:szCs w:val="32"/>
        </w:rPr>
      </w:pPr>
    </w:p>
    <w:p w14:paraId="3D11BC8D">
      <w:pPr>
        <w:spacing w:line="600" w:lineRule="exact"/>
        <w:ind w:firstLine="643" w:firstLineChars="200"/>
        <w:outlineLvl w:val="2"/>
        <w:rPr>
          <w:rFonts w:eastAsia="楷体_GB2312" w:cs="楷体_GB2312"/>
          <w:b/>
          <w:sz w:val="32"/>
          <w:szCs w:val="32"/>
        </w:rPr>
      </w:pPr>
      <w:bookmarkStart w:id="39" w:name="_Toc15377212"/>
      <w:r>
        <w:rPr>
          <w:rFonts w:hint="eastAsia" w:eastAsia="楷体_GB2312" w:cs="楷体_GB2312"/>
          <w:b/>
          <w:sz w:val="32"/>
          <w:szCs w:val="32"/>
        </w:rPr>
        <w:t>（三）一般公共预算财政拨款支出决算具体情况</w:t>
      </w:r>
      <w:bookmarkEnd w:id="39"/>
    </w:p>
    <w:p w14:paraId="79055F5C">
      <w:pPr>
        <w:spacing w:line="600" w:lineRule="exact"/>
        <w:ind w:firstLine="640"/>
        <w:rPr>
          <w:rFonts w:eastAsia="仿宋_GB2312" w:cs="仿宋_GB2312"/>
          <w:sz w:val="32"/>
          <w:szCs w:val="32"/>
        </w:rPr>
      </w:pPr>
      <w:bookmarkStart w:id="40" w:name="_Toc15377213"/>
      <w:bookmarkStart w:id="41" w:name="_Toc15378460"/>
      <w:bookmarkStart w:id="42" w:name="_Toc15377444"/>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2975.75万元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40"/>
      <w:bookmarkEnd w:id="41"/>
      <w:bookmarkEnd w:id="42"/>
    </w:p>
    <w:p w14:paraId="6DA525A9">
      <w:pPr>
        <w:ind w:firstLine="643" w:firstLineChars="200"/>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.社会保障和就业支出（类）</w:t>
      </w:r>
      <w:r>
        <w:rPr>
          <w:rFonts w:hint="eastAsia" w:ascii="仿宋_GB2312" w:hAnsi="仿宋_GB2312" w:eastAsia="仿宋_GB2312" w:cs="仿宋_GB2312"/>
          <w:b/>
          <w:bCs/>
          <w:color w:val="auto"/>
          <w:sz w:val="32"/>
          <w:szCs w:val="32"/>
          <w:lang w:eastAsia="zh-CN"/>
        </w:rPr>
        <w:t>人力资源和社会保障管理事务</w:t>
      </w:r>
      <w:r>
        <w:rPr>
          <w:rFonts w:hint="eastAsia" w:ascii="仿宋_GB2312" w:hAnsi="仿宋_GB2312" w:eastAsia="仿宋_GB2312" w:cs="仿宋_GB2312"/>
          <w:b/>
          <w:bCs/>
          <w:color w:val="auto"/>
          <w:sz w:val="32"/>
          <w:szCs w:val="32"/>
        </w:rPr>
        <w:t>（款）</w:t>
      </w:r>
      <w:r>
        <w:rPr>
          <w:rFonts w:hint="eastAsia" w:ascii="仿宋_GB2312" w:hAnsi="仿宋_GB2312" w:eastAsia="仿宋_GB2312" w:cs="仿宋_GB2312"/>
          <w:b/>
          <w:bCs/>
          <w:color w:val="auto"/>
          <w:sz w:val="32"/>
          <w:szCs w:val="32"/>
          <w:lang w:eastAsia="zh-CN"/>
        </w:rPr>
        <w:t>其他人力资源和社会保障管理事务支出</w:t>
      </w:r>
      <w:r>
        <w:rPr>
          <w:rFonts w:hint="eastAsia" w:ascii="仿宋_GB2312" w:hAnsi="仿宋_GB2312" w:eastAsia="仿宋_GB2312" w:cs="仿宋_GB2312"/>
          <w:b/>
          <w:bCs/>
          <w:color w:val="auto"/>
          <w:sz w:val="32"/>
          <w:szCs w:val="32"/>
        </w:rPr>
        <w:t>（项）</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万元，完成预算100%。</w:t>
      </w:r>
    </w:p>
    <w:p w14:paraId="4869E793">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.社会保障和就业支</w:t>
      </w:r>
      <w:r>
        <w:rPr>
          <w:rFonts w:hint="eastAsia" w:ascii="仿宋_GB2312" w:hAnsi="仿宋_GB2312" w:eastAsia="仿宋_GB2312" w:cs="仿宋_GB2312"/>
          <w:b/>
          <w:bCs/>
          <w:color w:val="auto"/>
          <w:sz w:val="32"/>
          <w:szCs w:val="32"/>
        </w:rPr>
        <w:t>出（类）行政事业单位养老支出（款）</w:t>
      </w:r>
      <w:r>
        <w:rPr>
          <w:rFonts w:hint="eastAsia" w:ascii="仿宋_GB2312" w:hAnsi="仿宋_GB2312" w:eastAsia="仿宋_GB2312" w:cs="仿宋_GB2312"/>
          <w:b/>
          <w:bCs/>
          <w:color w:val="auto"/>
          <w:sz w:val="32"/>
          <w:szCs w:val="32"/>
          <w:lang w:eastAsia="zh-CN"/>
        </w:rPr>
        <w:t>行政</w:t>
      </w:r>
      <w:r>
        <w:rPr>
          <w:rFonts w:hint="eastAsia" w:ascii="仿宋_GB2312" w:hAnsi="仿宋_GB2312" w:eastAsia="仿宋_GB2312" w:cs="仿宋_GB2312"/>
          <w:b/>
          <w:bCs/>
          <w:color w:val="auto"/>
          <w:sz w:val="32"/>
          <w:szCs w:val="32"/>
        </w:rPr>
        <w:t>单位离退休（项）</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56.57</w:t>
      </w:r>
      <w:r>
        <w:rPr>
          <w:rFonts w:hint="eastAsia" w:ascii="仿宋_GB2312" w:hAnsi="仿宋_GB2312" w:eastAsia="仿宋_GB2312" w:cs="仿宋_GB2312"/>
          <w:color w:val="auto"/>
          <w:sz w:val="32"/>
          <w:szCs w:val="32"/>
        </w:rPr>
        <w:t>万元，完成预算100%。</w:t>
      </w:r>
    </w:p>
    <w:p w14:paraId="398C4FA6">
      <w:pPr>
        <w:ind w:firstLine="643" w:firstLineChars="200"/>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.社会保障和就业支</w:t>
      </w:r>
      <w:r>
        <w:rPr>
          <w:rFonts w:hint="eastAsia" w:ascii="仿宋_GB2312" w:hAnsi="仿宋_GB2312" w:eastAsia="仿宋_GB2312" w:cs="仿宋_GB2312"/>
          <w:b/>
          <w:bCs/>
          <w:color w:val="auto"/>
          <w:sz w:val="32"/>
          <w:szCs w:val="32"/>
        </w:rPr>
        <w:t>出（类）行政事业单位养老支出（款）事业单位离退休（项）</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9.03</w:t>
      </w:r>
      <w:r>
        <w:rPr>
          <w:rFonts w:hint="eastAsia" w:ascii="仿宋_GB2312" w:hAnsi="仿宋_GB2312" w:eastAsia="仿宋_GB2312" w:cs="仿宋_GB2312"/>
          <w:color w:val="auto"/>
          <w:sz w:val="32"/>
          <w:szCs w:val="32"/>
        </w:rPr>
        <w:t>万元，完成预算100%。</w:t>
      </w:r>
    </w:p>
    <w:p w14:paraId="016E0EF6">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.社会保障和就业支出（类）行政事业单位养老支出（款）机关事业单位基本养老保险缴费支出（项）</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62.35</w:t>
      </w:r>
      <w:r>
        <w:rPr>
          <w:rFonts w:hint="eastAsia" w:ascii="仿宋_GB2312" w:hAnsi="仿宋_GB2312" w:eastAsia="仿宋_GB2312" w:cs="仿宋_GB2312"/>
          <w:color w:val="auto"/>
          <w:sz w:val="32"/>
          <w:szCs w:val="32"/>
        </w:rPr>
        <w:t>万元，完成预算100%。</w:t>
      </w:r>
    </w:p>
    <w:p w14:paraId="38A2983E">
      <w:pPr>
        <w:pStyle w:val="2"/>
        <w:ind w:firstLine="643" w:firstLineChars="200"/>
        <w:rPr>
          <w:rFonts w:hint="eastAsia"/>
        </w:rPr>
      </w:pPr>
      <w:r>
        <w:rPr>
          <w:rFonts w:hint="eastAsia" w:hAnsi="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.社会保障和就业支出（类）行政事业单位养老支出（款）机关事业单位</w:t>
      </w:r>
      <w:r>
        <w:rPr>
          <w:rFonts w:hint="eastAsia" w:hAnsi="仿宋_GB2312" w:cs="仿宋_GB2312"/>
          <w:b/>
          <w:bCs/>
          <w:color w:val="auto"/>
          <w:sz w:val="32"/>
          <w:szCs w:val="32"/>
          <w:lang w:eastAsia="zh-CN"/>
        </w:rPr>
        <w:t>职业年金缴费支出</w:t>
      </w:r>
      <w:r>
        <w:rPr>
          <w:rFonts w:hint="eastAsia" w:ascii="仿宋_GB2312" w:hAnsi="仿宋_GB2312" w:eastAsia="仿宋_GB2312" w:cs="仿宋_GB2312"/>
          <w:b/>
          <w:bCs/>
          <w:color w:val="auto"/>
          <w:sz w:val="32"/>
          <w:szCs w:val="32"/>
        </w:rPr>
        <w:t>（项）</w:t>
      </w:r>
      <w:r>
        <w:rPr>
          <w:rFonts w:hint="eastAsia" w:ascii="仿宋_GB2312" w:hAnsi="仿宋_GB2312" w:eastAsia="仿宋_GB2312" w:cs="仿宋_GB2312"/>
          <w:color w:val="auto"/>
          <w:sz w:val="32"/>
          <w:szCs w:val="32"/>
        </w:rPr>
        <w:t>:支出决算为</w:t>
      </w:r>
      <w:r>
        <w:rPr>
          <w:rFonts w:hint="eastAsia" w:hAnsi="仿宋_GB2312" w:cs="仿宋_GB2312"/>
          <w:color w:val="auto"/>
          <w:sz w:val="32"/>
          <w:szCs w:val="32"/>
          <w:lang w:val="en-US" w:eastAsia="zh-CN"/>
        </w:rPr>
        <w:t>19.45</w:t>
      </w:r>
      <w:r>
        <w:rPr>
          <w:rFonts w:hint="eastAsia" w:ascii="仿宋_GB2312" w:hAnsi="仿宋_GB2312" w:eastAsia="仿宋_GB2312" w:cs="仿宋_GB2312"/>
          <w:color w:val="auto"/>
          <w:sz w:val="32"/>
          <w:szCs w:val="32"/>
        </w:rPr>
        <w:t>万元，完成预算100%。</w:t>
      </w:r>
    </w:p>
    <w:p w14:paraId="1C7F94ED">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sz w:val="32"/>
          <w:szCs w:val="32"/>
        </w:rPr>
        <w:t>.卫生健康支出</w:t>
      </w:r>
      <w:r>
        <w:rPr>
          <w:rFonts w:hint="eastAsia" w:ascii="仿宋_GB2312" w:hAnsi="仿宋_GB2312" w:eastAsia="仿宋_GB2312" w:cs="仿宋_GB2312"/>
          <w:b/>
          <w:bCs/>
          <w:color w:val="auto"/>
          <w:sz w:val="32"/>
          <w:szCs w:val="32"/>
        </w:rPr>
        <w:t>（类）行政事业单位医疗（款）行政单位医疗（项）</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25.04</w:t>
      </w:r>
      <w:r>
        <w:rPr>
          <w:rFonts w:hint="eastAsia" w:ascii="仿宋_GB2312" w:hAnsi="仿宋_GB2312" w:eastAsia="仿宋_GB2312" w:cs="仿宋_GB2312"/>
          <w:color w:val="auto"/>
          <w:sz w:val="32"/>
          <w:szCs w:val="32"/>
        </w:rPr>
        <w:t>万元，完成预算100%。</w:t>
      </w:r>
    </w:p>
    <w:p w14:paraId="575335E8">
      <w:pPr>
        <w:ind w:firstLine="643" w:firstLineChars="200"/>
      </w:pP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rPr>
        <w:t>.卫生健康支出</w:t>
      </w:r>
      <w:r>
        <w:rPr>
          <w:rFonts w:hint="eastAsia" w:ascii="仿宋_GB2312" w:hAnsi="仿宋_GB2312" w:eastAsia="仿宋_GB2312" w:cs="仿宋_GB2312"/>
          <w:b/>
          <w:bCs/>
          <w:color w:val="auto"/>
          <w:sz w:val="32"/>
          <w:szCs w:val="32"/>
        </w:rPr>
        <w:t>（类）行政事业单位医疗（款）事业单位医疗（项）</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6.76</w:t>
      </w:r>
      <w:r>
        <w:rPr>
          <w:rFonts w:hint="eastAsia" w:ascii="仿宋_GB2312" w:hAnsi="仿宋_GB2312" w:eastAsia="仿宋_GB2312" w:cs="仿宋_GB2312"/>
          <w:color w:val="auto"/>
          <w:sz w:val="32"/>
          <w:szCs w:val="32"/>
        </w:rPr>
        <w:t>万元，完成预算100%。</w:t>
      </w:r>
    </w:p>
    <w:p w14:paraId="1091A5DA">
      <w:pPr>
        <w:ind w:firstLine="643" w:firstLineChars="200"/>
      </w:pPr>
      <w:r>
        <w:rPr>
          <w:rFonts w:hint="eastAsia" w:ascii="仿宋_GB2312" w:hAnsi="仿宋_GB2312" w:eastAsia="仿宋_GB2312" w:cs="仿宋_GB2312"/>
          <w:b/>
          <w:bCs/>
          <w:sz w:val="32"/>
          <w:szCs w:val="32"/>
          <w:lang w:val="en-US" w:eastAsia="zh-CN"/>
        </w:rPr>
        <w:t>8</w:t>
      </w:r>
      <w:r>
        <w:rPr>
          <w:rFonts w:hint="eastAsia" w:ascii="仿宋_GB2312" w:hAnsi="仿宋_GB2312" w:eastAsia="仿宋_GB2312" w:cs="仿宋_GB2312"/>
          <w:b/>
          <w:bCs/>
          <w:sz w:val="32"/>
          <w:szCs w:val="32"/>
        </w:rPr>
        <w:t>.卫生健康支出</w:t>
      </w:r>
      <w:r>
        <w:rPr>
          <w:rFonts w:hint="eastAsia" w:ascii="仿宋_GB2312" w:hAnsi="仿宋_GB2312" w:eastAsia="仿宋_GB2312" w:cs="仿宋_GB2312"/>
          <w:b/>
          <w:bCs/>
          <w:color w:val="auto"/>
          <w:sz w:val="32"/>
          <w:szCs w:val="32"/>
        </w:rPr>
        <w:t>（类）行政事业单位医疗（款）公务员医疗补助（项）</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3.8</w:t>
      </w:r>
      <w:r>
        <w:rPr>
          <w:rFonts w:hint="eastAsia" w:ascii="仿宋_GB2312" w:hAnsi="仿宋_GB2312" w:eastAsia="仿宋_GB2312" w:cs="仿宋_GB2312"/>
          <w:color w:val="auto"/>
          <w:sz w:val="32"/>
          <w:szCs w:val="32"/>
        </w:rPr>
        <w:t>万元，完成预算100%。</w:t>
      </w:r>
    </w:p>
    <w:p w14:paraId="4A9DDC1E">
      <w:pPr>
        <w:ind w:firstLine="643" w:firstLineChars="200"/>
      </w:pPr>
      <w:r>
        <w:rPr>
          <w:rFonts w:hint="eastAsia" w:ascii="仿宋_GB2312" w:hAnsi="仿宋_GB2312" w:eastAsia="仿宋_GB2312" w:cs="仿宋_GB2312"/>
          <w:b/>
          <w:bCs/>
          <w:sz w:val="32"/>
          <w:szCs w:val="32"/>
          <w:lang w:val="en-US" w:eastAsia="zh-CN"/>
        </w:rPr>
        <w:t>9</w:t>
      </w:r>
      <w:r>
        <w:rPr>
          <w:rFonts w:hint="eastAsia" w:ascii="仿宋_GB2312" w:hAnsi="仿宋_GB2312" w:eastAsia="仿宋_GB2312" w:cs="仿宋_GB2312"/>
          <w:b/>
          <w:bCs/>
          <w:sz w:val="32"/>
          <w:szCs w:val="32"/>
        </w:rPr>
        <w:t>.卫生健康支出</w:t>
      </w:r>
      <w:r>
        <w:rPr>
          <w:rFonts w:hint="eastAsia" w:ascii="仿宋_GB2312" w:hAnsi="仿宋_GB2312" w:eastAsia="仿宋_GB2312" w:cs="仿宋_GB2312"/>
          <w:b/>
          <w:bCs/>
          <w:color w:val="auto"/>
          <w:sz w:val="32"/>
          <w:szCs w:val="32"/>
        </w:rPr>
        <w:t>（类）行政事业单位医疗（款）</w:t>
      </w:r>
      <w:r>
        <w:rPr>
          <w:rFonts w:hint="eastAsia" w:ascii="仿宋_GB2312" w:hAnsi="仿宋_GB2312" w:eastAsia="仿宋_GB2312" w:cs="仿宋_GB2312"/>
          <w:b/>
          <w:bCs/>
          <w:color w:val="auto"/>
          <w:sz w:val="32"/>
          <w:szCs w:val="32"/>
          <w:lang w:eastAsia="zh-CN"/>
        </w:rPr>
        <w:t>其他行政事业单位医疗支出</w:t>
      </w:r>
      <w:r>
        <w:rPr>
          <w:rFonts w:hint="eastAsia" w:ascii="仿宋_GB2312" w:hAnsi="仿宋_GB2312" w:eastAsia="仿宋_GB2312" w:cs="仿宋_GB2312"/>
          <w:b/>
          <w:bCs/>
          <w:color w:val="auto"/>
          <w:sz w:val="32"/>
          <w:szCs w:val="32"/>
        </w:rPr>
        <w:t>（项）</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1.04</w:t>
      </w:r>
      <w:r>
        <w:rPr>
          <w:rFonts w:hint="eastAsia" w:ascii="仿宋_GB2312" w:hAnsi="仿宋_GB2312" w:eastAsia="仿宋_GB2312" w:cs="仿宋_GB2312"/>
          <w:color w:val="auto"/>
          <w:sz w:val="32"/>
          <w:szCs w:val="32"/>
        </w:rPr>
        <w:t>万元，完成预算100%。</w:t>
      </w:r>
    </w:p>
    <w:p w14:paraId="6F917EF1">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10</w:t>
      </w:r>
      <w:r>
        <w:rPr>
          <w:rFonts w:hint="eastAsia" w:ascii="仿宋_GB2312" w:hAnsi="仿宋_GB2312" w:eastAsia="仿宋_GB2312" w:cs="仿宋_GB2312"/>
          <w:b/>
          <w:bCs/>
          <w:color w:val="auto"/>
          <w:sz w:val="32"/>
          <w:szCs w:val="32"/>
        </w:rPr>
        <w:t>.交通运输支出（类）公路水路运输（款）行政运行（项）</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429.08</w:t>
      </w:r>
      <w:r>
        <w:rPr>
          <w:rFonts w:hint="eastAsia" w:ascii="仿宋_GB2312" w:hAnsi="仿宋_GB2312" w:eastAsia="仿宋_GB2312" w:cs="仿宋_GB2312"/>
          <w:color w:val="auto"/>
          <w:sz w:val="32"/>
          <w:szCs w:val="32"/>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p>
    <w:p w14:paraId="51E5A49D">
      <w:pPr>
        <w:ind w:firstLine="643" w:firstLineChars="200"/>
        <w:rPr>
          <w:rFonts w:hint="eastAsia"/>
        </w:rPr>
      </w:pPr>
      <w:r>
        <w:rPr>
          <w:rFonts w:hint="eastAsia" w:ascii="仿宋_GB2312" w:hAnsi="仿宋_GB2312" w:eastAsia="仿宋_GB2312" w:cs="仿宋_GB2312"/>
          <w:b/>
          <w:bCs/>
          <w:color w:val="auto"/>
          <w:sz w:val="32"/>
          <w:szCs w:val="32"/>
          <w:lang w:val="en-US" w:eastAsia="zh-CN"/>
        </w:rPr>
        <w:t>11</w:t>
      </w:r>
      <w:r>
        <w:rPr>
          <w:rFonts w:hint="eastAsia" w:ascii="仿宋_GB2312" w:hAnsi="仿宋_GB2312" w:eastAsia="仿宋_GB2312" w:cs="仿宋_GB2312"/>
          <w:b/>
          <w:bCs/>
          <w:color w:val="auto"/>
          <w:sz w:val="32"/>
          <w:szCs w:val="32"/>
        </w:rPr>
        <w:t>.交通运输支出（类）公路水路运输（款）</w:t>
      </w:r>
      <w:r>
        <w:rPr>
          <w:rFonts w:hint="eastAsia" w:ascii="仿宋_GB2312" w:hAnsi="仿宋_GB2312" w:eastAsia="仿宋_GB2312" w:cs="仿宋_GB2312"/>
          <w:b/>
          <w:bCs/>
          <w:color w:val="auto"/>
          <w:sz w:val="32"/>
          <w:szCs w:val="32"/>
          <w:lang w:eastAsia="zh-CN"/>
        </w:rPr>
        <w:t>一般行政管理事务</w:t>
      </w:r>
      <w:r>
        <w:rPr>
          <w:rFonts w:hint="eastAsia" w:ascii="仿宋_GB2312" w:hAnsi="仿宋_GB2312" w:eastAsia="仿宋_GB2312" w:cs="仿宋_GB2312"/>
          <w:b/>
          <w:bCs/>
          <w:color w:val="auto"/>
          <w:sz w:val="32"/>
          <w:szCs w:val="32"/>
        </w:rPr>
        <w:t>（项）</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p>
    <w:p w14:paraId="1666D0A2">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12</w:t>
      </w:r>
      <w:r>
        <w:rPr>
          <w:rFonts w:hint="eastAsia" w:ascii="仿宋_GB2312" w:hAnsi="仿宋_GB2312" w:eastAsia="仿宋_GB2312" w:cs="仿宋_GB2312"/>
          <w:b/>
          <w:bCs/>
          <w:color w:val="auto"/>
          <w:sz w:val="32"/>
          <w:szCs w:val="32"/>
        </w:rPr>
        <w:t>.交通运输支出（类）公路水路运输（款）</w:t>
      </w:r>
      <w:r>
        <w:rPr>
          <w:rFonts w:hint="eastAsia" w:ascii="仿宋_GB2312" w:hAnsi="仿宋_GB2312" w:eastAsia="仿宋_GB2312" w:cs="仿宋_GB2312"/>
          <w:b/>
          <w:bCs/>
          <w:color w:val="auto"/>
          <w:sz w:val="32"/>
          <w:szCs w:val="32"/>
          <w:lang w:val="en-US" w:eastAsia="zh-CN"/>
        </w:rPr>
        <w:t>机关服务</w:t>
      </w:r>
      <w:r>
        <w:rPr>
          <w:rFonts w:hint="eastAsia" w:ascii="仿宋_GB2312" w:hAnsi="仿宋_GB2312" w:eastAsia="仿宋_GB2312" w:cs="仿宋_GB2312"/>
          <w:b/>
          <w:bCs/>
          <w:color w:val="auto"/>
          <w:sz w:val="32"/>
          <w:szCs w:val="32"/>
        </w:rPr>
        <w:t>（项）</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112.55</w:t>
      </w:r>
      <w:r>
        <w:rPr>
          <w:rFonts w:hint="eastAsia" w:ascii="仿宋_GB2312" w:hAnsi="仿宋_GB2312" w:eastAsia="仿宋_GB2312" w:cs="仿宋_GB2312"/>
          <w:color w:val="auto"/>
          <w:sz w:val="32"/>
          <w:szCs w:val="32"/>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p>
    <w:p w14:paraId="7B50C7C7">
      <w:pPr>
        <w:ind w:firstLine="643" w:firstLineChars="200"/>
        <w:rPr>
          <w:rFonts w:hint="default"/>
          <w:lang w:val="en-US" w:eastAsia="zh-CN"/>
        </w:rPr>
      </w:pPr>
      <w:r>
        <w:rPr>
          <w:rFonts w:hint="eastAsia" w:ascii="仿宋_GB2312" w:hAnsi="仿宋_GB2312" w:eastAsia="仿宋_GB2312" w:cs="仿宋_GB2312"/>
          <w:b/>
          <w:bCs/>
          <w:color w:val="auto"/>
          <w:sz w:val="32"/>
          <w:szCs w:val="32"/>
          <w:lang w:val="en-US" w:eastAsia="zh-CN"/>
        </w:rPr>
        <w:t>13</w:t>
      </w:r>
      <w:r>
        <w:rPr>
          <w:rFonts w:hint="eastAsia" w:ascii="仿宋_GB2312" w:hAnsi="仿宋_GB2312" w:eastAsia="仿宋_GB2312" w:cs="仿宋_GB2312"/>
          <w:b/>
          <w:bCs/>
          <w:color w:val="auto"/>
          <w:sz w:val="32"/>
          <w:szCs w:val="32"/>
        </w:rPr>
        <w:t>.交通运输支出（类）公路水路运输（款）</w:t>
      </w:r>
      <w:r>
        <w:rPr>
          <w:rFonts w:hint="eastAsia" w:ascii="仿宋_GB2312" w:hAnsi="仿宋_GB2312" w:eastAsia="仿宋_GB2312" w:cs="仿宋_GB2312"/>
          <w:b/>
          <w:bCs/>
          <w:color w:val="auto"/>
          <w:sz w:val="32"/>
          <w:szCs w:val="32"/>
          <w:lang w:val="en-US" w:eastAsia="zh-CN"/>
        </w:rPr>
        <w:t>其他公路水路运输支出</w:t>
      </w:r>
      <w:r>
        <w:rPr>
          <w:rFonts w:hint="eastAsia" w:ascii="仿宋_GB2312" w:hAnsi="仿宋_GB2312" w:eastAsia="仿宋_GB2312" w:cs="仿宋_GB2312"/>
          <w:b/>
          <w:bCs/>
          <w:color w:val="auto"/>
          <w:sz w:val="32"/>
          <w:szCs w:val="32"/>
        </w:rPr>
        <w:t>（项）</w:t>
      </w:r>
      <w:r>
        <w:rPr>
          <w:rFonts w:hint="eastAsia" w:ascii="仿宋_GB2312" w:hAnsi="仿宋_GB2312" w:eastAsia="仿宋_GB2312" w:cs="仿宋_GB2312"/>
          <w:color w:val="auto"/>
          <w:sz w:val="32"/>
          <w:szCs w:val="32"/>
        </w:rPr>
        <w:t>:支出决算为</w:t>
      </w:r>
      <w:r>
        <w:rPr>
          <w:rFonts w:hint="eastAsia" w:ascii="仿宋_GB2312" w:hAnsi="仿宋_GB2312" w:eastAsia="仿宋_GB2312" w:cs="仿宋_GB2312"/>
          <w:color w:val="auto"/>
          <w:sz w:val="32"/>
          <w:szCs w:val="32"/>
          <w:lang w:val="en-US" w:eastAsia="zh-CN"/>
        </w:rPr>
        <w:t>2193</w:t>
      </w:r>
      <w:r>
        <w:rPr>
          <w:rFonts w:hint="eastAsia" w:ascii="仿宋_GB2312" w:hAnsi="仿宋_GB2312" w:eastAsia="仿宋_GB2312" w:cs="仿宋_GB2312"/>
          <w:color w:val="auto"/>
          <w:sz w:val="32"/>
          <w:szCs w:val="32"/>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p>
    <w:p w14:paraId="60D17F95">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14</w:t>
      </w:r>
      <w:r>
        <w:rPr>
          <w:rFonts w:hint="eastAsia" w:ascii="仿宋_GB2312" w:hAnsi="仿宋_GB2312" w:eastAsia="仿宋_GB2312" w:cs="仿宋_GB2312"/>
          <w:b/>
          <w:bCs/>
          <w:sz w:val="32"/>
          <w:szCs w:val="32"/>
        </w:rPr>
        <w:t>.住房保障支出（类）住房改革支出（款）住房公积金（项）</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49.56</w:t>
      </w:r>
      <w:r>
        <w:rPr>
          <w:rFonts w:hint="eastAsia" w:ascii="仿宋_GB2312" w:hAnsi="仿宋_GB2312" w:eastAsia="仿宋_GB2312" w:cs="仿宋_GB2312"/>
          <w:sz w:val="32"/>
          <w:szCs w:val="32"/>
        </w:rPr>
        <w:t>万元，完成预算100%。</w:t>
      </w:r>
    </w:p>
    <w:p w14:paraId="4C469480">
      <w:pPr>
        <w:pStyle w:val="2"/>
      </w:pPr>
    </w:p>
    <w:p w14:paraId="6DAACFF7">
      <w:pPr>
        <w:pStyle w:val="4"/>
        <w:keepNext/>
        <w:keepLines/>
        <w:pageBreakBefore w:val="0"/>
        <w:widowControl w:val="0"/>
        <w:numPr>
          <w:ilvl w:val="0"/>
          <w:numId w:val="3"/>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43" w:name="_Toc15396608"/>
      <w:bookmarkStart w:id="44" w:name="_Toc15377214"/>
      <w:bookmarkStart w:id="45" w:name="_Toc31356"/>
      <w:r>
        <w:rPr>
          <w:rFonts w:hint="eastAsia" w:ascii="黑体" w:hAnsi="黑体" w:eastAsia="黑体" w:cs="黑体"/>
          <w:b w:val="0"/>
          <w:bCs w:val="0"/>
          <w:lang w:val="en-US" w:eastAsia="zh-CN"/>
        </w:rPr>
        <w:t>一般公共预算财政拨款基本支出决算情况说明</w:t>
      </w:r>
      <w:bookmarkEnd w:id="43"/>
      <w:bookmarkEnd w:id="44"/>
      <w:bookmarkEnd w:id="45"/>
      <w:r>
        <w:rPr>
          <w:rFonts w:hint="eastAsia" w:ascii="黑体" w:hAnsi="黑体" w:eastAsia="黑体" w:cs="黑体"/>
          <w:b w:val="0"/>
          <w:bCs w:val="0"/>
        </w:rPr>
        <w:tab/>
      </w:r>
    </w:p>
    <w:p w14:paraId="1BD89CA2">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779.24</w:t>
      </w:r>
      <w:r>
        <w:rPr>
          <w:rFonts w:hint="eastAsia" w:eastAsia="仿宋_GB2312" w:cs="仿宋_GB2312"/>
          <w:sz w:val="32"/>
          <w:szCs w:val="32"/>
        </w:rPr>
        <w:t>万元，其中：</w:t>
      </w:r>
    </w:p>
    <w:p w14:paraId="60A099C4">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704.64</w:t>
      </w:r>
      <w:r>
        <w:rPr>
          <w:rFonts w:hint="eastAsia" w:eastAsia="仿宋_GB2312" w:cs="仿宋_GB2312"/>
          <w:sz w:val="32"/>
          <w:szCs w:val="32"/>
        </w:rPr>
        <w:t>万元，主要包括：基本工资、津贴补贴、奖金、伙食补助费、绩效工资、机关事业单位基本养老保险缴费、职业年金缴费、其他社会保障缴费、其他工资福利支出、退休费、抚恤金、生活补助、医疗费补助、奖励金、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74.6</w:t>
      </w:r>
      <w:r>
        <w:rPr>
          <w:rFonts w:hint="eastAsia" w:eastAsia="仿宋_GB2312" w:cs="仿宋_GB2312"/>
          <w:sz w:val="32"/>
          <w:szCs w:val="32"/>
        </w:rPr>
        <w:t>万元，主要包括：办公费、水费、电费、邮电费、物业管理费、差旅费、维修（护）费、公务接待费、劳务费、委托业务费、工会经费、福利费、公务用车运行维护费、其他交通费、其他商品和服务支出、办公设备购置、专用设备购置。</w:t>
      </w:r>
    </w:p>
    <w:p w14:paraId="00C1CB81">
      <w:pPr>
        <w:spacing w:line="600" w:lineRule="exact"/>
        <w:ind w:firstLine="640"/>
        <w:rPr>
          <w:rFonts w:eastAsia="仿宋_GB2312" w:cs="仿宋_GB2312"/>
          <w:sz w:val="32"/>
          <w:szCs w:val="32"/>
        </w:rPr>
      </w:pPr>
    </w:p>
    <w:p w14:paraId="7DD6D66E">
      <w:pPr>
        <w:pStyle w:val="4"/>
        <w:keepNext/>
        <w:keepLines/>
        <w:pageBreakBefore w:val="0"/>
        <w:widowControl w:val="0"/>
        <w:numPr>
          <w:ilvl w:val="0"/>
          <w:numId w:val="3"/>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46" w:name="_Toc15377215"/>
      <w:bookmarkStart w:id="47" w:name="_Toc28495"/>
      <w:bookmarkStart w:id="48" w:name="_Toc15396609"/>
      <w:r>
        <w:rPr>
          <w:rFonts w:hint="eastAsia" w:ascii="黑体" w:hAnsi="黑体" w:eastAsia="黑体" w:cs="黑体"/>
          <w:b w:val="0"/>
          <w:bCs w:val="0"/>
        </w:rPr>
        <w:t>财政拨款“三公”经费支出决算情况说明</w:t>
      </w:r>
      <w:bookmarkEnd w:id="46"/>
      <w:bookmarkEnd w:id="47"/>
      <w:bookmarkEnd w:id="48"/>
    </w:p>
    <w:p w14:paraId="772A4476">
      <w:pPr>
        <w:spacing w:line="600" w:lineRule="exact"/>
        <w:ind w:firstLine="643" w:firstLineChars="200"/>
        <w:outlineLvl w:val="2"/>
        <w:rPr>
          <w:rFonts w:eastAsia="楷体_GB2312" w:cs="楷体_GB2312"/>
          <w:b/>
          <w:sz w:val="32"/>
          <w:szCs w:val="32"/>
        </w:rPr>
      </w:pPr>
      <w:bookmarkStart w:id="49" w:name="_Toc15377216"/>
      <w:r>
        <w:rPr>
          <w:rFonts w:hint="eastAsia" w:eastAsia="楷体_GB2312" w:cs="楷体_GB2312"/>
          <w:b/>
          <w:sz w:val="32"/>
          <w:szCs w:val="32"/>
        </w:rPr>
        <w:t>（一）财政拨款“三公”经费支出决算总体情况说明</w:t>
      </w:r>
      <w:bookmarkEnd w:id="49"/>
    </w:p>
    <w:p w14:paraId="5EF6A8D8">
      <w:pPr>
        <w:spacing w:line="600" w:lineRule="exact"/>
        <w:ind w:firstLine="640"/>
        <w:rPr>
          <w:rFonts w:ascii="仿宋" w:hAnsi="仿宋" w:eastAsia="仿宋"/>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3.89</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%，较上年度减少</w:t>
      </w:r>
      <w:r>
        <w:rPr>
          <w:rFonts w:hint="eastAsia" w:eastAsia="仿宋_GB2312" w:cs="仿宋_GB2312"/>
          <w:sz w:val="32"/>
          <w:szCs w:val="32"/>
          <w:lang w:val="en-US" w:eastAsia="zh-CN"/>
        </w:rPr>
        <w:t>0.04</w:t>
      </w:r>
      <w:r>
        <w:rPr>
          <w:rFonts w:hint="eastAsia" w:eastAsia="仿宋_GB2312" w:cs="仿宋_GB2312"/>
          <w:sz w:val="32"/>
          <w:szCs w:val="32"/>
        </w:rPr>
        <w:t>万元，下降</w:t>
      </w:r>
      <w:r>
        <w:rPr>
          <w:rFonts w:hint="eastAsia" w:eastAsia="仿宋_GB2312" w:cs="仿宋_GB2312"/>
          <w:sz w:val="32"/>
          <w:szCs w:val="32"/>
          <w:lang w:val="en-US" w:eastAsia="zh-CN"/>
        </w:rPr>
        <w:t>1.1</w:t>
      </w:r>
      <w:r>
        <w:rPr>
          <w:rFonts w:hint="eastAsia" w:eastAsia="仿宋_GB2312" w:cs="仿宋_GB2312"/>
          <w:sz w:val="32"/>
          <w:szCs w:val="32"/>
        </w:rPr>
        <w:t>%。</w:t>
      </w:r>
      <w:r>
        <w:rPr>
          <w:rFonts w:hint="eastAsia" w:ascii="仿宋" w:hAnsi="仿宋" w:eastAsia="仿宋"/>
          <w:sz w:val="32"/>
          <w:szCs w:val="32"/>
        </w:rPr>
        <w:t>决算数</w:t>
      </w:r>
      <w:r>
        <w:rPr>
          <w:rFonts w:hint="eastAsia" w:ascii="仿宋" w:hAnsi="仿宋" w:eastAsia="仿宋"/>
          <w:sz w:val="32"/>
          <w:szCs w:val="32"/>
          <w:lang w:eastAsia="zh-CN"/>
        </w:rPr>
        <w:t>与</w:t>
      </w:r>
      <w:r>
        <w:rPr>
          <w:rFonts w:hint="eastAsia" w:ascii="仿宋" w:hAnsi="仿宋" w:eastAsia="仿宋"/>
          <w:sz w:val="32"/>
          <w:szCs w:val="32"/>
        </w:rPr>
        <w:t>预算数</w:t>
      </w:r>
      <w:r>
        <w:rPr>
          <w:rFonts w:hint="eastAsia" w:ascii="仿宋" w:hAnsi="仿宋" w:eastAsia="仿宋"/>
          <w:sz w:val="32"/>
          <w:szCs w:val="32"/>
          <w:lang w:eastAsia="zh-CN"/>
        </w:rPr>
        <w:t>基本持平</w:t>
      </w:r>
      <w:r>
        <w:rPr>
          <w:rFonts w:hint="eastAsia" w:ascii="仿宋" w:hAnsi="仿宋" w:eastAsia="仿宋"/>
          <w:sz w:val="32"/>
          <w:szCs w:val="32"/>
        </w:rPr>
        <w:t>。</w:t>
      </w:r>
    </w:p>
    <w:p w14:paraId="260A045B">
      <w:pPr>
        <w:spacing w:line="600" w:lineRule="exact"/>
        <w:ind w:firstLine="643" w:firstLineChars="200"/>
        <w:outlineLvl w:val="2"/>
        <w:rPr>
          <w:rFonts w:eastAsia="楷体_GB2312" w:cs="楷体_GB2312"/>
          <w:b/>
          <w:sz w:val="32"/>
          <w:szCs w:val="32"/>
        </w:rPr>
      </w:pPr>
      <w:bookmarkStart w:id="50" w:name="_Toc15377217"/>
      <w:r>
        <w:rPr>
          <w:rFonts w:hint="eastAsia" w:eastAsia="楷体_GB2312" w:cs="楷体_GB2312"/>
          <w:b/>
          <w:sz w:val="32"/>
          <w:szCs w:val="32"/>
        </w:rPr>
        <w:t>（二）财政拨款“三公”经费支出决算具体情况说明</w:t>
      </w:r>
      <w:bookmarkEnd w:id="50"/>
    </w:p>
    <w:p w14:paraId="6595F89B">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66432" behindDoc="1" locked="0" layoutInCell="1" allowOverlap="1">
            <wp:simplePos x="0" y="0"/>
            <wp:positionH relativeFrom="column">
              <wp:posOffset>534035</wp:posOffset>
            </wp:positionH>
            <wp:positionV relativeFrom="paragraph">
              <wp:posOffset>1812925</wp:posOffset>
            </wp:positionV>
            <wp:extent cx="4064000" cy="1998345"/>
            <wp:effectExtent l="5080" t="4445" r="64770" b="54610"/>
            <wp:wrapTight wrapText="bothSides">
              <wp:wrapPolygon>
                <wp:start x="-27" y="-48"/>
                <wp:lineTo x="-27" y="21367"/>
                <wp:lineTo x="21539" y="21367"/>
                <wp:lineTo x="21539" y="-48"/>
                <wp:lineTo x="-27" y="-48"/>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3.78</w:t>
      </w:r>
      <w:r>
        <w:rPr>
          <w:rFonts w:hint="eastAsia" w:eastAsia="仿宋_GB2312" w:cs="仿宋_GB2312"/>
          <w:sz w:val="32"/>
          <w:szCs w:val="32"/>
        </w:rPr>
        <w:t>万元，占</w:t>
      </w:r>
      <w:r>
        <w:rPr>
          <w:rFonts w:hint="eastAsia" w:eastAsia="仿宋_GB2312" w:cs="仿宋_GB2312"/>
          <w:sz w:val="32"/>
          <w:szCs w:val="32"/>
          <w:lang w:val="en-US" w:eastAsia="zh-CN"/>
        </w:rPr>
        <w:t>97.2</w:t>
      </w:r>
      <w:r>
        <w:rPr>
          <w:rFonts w:hint="eastAsia" w:eastAsia="仿宋_GB2312" w:cs="仿宋_GB2312"/>
          <w:sz w:val="32"/>
          <w:szCs w:val="32"/>
        </w:rPr>
        <w:t>%；公务接待费支出决算</w:t>
      </w:r>
      <w:r>
        <w:rPr>
          <w:rFonts w:hint="eastAsia" w:eastAsia="仿宋_GB2312" w:cs="仿宋_GB2312"/>
          <w:sz w:val="32"/>
          <w:szCs w:val="32"/>
          <w:lang w:val="en-US" w:eastAsia="zh-CN"/>
        </w:rPr>
        <w:t>0.1</w:t>
      </w:r>
      <w:r>
        <w:rPr>
          <w:rFonts w:hint="eastAsia" w:eastAsia="仿宋_GB2312" w:cs="仿宋_GB2312"/>
          <w:sz w:val="32"/>
          <w:szCs w:val="32"/>
        </w:rPr>
        <w:t>万元，占</w:t>
      </w:r>
      <w:r>
        <w:rPr>
          <w:rFonts w:hint="eastAsia" w:eastAsia="仿宋_GB2312" w:cs="仿宋_GB2312"/>
          <w:sz w:val="32"/>
          <w:szCs w:val="32"/>
          <w:lang w:val="en-US" w:eastAsia="zh-CN"/>
        </w:rPr>
        <w:t>2.8</w:t>
      </w:r>
      <w:r>
        <w:rPr>
          <w:rFonts w:hint="eastAsia" w:eastAsia="仿宋_GB2312" w:cs="仿宋_GB2312"/>
          <w:sz w:val="32"/>
          <w:szCs w:val="32"/>
        </w:rPr>
        <w:t>%。具体情况如下：</w:t>
      </w:r>
    </w:p>
    <w:p w14:paraId="0C7FE16D">
      <w:pPr>
        <w:spacing w:line="600" w:lineRule="exact"/>
        <w:ind w:firstLine="640"/>
      </w:pPr>
      <w:r>
        <w:rPr>
          <w:rFonts w:hint="eastAsia" w:eastAsia="仿宋_GB2312" w:cs="仿宋_GB2312"/>
          <w:sz w:val="32"/>
          <w:szCs w:val="32"/>
        </w:rPr>
        <w:t>（图7：财政拨款“三公”经费支出结构）</w:t>
      </w:r>
    </w:p>
    <w:p w14:paraId="237EC73B">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人。因公出国（境）支出决算比上年度增加/减少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3C792E63">
      <w:pPr>
        <w:spacing w:line="600" w:lineRule="exact"/>
        <w:ind w:firstLine="640"/>
        <w:rPr>
          <w:rFonts w:ascii="仿宋" w:hAnsi="仿宋" w:eastAsia="仿宋"/>
          <w:sz w:val="32"/>
          <w:szCs w:val="32"/>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3.78</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w:t>
      </w:r>
      <w:r>
        <w:rPr>
          <w:rFonts w:hint="eastAsia" w:eastAsia="仿宋_GB2312" w:cs="仿宋_GB2312"/>
          <w:sz w:val="32"/>
          <w:szCs w:val="32"/>
          <w:lang w:eastAsia="zh-CN"/>
        </w:rPr>
        <w:t>增加</w:t>
      </w:r>
      <w:r>
        <w:rPr>
          <w:rFonts w:hint="eastAsia" w:eastAsia="仿宋_GB2312" w:cs="仿宋_GB2312"/>
          <w:sz w:val="32"/>
          <w:szCs w:val="32"/>
          <w:lang w:val="en-US" w:eastAsia="zh-CN"/>
        </w:rPr>
        <w:t>0.28</w:t>
      </w:r>
      <w:r>
        <w:rPr>
          <w:rFonts w:hint="eastAsia" w:eastAsia="仿宋_GB2312" w:cs="仿宋_GB2312"/>
          <w:sz w:val="32"/>
          <w:szCs w:val="32"/>
        </w:rPr>
        <w:t>万元，</w:t>
      </w:r>
      <w:r>
        <w:rPr>
          <w:rFonts w:hint="eastAsia" w:eastAsia="仿宋_GB2312" w:cs="仿宋_GB2312"/>
          <w:sz w:val="32"/>
          <w:szCs w:val="32"/>
          <w:lang w:eastAsia="zh-CN"/>
        </w:rPr>
        <w:t>增加</w:t>
      </w:r>
      <w:r>
        <w:rPr>
          <w:rFonts w:hint="eastAsia" w:eastAsia="仿宋_GB2312" w:cs="仿宋_GB2312"/>
          <w:sz w:val="32"/>
          <w:szCs w:val="32"/>
          <w:lang w:val="en-US" w:eastAsia="zh-CN"/>
        </w:rPr>
        <w:t>8.1</w:t>
      </w:r>
      <w:r>
        <w:rPr>
          <w:rFonts w:hint="eastAsia" w:eastAsia="仿宋_GB2312" w:cs="仿宋_GB2312"/>
          <w:sz w:val="32"/>
          <w:szCs w:val="32"/>
        </w:rPr>
        <w:t>%。</w:t>
      </w:r>
      <w:r>
        <w:rPr>
          <w:rFonts w:hint="eastAsia" w:ascii="仿宋" w:hAnsi="仿宋" w:eastAsia="仿宋"/>
          <w:sz w:val="32"/>
          <w:szCs w:val="32"/>
        </w:rPr>
        <w:t>决算数</w:t>
      </w:r>
      <w:r>
        <w:rPr>
          <w:rFonts w:hint="eastAsia" w:ascii="仿宋" w:hAnsi="仿宋" w:eastAsia="仿宋"/>
          <w:sz w:val="32"/>
          <w:szCs w:val="32"/>
          <w:lang w:eastAsia="zh-CN"/>
        </w:rPr>
        <w:t>与</w:t>
      </w:r>
      <w:r>
        <w:rPr>
          <w:rFonts w:hint="eastAsia" w:ascii="仿宋" w:hAnsi="仿宋" w:eastAsia="仿宋"/>
          <w:sz w:val="32"/>
          <w:szCs w:val="32"/>
        </w:rPr>
        <w:t>预算数</w:t>
      </w:r>
      <w:r>
        <w:rPr>
          <w:rFonts w:hint="eastAsia" w:ascii="仿宋" w:hAnsi="仿宋" w:eastAsia="仿宋"/>
          <w:sz w:val="32"/>
          <w:szCs w:val="32"/>
          <w:lang w:eastAsia="zh-CN"/>
        </w:rPr>
        <w:t>基本持平</w:t>
      </w:r>
      <w:r>
        <w:rPr>
          <w:rFonts w:hint="eastAsia" w:ascii="仿宋" w:hAnsi="仿宋" w:eastAsia="仿宋"/>
          <w:sz w:val="32"/>
          <w:szCs w:val="32"/>
        </w:rPr>
        <w:t>。</w:t>
      </w:r>
    </w:p>
    <w:p w14:paraId="792FD88F">
      <w:pPr>
        <w:spacing w:line="600" w:lineRule="exact"/>
        <w:ind w:firstLine="640"/>
        <w:rPr>
          <w:rFonts w:hint="eastAsia"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w:t>
      </w:r>
    </w:p>
    <w:p w14:paraId="719E2206">
      <w:pPr>
        <w:spacing w:line="600" w:lineRule="exact"/>
        <w:ind w:firstLine="640"/>
        <w:rPr>
          <w:rFonts w:eastAsia="仿宋_GB2312" w:cs="仿宋_GB2312"/>
          <w:sz w:val="32"/>
          <w:szCs w:val="32"/>
        </w:rPr>
      </w:pPr>
      <w:r>
        <w:rPr>
          <w:rFonts w:hint="eastAsia" w:eastAsia="仿宋_GB2312" w:cs="仿宋_GB2312"/>
          <w:sz w:val="32"/>
          <w:szCs w:val="32"/>
        </w:rPr>
        <w:t>截至2025年12月31日，单位共有公务用车</w:t>
      </w:r>
      <w:r>
        <w:rPr>
          <w:rFonts w:hint="eastAsia" w:eastAsia="仿宋_GB2312" w:cs="仿宋_GB2312"/>
          <w:sz w:val="32"/>
          <w:szCs w:val="32"/>
          <w:lang w:val="en-US" w:eastAsia="zh-CN"/>
        </w:rPr>
        <w:t>3</w:t>
      </w:r>
      <w:r>
        <w:rPr>
          <w:rFonts w:hint="eastAsia" w:eastAsia="仿宋_GB2312" w:cs="仿宋_GB2312"/>
          <w:sz w:val="32"/>
          <w:szCs w:val="32"/>
        </w:rPr>
        <w:t>辆，其中：</w:t>
      </w:r>
      <w:r>
        <w:rPr>
          <w:rFonts w:hint="eastAsia" w:ascii="仿宋_GB2312" w:eastAsia="仿宋_GB2312"/>
          <w:sz w:val="32"/>
          <w:szCs w:val="32"/>
        </w:rPr>
        <w:t>其中：</w:t>
      </w:r>
      <w:r>
        <w:rPr>
          <w:rFonts w:hint="eastAsia" w:ascii="仿宋_GB2312" w:eastAsia="仿宋_GB2312"/>
          <w:sz w:val="32"/>
          <w:szCs w:val="32"/>
          <w:lang w:eastAsia="zh-CN"/>
        </w:rPr>
        <w:t>其他用车</w:t>
      </w:r>
      <w:r>
        <w:rPr>
          <w:rFonts w:hint="eastAsia" w:ascii="仿宋_GB2312" w:eastAsia="仿宋_GB2312"/>
          <w:sz w:val="32"/>
          <w:szCs w:val="32"/>
          <w:lang w:val="en-US" w:eastAsia="zh-CN"/>
        </w:rPr>
        <w:t>3辆</w:t>
      </w:r>
      <w:r>
        <w:rPr>
          <w:rFonts w:hint="eastAsia" w:eastAsia="仿宋_GB2312" w:cs="仿宋_GB2312"/>
          <w:sz w:val="32"/>
          <w:szCs w:val="32"/>
        </w:rPr>
        <w:t>。</w:t>
      </w:r>
    </w:p>
    <w:p w14:paraId="1B78C6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3.78</w:t>
      </w:r>
      <w:r>
        <w:rPr>
          <w:rFonts w:hint="eastAsia" w:eastAsia="仿宋_GB2312" w:cs="仿宋_GB2312"/>
          <w:sz w:val="32"/>
          <w:szCs w:val="32"/>
        </w:rPr>
        <w:t>万元。</w:t>
      </w:r>
      <w:r>
        <w:rPr>
          <w:rFonts w:hint="eastAsia" w:ascii="Times New Roman" w:hAnsi="Times New Roman" w:eastAsia="仿宋_GB2312" w:cs="仿宋_GB2312"/>
          <w:color w:val="auto"/>
          <w:kern w:val="2"/>
          <w:sz w:val="32"/>
          <w:szCs w:val="32"/>
          <w:highlight w:val="none"/>
          <w:lang w:val="en-US" w:eastAsia="zh-CN" w:bidi="ar-SA"/>
        </w:rPr>
        <w:t>主要用于</w:t>
      </w:r>
      <w:r>
        <w:rPr>
          <w:rFonts w:hint="eastAsia" w:ascii="仿宋_GB2312" w:eastAsia="仿宋_GB2312"/>
          <w:sz w:val="32"/>
          <w:szCs w:val="32"/>
          <w:lang w:val="en-US" w:eastAsia="zh-CN"/>
        </w:rPr>
        <w:t>日常公路养护巡查</w:t>
      </w:r>
      <w:r>
        <w:rPr>
          <w:rFonts w:hint="eastAsia" w:ascii="仿宋_GB2312" w:eastAsia="仿宋_GB2312"/>
          <w:sz w:val="32"/>
          <w:szCs w:val="32"/>
        </w:rPr>
        <w:t>所需的公务用车</w:t>
      </w:r>
      <w:r>
        <w:rPr>
          <w:rFonts w:hint="eastAsia" w:ascii="Times New Roman" w:hAnsi="Times New Roman" w:eastAsia="仿宋_GB2312" w:cs="仿宋_GB2312"/>
          <w:color w:val="auto"/>
          <w:kern w:val="2"/>
          <w:sz w:val="32"/>
          <w:szCs w:val="32"/>
          <w:highlight w:val="none"/>
          <w:lang w:val="en-US" w:eastAsia="zh-CN" w:bidi="ar-SA"/>
        </w:rPr>
        <w:t>燃料费、维修费、过路过桥费、保险费等支出。</w:t>
      </w:r>
    </w:p>
    <w:p w14:paraId="07F0A3E8">
      <w:pPr>
        <w:numPr>
          <w:ilvl w:val="0"/>
          <w:numId w:val="4"/>
        </w:numPr>
        <w:spacing w:line="600" w:lineRule="exact"/>
        <w:ind w:firstLine="640"/>
        <w:rPr>
          <w:rFonts w:hint="eastAsia" w:ascii="仿宋" w:hAnsi="仿宋" w:eastAsia="仿宋"/>
          <w:sz w:val="32"/>
          <w:szCs w:val="32"/>
        </w:rPr>
      </w:pPr>
      <w:r>
        <w:rPr>
          <w:rFonts w:hint="eastAsia" w:eastAsia="仿宋_GB2312" w:cs="仿宋_GB2312"/>
          <w:b/>
          <w:bCs/>
          <w:sz w:val="32"/>
          <w:szCs w:val="32"/>
        </w:rPr>
        <w:t>公务接待费支出</w:t>
      </w:r>
      <w:r>
        <w:rPr>
          <w:rFonts w:hint="eastAsia" w:eastAsia="仿宋_GB2312" w:cs="仿宋_GB2312"/>
          <w:b/>
          <w:bCs/>
          <w:sz w:val="32"/>
          <w:szCs w:val="32"/>
          <w:lang w:val="en-US" w:eastAsia="zh-CN"/>
        </w:rPr>
        <w:t>0.1</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公务接待费支出决算比上年度减少</w:t>
      </w:r>
      <w:r>
        <w:rPr>
          <w:rFonts w:hint="eastAsia" w:eastAsia="仿宋_GB2312" w:cs="仿宋_GB2312"/>
          <w:sz w:val="32"/>
          <w:szCs w:val="32"/>
          <w:lang w:val="en-US" w:eastAsia="zh-CN"/>
        </w:rPr>
        <w:t>0.33</w:t>
      </w:r>
      <w:r>
        <w:rPr>
          <w:rFonts w:hint="eastAsia" w:eastAsia="仿宋_GB2312" w:cs="仿宋_GB2312"/>
          <w:sz w:val="32"/>
          <w:szCs w:val="32"/>
        </w:rPr>
        <w:t>万元，下降</w:t>
      </w:r>
      <w:r>
        <w:rPr>
          <w:rFonts w:hint="eastAsia" w:eastAsia="仿宋_GB2312" w:cs="仿宋_GB2312"/>
          <w:sz w:val="32"/>
          <w:szCs w:val="32"/>
          <w:lang w:val="en-US" w:eastAsia="zh-CN"/>
        </w:rPr>
        <w:t>76.6</w:t>
      </w:r>
      <w:r>
        <w:rPr>
          <w:rFonts w:hint="eastAsia" w:eastAsia="仿宋_GB2312" w:cs="仿宋_GB2312"/>
          <w:sz w:val="32"/>
          <w:szCs w:val="32"/>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sz w:val="32"/>
          <w:szCs w:val="32"/>
          <w:lang w:eastAsia="zh-CN"/>
        </w:rPr>
        <w:t>单位厉行节约，减少三公经费支出</w:t>
      </w:r>
      <w:r>
        <w:rPr>
          <w:rFonts w:hint="eastAsia" w:eastAsia="仿宋_GB2312" w:cs="仿宋_GB2312"/>
          <w:sz w:val="32"/>
          <w:szCs w:val="32"/>
        </w:rPr>
        <w:t>。</w:t>
      </w:r>
    </w:p>
    <w:p w14:paraId="64CCEF82">
      <w:pPr>
        <w:numPr>
          <w:ilvl w:val="0"/>
          <w:numId w:val="0"/>
        </w:numPr>
        <w:spacing w:line="600" w:lineRule="exact"/>
        <w:ind w:firstLine="640" w:firstLineChars="200"/>
        <w:rPr>
          <w:rFonts w:eastAsia="仿宋_GB2312" w:cs="仿宋_GB2312"/>
          <w:color w:val="auto"/>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0.1</w:t>
      </w:r>
      <w:r>
        <w:rPr>
          <w:rFonts w:hint="eastAsia" w:eastAsia="仿宋_GB2312" w:cs="仿宋_GB2312"/>
          <w:sz w:val="32"/>
          <w:szCs w:val="32"/>
        </w:rPr>
        <w:t>万元，</w:t>
      </w:r>
      <w:r>
        <w:rPr>
          <w:rFonts w:hint="eastAsia" w:ascii="Times New Roman" w:hAnsi="Times New Roman" w:eastAsia="仿宋_GB2312" w:cs="仿宋_GB2312"/>
          <w:color w:val="auto"/>
          <w:kern w:val="2"/>
          <w:sz w:val="32"/>
          <w:szCs w:val="32"/>
          <w:highlight w:val="none"/>
          <w:lang w:val="en-US" w:eastAsia="zh-CN" w:bidi="ar-SA"/>
        </w:rPr>
        <w:t>主要用于执行公务、开展业务活动开支的交通费、住宿费、用餐费等。</w:t>
      </w:r>
      <w:r>
        <w:rPr>
          <w:rFonts w:hint="eastAsia" w:eastAsia="仿宋_GB2312" w:cs="仿宋_GB2312"/>
          <w:sz w:val="32"/>
          <w:szCs w:val="32"/>
        </w:rPr>
        <w:t>国内公务接待</w:t>
      </w:r>
      <w:r>
        <w:rPr>
          <w:rFonts w:hint="eastAsia" w:eastAsia="仿宋_GB2312" w:cs="仿宋_GB2312"/>
          <w:color w:val="auto"/>
          <w:sz w:val="32"/>
          <w:szCs w:val="32"/>
          <w:lang w:val="en-US" w:eastAsia="zh-CN"/>
        </w:rPr>
        <w:t>1</w:t>
      </w:r>
      <w:r>
        <w:rPr>
          <w:rFonts w:hint="eastAsia" w:eastAsia="仿宋_GB2312" w:cs="仿宋_GB2312"/>
          <w:color w:val="auto"/>
          <w:sz w:val="32"/>
          <w:szCs w:val="32"/>
        </w:rPr>
        <w:t>批次，</w:t>
      </w:r>
      <w:r>
        <w:rPr>
          <w:rFonts w:hint="eastAsia" w:eastAsia="仿宋_GB2312" w:cs="仿宋_GB2312"/>
          <w:color w:val="auto"/>
          <w:sz w:val="32"/>
          <w:szCs w:val="32"/>
          <w:lang w:val="en-US" w:eastAsia="zh-CN"/>
        </w:rPr>
        <w:t>7</w:t>
      </w:r>
      <w:r>
        <w:rPr>
          <w:rFonts w:hint="eastAsia" w:eastAsia="仿宋_GB2312" w:cs="仿宋_GB2312"/>
          <w:color w:val="auto"/>
          <w:sz w:val="32"/>
          <w:szCs w:val="32"/>
        </w:rPr>
        <w:t>人次，共计支出</w:t>
      </w:r>
      <w:r>
        <w:rPr>
          <w:rFonts w:hint="eastAsia" w:eastAsia="仿宋_GB2312" w:cs="仿宋_GB2312"/>
          <w:color w:val="auto"/>
          <w:sz w:val="32"/>
          <w:szCs w:val="32"/>
          <w:lang w:val="en-US" w:eastAsia="zh-CN"/>
        </w:rPr>
        <w:t>0.1</w:t>
      </w:r>
      <w:r>
        <w:rPr>
          <w:rFonts w:hint="eastAsia" w:eastAsia="仿宋_GB2312" w:cs="仿宋_GB2312"/>
          <w:color w:val="auto"/>
          <w:sz w:val="32"/>
          <w:szCs w:val="32"/>
        </w:rPr>
        <w:t>万元</w:t>
      </w:r>
      <w:bookmarkStart w:id="93" w:name="_GoBack"/>
      <w:bookmarkEnd w:id="93"/>
      <w:r>
        <w:rPr>
          <w:rFonts w:hint="eastAsia" w:eastAsia="仿宋_GB2312" w:cs="仿宋_GB2312"/>
          <w:color w:val="auto"/>
          <w:sz w:val="32"/>
          <w:szCs w:val="32"/>
        </w:rPr>
        <w:t>，具体内容包括：</w:t>
      </w:r>
      <w:r>
        <w:rPr>
          <w:rFonts w:hint="eastAsia" w:eastAsia="仿宋_GB2312" w:cs="仿宋_GB2312"/>
          <w:color w:val="auto"/>
          <w:sz w:val="32"/>
          <w:szCs w:val="32"/>
          <w:lang w:eastAsia="zh-CN"/>
        </w:rPr>
        <w:t>接待四川省公交运输运行调度中心来攀开展交通运输运行调度工作调研</w:t>
      </w:r>
      <w:r>
        <w:rPr>
          <w:rFonts w:hint="eastAsia" w:eastAsia="仿宋_GB2312" w:cs="仿宋_GB2312"/>
          <w:color w:val="auto"/>
          <w:sz w:val="32"/>
          <w:szCs w:val="32"/>
        </w:rPr>
        <w:t>。</w:t>
      </w:r>
    </w:p>
    <w:p w14:paraId="2B467876">
      <w:pPr>
        <w:spacing w:line="600" w:lineRule="exact"/>
        <w:ind w:firstLine="640"/>
        <w:rPr>
          <w:rFonts w:hint="eastAsia"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w:t>
      </w:r>
      <w:bookmarkStart w:id="51" w:name="_Toc15396610"/>
      <w:bookmarkStart w:id="52" w:name="_Toc15377218"/>
    </w:p>
    <w:p w14:paraId="02BF0A12">
      <w:pPr>
        <w:pStyle w:val="2"/>
      </w:pPr>
    </w:p>
    <w:p w14:paraId="10166244">
      <w:pPr>
        <w:pStyle w:val="4"/>
        <w:keepNext/>
        <w:keepLines/>
        <w:pageBreakBefore w:val="0"/>
        <w:widowControl w:val="0"/>
        <w:numPr>
          <w:ilvl w:val="0"/>
          <w:numId w:val="3"/>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53" w:name="_Toc128"/>
      <w:r>
        <w:rPr>
          <w:rFonts w:hint="eastAsia" w:ascii="黑体" w:hAnsi="黑体" w:eastAsia="黑体" w:cs="黑体"/>
          <w:b w:val="0"/>
          <w:bCs w:val="0"/>
        </w:rPr>
        <w:t>政府性基金预算支出决算情况说明</w:t>
      </w:r>
      <w:bookmarkEnd w:id="51"/>
      <w:bookmarkEnd w:id="52"/>
      <w:bookmarkEnd w:id="53"/>
    </w:p>
    <w:p w14:paraId="5BF060EF">
      <w:pPr>
        <w:spacing w:line="600" w:lineRule="exact"/>
        <w:ind w:firstLine="640"/>
        <w:rPr>
          <w:rFonts w:hint="eastAsia" w:eastAsia="仿宋_GB2312" w:cs="仿宋_GB2312"/>
          <w:color w:val="auto"/>
          <w:sz w:val="32"/>
          <w:szCs w:val="32"/>
          <w:lang w:eastAsia="zh-CN"/>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67.45</w:t>
      </w:r>
      <w:r>
        <w:rPr>
          <w:rFonts w:hint="eastAsia" w:eastAsia="仿宋_GB2312" w:cs="仿宋_GB2312"/>
          <w:sz w:val="32"/>
          <w:szCs w:val="32"/>
        </w:rPr>
        <w:t>万元，占本年支出合计的</w:t>
      </w:r>
      <w:r>
        <w:rPr>
          <w:rFonts w:hint="eastAsia" w:eastAsia="仿宋_GB2312" w:cs="仿宋_GB2312"/>
          <w:sz w:val="32"/>
          <w:szCs w:val="32"/>
          <w:lang w:val="en-US" w:eastAsia="zh-CN"/>
        </w:rPr>
        <w:t>2.22</w:t>
      </w:r>
      <w:r>
        <w:rPr>
          <w:rFonts w:hint="eastAsia" w:eastAsia="仿宋_GB2312" w:cs="仿宋_GB2312"/>
          <w:sz w:val="32"/>
          <w:szCs w:val="32"/>
        </w:rPr>
        <w:t>%。与上年度相比，政府性基金预算财政拨款支出增加</w:t>
      </w:r>
      <w:r>
        <w:rPr>
          <w:rFonts w:hint="eastAsia" w:eastAsia="仿宋_GB2312" w:cs="仿宋_GB2312"/>
          <w:sz w:val="32"/>
          <w:szCs w:val="32"/>
          <w:lang w:val="en-US" w:eastAsia="zh-CN"/>
        </w:rPr>
        <w:t>67.45</w:t>
      </w:r>
      <w:r>
        <w:rPr>
          <w:rFonts w:hint="eastAsia" w:eastAsia="仿宋_GB2312" w:cs="仿宋_GB2312"/>
          <w:sz w:val="32"/>
          <w:szCs w:val="32"/>
        </w:rPr>
        <w:t>万元，增长</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color w:val="auto"/>
          <w:sz w:val="32"/>
          <w:szCs w:val="32"/>
        </w:rPr>
        <w:t>。主要变动原因是</w:t>
      </w:r>
      <w:r>
        <w:rPr>
          <w:rFonts w:hint="eastAsia" w:eastAsia="仿宋_GB2312" w:cs="仿宋_GB2312"/>
          <w:color w:val="auto"/>
          <w:sz w:val="32"/>
          <w:szCs w:val="32"/>
          <w:lang w:eastAsia="zh-CN"/>
        </w:rPr>
        <w:t>农村公路养护项目</w:t>
      </w:r>
      <w:r>
        <w:rPr>
          <w:rFonts w:hint="eastAsia" w:eastAsia="仿宋_GB2312" w:cs="仿宋_GB2312"/>
          <w:color w:val="auto"/>
          <w:sz w:val="32"/>
          <w:szCs w:val="32"/>
          <w:lang w:val="en-US" w:eastAsia="zh-CN"/>
        </w:rPr>
        <w:t>2025年下达资金</w:t>
      </w:r>
      <w:r>
        <w:rPr>
          <w:rFonts w:hint="eastAsia" w:eastAsia="仿宋_GB2312" w:cs="仿宋_GB2312"/>
          <w:color w:val="auto"/>
          <w:sz w:val="32"/>
          <w:szCs w:val="32"/>
          <w:lang w:eastAsia="zh-CN"/>
        </w:rPr>
        <w:t>为政府性基金。</w:t>
      </w:r>
    </w:p>
    <w:p w14:paraId="14AF9E71">
      <w:pPr>
        <w:pStyle w:val="4"/>
        <w:keepNext/>
        <w:keepLines/>
        <w:pageBreakBefore w:val="0"/>
        <w:widowControl w:val="0"/>
        <w:numPr>
          <w:ilvl w:val="0"/>
          <w:numId w:val="3"/>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54" w:name="_Toc15377219"/>
      <w:bookmarkStart w:id="55" w:name="_Toc31075"/>
      <w:bookmarkStart w:id="56" w:name="_Toc15396611"/>
      <w:r>
        <w:rPr>
          <w:rFonts w:hint="eastAsia" w:ascii="黑体" w:hAnsi="黑体" w:eastAsia="黑体" w:cs="黑体"/>
          <w:b w:val="0"/>
          <w:bCs w:val="0"/>
        </w:rPr>
        <w:t>国有资本经营预算支出决算情况说明</w:t>
      </w:r>
      <w:bookmarkEnd w:id="54"/>
      <w:bookmarkEnd w:id="55"/>
      <w:bookmarkEnd w:id="56"/>
    </w:p>
    <w:p w14:paraId="1616BFDD">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w:t>
      </w:r>
    </w:p>
    <w:p w14:paraId="7E754A23">
      <w:pPr>
        <w:pStyle w:val="4"/>
        <w:keepNext/>
        <w:keepLines/>
        <w:pageBreakBefore w:val="0"/>
        <w:widowControl w:val="0"/>
        <w:numPr>
          <w:ilvl w:val="0"/>
          <w:numId w:val="3"/>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57" w:name="_Toc15377221"/>
      <w:bookmarkStart w:id="58" w:name="_Toc15396612"/>
      <w:bookmarkStart w:id="59" w:name="_Toc22275"/>
      <w:r>
        <w:rPr>
          <w:rFonts w:hint="eastAsia" w:ascii="黑体" w:hAnsi="黑体" w:eastAsia="黑体" w:cs="黑体"/>
          <w:b w:val="0"/>
          <w:bCs w:val="0"/>
        </w:rPr>
        <w:t>其他重要事项的情况说明</w:t>
      </w:r>
      <w:bookmarkEnd w:id="57"/>
      <w:bookmarkEnd w:id="58"/>
      <w:bookmarkEnd w:id="59"/>
    </w:p>
    <w:p w14:paraId="403741BD">
      <w:pPr>
        <w:spacing w:line="600" w:lineRule="exact"/>
        <w:ind w:firstLine="643" w:firstLineChars="200"/>
        <w:outlineLvl w:val="2"/>
        <w:rPr>
          <w:rFonts w:eastAsia="楷体_GB2312" w:cs="楷体_GB2312"/>
          <w:b/>
          <w:sz w:val="32"/>
          <w:szCs w:val="32"/>
        </w:rPr>
      </w:pPr>
      <w:bookmarkStart w:id="60" w:name="_Toc15377222"/>
      <w:r>
        <w:rPr>
          <w:rFonts w:hint="eastAsia" w:eastAsia="楷体_GB2312" w:cs="楷体_GB2312"/>
          <w:b/>
          <w:sz w:val="32"/>
          <w:szCs w:val="32"/>
        </w:rPr>
        <w:t>（一）机关运行经费支出情况</w:t>
      </w:r>
      <w:bookmarkEnd w:id="60"/>
    </w:p>
    <w:p w14:paraId="7B46E1F8">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w:t>
      </w:r>
      <w:r>
        <w:rPr>
          <w:rFonts w:hint="eastAsia" w:eastAsia="仿宋_GB2312" w:cs="仿宋_GB2312"/>
          <w:sz w:val="32"/>
          <w:szCs w:val="32"/>
          <w:lang w:eastAsia="zh-CN"/>
        </w:rPr>
        <w:t>本单位</w:t>
      </w:r>
      <w:r>
        <w:rPr>
          <w:rFonts w:hint="eastAsia" w:eastAsia="仿宋_GB2312" w:cs="仿宋_GB2312"/>
          <w:sz w:val="32"/>
          <w:szCs w:val="32"/>
        </w:rPr>
        <w:t>机关运行经费支出</w:t>
      </w:r>
      <w:r>
        <w:rPr>
          <w:rFonts w:hint="eastAsia" w:eastAsia="仿宋_GB2312" w:cs="仿宋_GB2312"/>
          <w:sz w:val="32"/>
          <w:szCs w:val="32"/>
          <w:lang w:val="en-US" w:eastAsia="zh-CN"/>
        </w:rPr>
        <w:t>74.6</w:t>
      </w:r>
      <w:r>
        <w:rPr>
          <w:rFonts w:hint="eastAsia" w:eastAsia="仿宋_GB2312" w:cs="仿宋_GB2312"/>
          <w:sz w:val="32"/>
          <w:szCs w:val="32"/>
        </w:rPr>
        <w:t>万元，比上年度减少</w:t>
      </w:r>
      <w:r>
        <w:rPr>
          <w:rFonts w:hint="eastAsia" w:eastAsia="仿宋_GB2312" w:cs="仿宋_GB2312"/>
          <w:sz w:val="32"/>
          <w:szCs w:val="32"/>
          <w:lang w:val="en-US" w:eastAsia="zh-CN"/>
        </w:rPr>
        <w:t>11.78</w:t>
      </w:r>
      <w:r>
        <w:rPr>
          <w:rFonts w:hint="eastAsia" w:eastAsia="仿宋_GB2312" w:cs="仿宋_GB2312"/>
          <w:sz w:val="32"/>
          <w:szCs w:val="32"/>
        </w:rPr>
        <w:t>万元，下降</w:t>
      </w:r>
      <w:r>
        <w:rPr>
          <w:rFonts w:hint="eastAsia" w:eastAsia="仿宋_GB2312" w:cs="仿宋_GB2312"/>
          <w:sz w:val="32"/>
          <w:szCs w:val="32"/>
          <w:lang w:val="en-US" w:eastAsia="zh-CN"/>
        </w:rPr>
        <w:t>13.6</w:t>
      </w:r>
      <w:r>
        <w:rPr>
          <w:rFonts w:hint="eastAsia" w:eastAsia="仿宋_GB2312" w:cs="仿宋_GB2312"/>
          <w:sz w:val="32"/>
          <w:szCs w:val="32"/>
        </w:rPr>
        <w:t>%。主要原因是</w:t>
      </w:r>
      <w:r>
        <w:rPr>
          <w:rFonts w:hint="eastAsia" w:eastAsia="仿宋_GB2312" w:cs="仿宋_GB2312"/>
          <w:sz w:val="32"/>
          <w:szCs w:val="32"/>
          <w:lang w:val="en-US" w:eastAsia="zh-CN"/>
        </w:rPr>
        <w:t>2025年一名职工去世以及单位缩减公用经费开支</w:t>
      </w:r>
      <w:r>
        <w:rPr>
          <w:rFonts w:hint="eastAsia" w:eastAsia="仿宋_GB2312" w:cs="仿宋_GB2312"/>
          <w:sz w:val="32"/>
          <w:szCs w:val="32"/>
          <w:lang w:eastAsia="zh-CN"/>
        </w:rPr>
        <w:t>。</w:t>
      </w:r>
    </w:p>
    <w:p w14:paraId="40F59EC5">
      <w:pPr>
        <w:spacing w:line="600" w:lineRule="exact"/>
        <w:ind w:firstLine="640"/>
        <w:rPr>
          <w:rFonts w:eastAsia="仿宋_GB2312" w:cs="仿宋_GB2312"/>
          <w:sz w:val="32"/>
          <w:szCs w:val="32"/>
        </w:rPr>
      </w:pPr>
    </w:p>
    <w:p w14:paraId="76D11042">
      <w:pPr>
        <w:spacing w:line="600" w:lineRule="exact"/>
        <w:ind w:firstLine="643" w:firstLineChars="200"/>
        <w:outlineLvl w:val="2"/>
        <w:rPr>
          <w:rFonts w:eastAsia="楷体_GB2312" w:cs="楷体_GB2312"/>
          <w:b/>
          <w:sz w:val="32"/>
          <w:szCs w:val="32"/>
        </w:rPr>
      </w:pPr>
      <w:bookmarkStart w:id="61" w:name="_Toc15377223"/>
      <w:r>
        <w:rPr>
          <w:rFonts w:hint="eastAsia" w:eastAsia="楷体_GB2312" w:cs="楷体_GB2312"/>
          <w:b/>
          <w:sz w:val="32"/>
          <w:szCs w:val="32"/>
        </w:rPr>
        <w:t>（二）政府采购支出情况</w:t>
      </w:r>
      <w:bookmarkEnd w:id="61"/>
    </w:p>
    <w:p w14:paraId="1CC3A773">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eastAsia="zh-CN"/>
        </w:rPr>
        <w:t>本单位</w:t>
      </w:r>
      <w:r>
        <w:rPr>
          <w:rFonts w:hint="eastAsia" w:eastAsia="仿宋_GB2312" w:cs="仿宋_GB2312"/>
          <w:sz w:val="32"/>
          <w:szCs w:val="32"/>
        </w:rPr>
        <w:t>政府采购支出总额</w:t>
      </w:r>
      <w:r>
        <w:rPr>
          <w:rFonts w:hint="eastAsia" w:eastAsia="仿宋_GB2312" w:cs="仿宋_GB2312"/>
          <w:sz w:val="32"/>
          <w:szCs w:val="32"/>
          <w:lang w:val="en-US" w:eastAsia="zh-CN"/>
        </w:rPr>
        <w:t>155.69</w:t>
      </w:r>
      <w:r>
        <w:rPr>
          <w:rFonts w:hint="eastAsia" w:eastAsia="仿宋_GB2312" w:cs="仿宋_GB2312"/>
          <w:sz w:val="32"/>
          <w:szCs w:val="32"/>
        </w:rPr>
        <w:t>万元，其中：政府采购货物支出</w:t>
      </w:r>
      <w:r>
        <w:rPr>
          <w:rFonts w:hint="eastAsia" w:eastAsia="仿宋_GB2312" w:cs="仿宋_GB2312"/>
          <w:sz w:val="32"/>
          <w:szCs w:val="32"/>
          <w:lang w:val="en-US" w:eastAsia="zh-CN"/>
        </w:rPr>
        <w:t>0</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155.69</w:t>
      </w:r>
      <w:r>
        <w:rPr>
          <w:rFonts w:hint="eastAsia" w:eastAsia="仿宋_GB2312" w:cs="仿宋_GB2312"/>
          <w:sz w:val="32"/>
          <w:szCs w:val="32"/>
        </w:rPr>
        <w:t>万元。主要用于</w:t>
      </w:r>
      <w:r>
        <w:rPr>
          <w:rFonts w:hint="eastAsia" w:eastAsia="仿宋_GB2312" w:cs="仿宋_GB2312"/>
          <w:sz w:val="32"/>
          <w:szCs w:val="32"/>
          <w:lang w:eastAsia="zh-CN"/>
        </w:rPr>
        <w:t>车辆运行框架协议采购、</w:t>
      </w:r>
      <w:r>
        <w:rPr>
          <w:rFonts w:hint="eastAsia" w:eastAsia="仿宋_GB2312" w:cs="仿宋_GB2312"/>
          <w:sz w:val="32"/>
          <w:szCs w:val="32"/>
          <w:lang w:val="en-US" w:eastAsia="zh-CN"/>
        </w:rPr>
        <w:t>2025年农村公路路况检测、攀枝花市普通干线公路智能运行网高位视频检测等工作</w:t>
      </w:r>
      <w:r>
        <w:rPr>
          <w:rFonts w:hint="eastAsia" w:eastAsia="仿宋_GB2312" w:cs="仿宋_GB2312"/>
          <w:sz w:val="32"/>
          <w:szCs w:val="32"/>
        </w:rPr>
        <w:t>。授予中小企业合同金额</w:t>
      </w:r>
      <w:r>
        <w:rPr>
          <w:rFonts w:hint="eastAsia" w:eastAsia="仿宋_GB2312" w:cs="仿宋_GB2312"/>
          <w:sz w:val="32"/>
          <w:szCs w:val="32"/>
          <w:lang w:val="en-US" w:eastAsia="zh-CN"/>
        </w:rPr>
        <w:t>70.05</w:t>
      </w:r>
      <w:r>
        <w:rPr>
          <w:rFonts w:hint="eastAsia" w:eastAsia="仿宋_GB2312" w:cs="仿宋_GB2312"/>
          <w:sz w:val="32"/>
          <w:szCs w:val="32"/>
        </w:rPr>
        <w:t>万元，占政府采购支出总额的</w:t>
      </w:r>
      <w:r>
        <w:rPr>
          <w:rFonts w:hint="eastAsia" w:eastAsia="仿宋_GB2312" w:cs="仿宋_GB2312"/>
          <w:sz w:val="32"/>
          <w:szCs w:val="32"/>
          <w:lang w:val="en-US" w:eastAsia="zh-CN"/>
        </w:rPr>
        <w:t>44.99</w:t>
      </w:r>
      <w:r>
        <w:rPr>
          <w:rFonts w:hint="eastAsia" w:eastAsia="仿宋_GB2312" w:cs="仿宋_GB2312"/>
          <w:sz w:val="32"/>
          <w:szCs w:val="32"/>
        </w:rPr>
        <w:t>%，其中：授予小微企业合同金额</w:t>
      </w:r>
      <w:r>
        <w:rPr>
          <w:rFonts w:hint="eastAsia" w:eastAsia="仿宋_GB2312" w:cs="仿宋_GB2312"/>
          <w:sz w:val="32"/>
          <w:szCs w:val="32"/>
          <w:lang w:val="en-US" w:eastAsia="zh-CN"/>
        </w:rPr>
        <w:t>2.3</w:t>
      </w:r>
      <w:r>
        <w:rPr>
          <w:rFonts w:hint="eastAsia" w:eastAsia="仿宋_GB2312" w:cs="仿宋_GB2312"/>
          <w:sz w:val="32"/>
          <w:szCs w:val="32"/>
        </w:rPr>
        <w:t>万元，占政府采购支出总额的</w:t>
      </w:r>
      <w:r>
        <w:rPr>
          <w:rFonts w:hint="eastAsia" w:eastAsia="仿宋_GB2312" w:cs="仿宋_GB2312"/>
          <w:sz w:val="32"/>
          <w:szCs w:val="32"/>
          <w:lang w:val="en-US" w:eastAsia="zh-CN"/>
        </w:rPr>
        <w:t>1.48</w:t>
      </w:r>
      <w:r>
        <w:rPr>
          <w:rFonts w:hint="eastAsia" w:eastAsia="仿宋_GB2312" w:cs="仿宋_GB2312"/>
          <w:sz w:val="32"/>
          <w:szCs w:val="32"/>
        </w:rPr>
        <w:t>%。</w:t>
      </w:r>
    </w:p>
    <w:p w14:paraId="2E57670D">
      <w:pPr>
        <w:spacing w:line="600" w:lineRule="exact"/>
        <w:ind w:firstLine="640"/>
        <w:rPr>
          <w:rFonts w:eastAsia="仿宋_GB2312" w:cs="仿宋_GB2312"/>
          <w:sz w:val="32"/>
          <w:szCs w:val="32"/>
        </w:rPr>
      </w:pPr>
    </w:p>
    <w:p w14:paraId="6B19A7FE">
      <w:pPr>
        <w:spacing w:line="600" w:lineRule="exact"/>
        <w:ind w:firstLine="643" w:firstLineChars="200"/>
        <w:outlineLvl w:val="2"/>
        <w:rPr>
          <w:rFonts w:eastAsia="楷体_GB2312" w:cs="楷体_GB2312"/>
          <w:b/>
          <w:sz w:val="32"/>
          <w:szCs w:val="32"/>
        </w:rPr>
      </w:pPr>
      <w:bookmarkStart w:id="62" w:name="_Toc15377224"/>
      <w:r>
        <w:rPr>
          <w:rFonts w:hint="eastAsia" w:eastAsia="楷体_GB2312" w:cs="楷体_GB2312"/>
          <w:b/>
          <w:sz w:val="32"/>
          <w:szCs w:val="32"/>
        </w:rPr>
        <w:t>（三）国有资产占有使用情况</w:t>
      </w:r>
      <w:bookmarkEnd w:id="62"/>
    </w:p>
    <w:p w14:paraId="6B2B0EAD">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eastAsia="仿宋_GB2312" w:cs="仿宋_GB2312"/>
          <w:sz w:val="32"/>
          <w:szCs w:val="32"/>
          <w:lang w:eastAsia="zh-CN"/>
        </w:rPr>
        <w:t>本单位</w:t>
      </w:r>
      <w:r>
        <w:rPr>
          <w:rFonts w:hint="eastAsia" w:eastAsia="仿宋_GB2312" w:cs="仿宋_GB2312"/>
          <w:sz w:val="32"/>
          <w:szCs w:val="32"/>
        </w:rPr>
        <w:t>共有车辆</w:t>
      </w:r>
      <w:r>
        <w:rPr>
          <w:rFonts w:hint="eastAsia" w:eastAsia="仿宋_GB2312" w:cs="仿宋_GB2312"/>
          <w:sz w:val="32"/>
          <w:szCs w:val="32"/>
          <w:lang w:val="en-US" w:eastAsia="zh-CN"/>
        </w:rPr>
        <w:t>3</w:t>
      </w:r>
      <w:r>
        <w:rPr>
          <w:rFonts w:hint="eastAsia" w:eastAsia="仿宋_GB2312" w:cs="仿宋_GB2312"/>
          <w:sz w:val="32"/>
          <w:szCs w:val="32"/>
        </w:rPr>
        <w:t>辆，其中：</w:t>
      </w:r>
      <w:r>
        <w:rPr>
          <w:rFonts w:hint="eastAsia" w:eastAsia="仿宋_GB2312" w:cs="仿宋_GB2312"/>
          <w:sz w:val="32"/>
          <w:szCs w:val="32"/>
          <w:lang w:eastAsia="zh-CN"/>
        </w:rPr>
        <w:t>其他用</w:t>
      </w:r>
      <w:r>
        <w:rPr>
          <w:rFonts w:hint="eastAsia" w:eastAsia="仿宋_GB2312" w:cs="仿宋_GB2312"/>
          <w:sz w:val="32"/>
          <w:szCs w:val="32"/>
        </w:rPr>
        <w:t>车</w:t>
      </w:r>
      <w:r>
        <w:rPr>
          <w:rFonts w:hint="eastAsia" w:eastAsia="仿宋_GB2312" w:cs="仿宋_GB2312"/>
          <w:sz w:val="32"/>
          <w:szCs w:val="32"/>
          <w:lang w:val="en-US" w:eastAsia="zh-CN"/>
        </w:rPr>
        <w:t>3</w:t>
      </w:r>
      <w:r>
        <w:rPr>
          <w:rFonts w:hint="eastAsia" w:eastAsia="仿宋_GB2312" w:cs="仿宋_GB2312"/>
          <w:sz w:val="32"/>
          <w:szCs w:val="32"/>
        </w:rPr>
        <w:t>辆。单价100万元（含）以上设备（不含车辆）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14:paraId="61F97124">
      <w:pPr>
        <w:spacing w:line="600" w:lineRule="exact"/>
        <w:ind w:firstLine="640"/>
        <w:rPr>
          <w:rFonts w:eastAsia="仿宋_GB2312" w:cs="仿宋_GB2312"/>
          <w:sz w:val="32"/>
          <w:szCs w:val="32"/>
        </w:rPr>
      </w:pPr>
    </w:p>
    <w:p w14:paraId="4F41CCCF">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2E6104C2">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eastAsia="zh-CN"/>
        </w:rPr>
        <w:t>本单位</w:t>
      </w:r>
      <w:r>
        <w:rPr>
          <w:rFonts w:hint="eastAsia" w:eastAsia="仿宋_GB2312" w:cs="仿宋_GB2312"/>
          <w:sz w:val="32"/>
          <w:szCs w:val="32"/>
        </w:rPr>
        <w:t>在2025年度，组织对</w:t>
      </w:r>
      <w:r>
        <w:rPr>
          <w:rFonts w:hint="eastAsia" w:eastAsia="仿宋_GB2312" w:cs="仿宋_GB2312"/>
          <w:sz w:val="32"/>
          <w:szCs w:val="32"/>
          <w:lang w:eastAsia="zh-CN"/>
        </w:rPr>
        <w:t>信息系统维护费、交通运行监测及数据分析费、普通国省道日常养护资金、</w:t>
      </w:r>
      <w:r>
        <w:rPr>
          <w:rFonts w:hint="eastAsia" w:eastAsia="仿宋_GB2312" w:cs="仿宋_GB2312"/>
          <w:sz w:val="32"/>
          <w:szCs w:val="32"/>
          <w:lang w:val="en-US" w:eastAsia="zh-CN"/>
        </w:rPr>
        <w:t>G227东区（渡口桥南）至仁和区（南山花园）段大修工程、公路灾害防治工程和农村公路管护</w:t>
      </w:r>
      <w:r>
        <w:rPr>
          <w:rFonts w:hint="eastAsia" w:eastAsia="仿宋_GB2312" w:cs="仿宋_GB2312"/>
          <w:sz w:val="32"/>
          <w:szCs w:val="32"/>
        </w:rPr>
        <w:t>等</w:t>
      </w:r>
      <w:r>
        <w:rPr>
          <w:rFonts w:hint="eastAsia" w:eastAsia="仿宋_GB2312" w:cs="仿宋_GB2312"/>
          <w:sz w:val="32"/>
          <w:szCs w:val="32"/>
          <w:lang w:val="en-US" w:eastAsia="zh-CN"/>
        </w:rPr>
        <w:t>6</w:t>
      </w:r>
      <w:r>
        <w:rPr>
          <w:rFonts w:hint="eastAsia" w:eastAsia="仿宋_GB2312" w:cs="仿宋_GB2312"/>
          <w:sz w:val="32"/>
          <w:szCs w:val="32"/>
        </w:rPr>
        <w:t>个项目涉及金额</w:t>
      </w:r>
      <w:r>
        <w:rPr>
          <w:rFonts w:hint="eastAsia" w:eastAsia="仿宋_GB2312" w:cs="仿宋_GB2312"/>
          <w:sz w:val="32"/>
          <w:szCs w:val="32"/>
          <w:lang w:val="en-US" w:eastAsia="zh-CN"/>
        </w:rPr>
        <w:t>2263.95</w:t>
      </w:r>
      <w:r>
        <w:rPr>
          <w:rFonts w:hint="eastAsia" w:eastAsia="仿宋_GB2312" w:cs="仿宋_GB2312"/>
          <w:sz w:val="32"/>
          <w:szCs w:val="32"/>
        </w:rPr>
        <w:t>万元开展了事前绩效评估，对</w:t>
      </w:r>
      <w:r>
        <w:rPr>
          <w:rFonts w:hint="eastAsia" w:eastAsia="仿宋_GB2312" w:cs="仿宋_GB2312"/>
          <w:sz w:val="32"/>
          <w:szCs w:val="32"/>
          <w:lang w:val="en-US" w:eastAsia="zh-CN"/>
        </w:rPr>
        <w:t>6</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6</w:t>
      </w:r>
      <w:r>
        <w:rPr>
          <w:rFonts w:hint="eastAsia" w:eastAsia="仿宋_GB2312" w:cs="仿宋_GB2312"/>
          <w:sz w:val="32"/>
          <w:szCs w:val="32"/>
        </w:rPr>
        <w:t>个项目开展绩效监控。</w:t>
      </w:r>
    </w:p>
    <w:p w14:paraId="263A7E46">
      <w:pPr>
        <w:spacing w:line="600" w:lineRule="exact"/>
        <w:ind w:firstLine="640"/>
        <w:rPr>
          <w:rFonts w:hint="eastAsia" w:eastAsia="仿宋_GB2312" w:cs="仿宋_GB2312"/>
          <w:sz w:val="32"/>
          <w:szCs w:val="32"/>
        </w:rPr>
      </w:pPr>
      <w:r>
        <w:rPr>
          <w:rFonts w:hint="eastAsia" w:eastAsia="仿宋_GB2312" w:cs="仿宋_GB2312"/>
          <w:sz w:val="32"/>
          <w:szCs w:val="32"/>
        </w:rPr>
        <w:t>绩效自评报告详见附件。</w:t>
      </w:r>
    </w:p>
    <w:p w14:paraId="353A71F6">
      <w:pPr>
        <w:pStyle w:val="2"/>
        <w:rPr>
          <w:rFonts w:hint="eastAsia" w:eastAsia="仿宋_GB2312" w:cs="仿宋_GB2312"/>
          <w:sz w:val="32"/>
          <w:szCs w:val="32"/>
        </w:rPr>
      </w:pPr>
    </w:p>
    <w:p w14:paraId="4B238DEF">
      <w:pPr>
        <w:pStyle w:val="2"/>
        <w:rPr>
          <w:rFonts w:hint="eastAsia" w:eastAsia="仿宋_GB2312" w:cs="仿宋_GB2312"/>
          <w:sz w:val="32"/>
          <w:szCs w:val="32"/>
        </w:rPr>
      </w:pPr>
    </w:p>
    <w:p w14:paraId="15196B3D">
      <w:pPr>
        <w:pStyle w:val="2"/>
        <w:rPr>
          <w:rFonts w:hint="eastAsia" w:eastAsia="仿宋_GB2312" w:cs="仿宋_GB2312"/>
          <w:sz w:val="32"/>
          <w:szCs w:val="32"/>
        </w:rPr>
      </w:pPr>
    </w:p>
    <w:p w14:paraId="58074F04">
      <w:pPr>
        <w:pStyle w:val="2"/>
        <w:rPr>
          <w:rFonts w:hint="eastAsia" w:eastAsia="仿宋_GB2312" w:cs="仿宋_GB2312"/>
          <w:sz w:val="32"/>
          <w:szCs w:val="32"/>
        </w:rPr>
      </w:pPr>
    </w:p>
    <w:p w14:paraId="00346040">
      <w:pPr>
        <w:pStyle w:val="3"/>
        <w:bidi w:val="0"/>
        <w:jc w:val="center"/>
        <w:rPr>
          <w:rFonts w:hint="eastAsia" w:ascii="方正小标宋简体" w:hAnsi="方正小标宋简体" w:eastAsia="方正小标宋简体" w:cs="方正小标宋简体"/>
          <w:b w:val="0"/>
          <w:bCs w:val="0"/>
        </w:rPr>
      </w:pPr>
      <w:bookmarkStart w:id="63" w:name="_Toc15377225"/>
      <w:bookmarkStart w:id="64" w:name="_Toc15396613"/>
      <w:bookmarkStart w:id="65" w:name="_Toc15417"/>
      <w:r>
        <w:rPr>
          <w:rFonts w:hint="eastAsia" w:ascii="方正小标宋简体" w:hAnsi="方正小标宋简体" w:eastAsia="方正小标宋简体" w:cs="方正小标宋简体"/>
          <w:b w:val="0"/>
          <w:bCs w:val="0"/>
        </w:rPr>
        <w:t>第三部分  名词解释</w:t>
      </w:r>
      <w:bookmarkEnd w:id="63"/>
      <w:bookmarkEnd w:id="64"/>
      <w:bookmarkEnd w:id="65"/>
    </w:p>
    <w:p w14:paraId="173132DB">
      <w:pPr>
        <w:spacing w:line="600" w:lineRule="exact"/>
        <w:jc w:val="left"/>
        <w:rPr>
          <w:b/>
          <w:sz w:val="44"/>
          <w:szCs w:val="44"/>
        </w:rPr>
      </w:pPr>
    </w:p>
    <w:p w14:paraId="4A442745">
      <w:pPr>
        <w:pStyle w:val="26"/>
        <w:spacing w:line="560" w:lineRule="exact"/>
        <w:ind w:firstLine="640" w:firstLineChars="200"/>
        <w:rPr>
          <w:rFonts w:ascii="仿宋_GB2312" w:eastAsia="仿宋_GB2312"/>
          <w:color w:val="auto"/>
          <w:sz w:val="32"/>
          <w:szCs w:val="32"/>
        </w:rPr>
      </w:pPr>
      <w:bookmarkStart w:id="66"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w:t>
      </w:r>
      <w:r>
        <w:rPr>
          <w:rFonts w:hint="eastAsia" w:ascii="仿宋_GB2312" w:eastAsia="仿宋_GB2312"/>
          <w:color w:val="auto"/>
          <w:sz w:val="32"/>
          <w:szCs w:val="32"/>
          <w:lang w:eastAsia="zh-CN"/>
        </w:rPr>
        <w:t>单位</w:t>
      </w:r>
      <w:r>
        <w:rPr>
          <w:rFonts w:hint="eastAsia" w:ascii="仿宋_GB2312" w:eastAsia="仿宋_GB2312"/>
          <w:color w:val="auto"/>
          <w:sz w:val="32"/>
          <w:szCs w:val="32"/>
        </w:rPr>
        <w:t>取得的财政预算资金。</w:t>
      </w:r>
    </w:p>
    <w:p w14:paraId="799B6D94">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w:t>
      </w:r>
      <w:r>
        <w:rPr>
          <w:rFonts w:ascii="仿宋_GB2312" w:eastAsia="仿宋_GB2312"/>
          <w:color w:val="auto"/>
          <w:sz w:val="32"/>
          <w:szCs w:val="32"/>
        </w:rPr>
        <w:t>.</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721381B8">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3</w:t>
      </w:r>
      <w:r>
        <w:rPr>
          <w:rFonts w:ascii="仿宋_GB2312" w:eastAsia="仿宋_GB2312"/>
          <w:color w:val="auto"/>
          <w:sz w:val="32"/>
          <w:szCs w:val="32"/>
        </w:rPr>
        <w:t>.</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228700C6">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4</w:t>
      </w:r>
      <w:r>
        <w:rPr>
          <w:rFonts w:hint="eastAsia" w:ascii="仿宋_GB2312" w:eastAsia="仿宋_GB2312"/>
          <w:color w:val="auto"/>
          <w:sz w:val="32"/>
          <w:szCs w:val="32"/>
        </w:rPr>
        <w:t>.年末结转和结余：指单位按有关规定结转到下年或以后年度继续使用的资金。</w:t>
      </w:r>
    </w:p>
    <w:p w14:paraId="7500DAE4">
      <w:pPr>
        <w:ind w:firstLine="640" w:firstLineChars="200"/>
        <w:rPr>
          <w:rFonts w:ascii="仿宋_GB2312" w:eastAsia="仿宋_GB2312"/>
          <w:sz w:val="32"/>
          <w:szCs w:val="32"/>
        </w:rPr>
      </w:pPr>
      <w:r>
        <w:rPr>
          <w:rFonts w:hint="eastAsia" w:ascii="仿宋_GB2312" w:eastAsia="仿宋_GB2312"/>
          <w:sz w:val="32"/>
          <w:szCs w:val="32"/>
          <w:lang w:val="en-US" w:eastAsia="zh-CN"/>
        </w:rPr>
        <w:t>5</w:t>
      </w:r>
      <w:r>
        <w:rPr>
          <w:rFonts w:ascii="仿宋_GB2312" w:eastAsia="仿宋_GB2312"/>
          <w:sz w:val="32"/>
          <w:szCs w:val="32"/>
        </w:rPr>
        <w:t>.</w:t>
      </w:r>
      <w:r>
        <w:rPr>
          <w:rFonts w:hint="eastAsia" w:ascii="仿宋_GB2312" w:eastAsia="仿宋_GB2312"/>
          <w:sz w:val="32"/>
          <w:szCs w:val="32"/>
        </w:rPr>
        <w:t>社会保障和就业（类）人力资源和社会保障管理事务（款）其他人力资源和社会保障管理事务支出（项）：指</w:t>
      </w:r>
      <w:r>
        <w:rPr>
          <w:rFonts w:hint="eastAsia" w:ascii="仿宋_GB2312" w:eastAsia="仿宋_GB2312"/>
          <w:sz w:val="32"/>
          <w:szCs w:val="32"/>
          <w:lang w:eastAsia="zh-CN"/>
        </w:rPr>
        <w:t>反映其他用于人力资源和社会保障管理事务方面的支出</w:t>
      </w:r>
      <w:r>
        <w:rPr>
          <w:rFonts w:hint="eastAsia" w:ascii="仿宋_GB2312" w:eastAsia="仿宋_GB2312"/>
          <w:sz w:val="32"/>
          <w:szCs w:val="32"/>
        </w:rPr>
        <w:t>。</w:t>
      </w:r>
    </w:p>
    <w:p w14:paraId="7617D1B1">
      <w:pPr>
        <w:ind w:firstLine="640" w:firstLineChars="200"/>
        <w:rPr>
          <w:rFonts w:eastAsia="仿宋_GB2312"/>
          <w:color w:val="000000"/>
          <w:sz w:val="32"/>
          <w:szCs w:val="32"/>
        </w:rPr>
      </w:pPr>
      <w:r>
        <w:rPr>
          <w:rFonts w:hint="eastAsia" w:eastAsia="仿宋_GB2312"/>
          <w:color w:val="000000"/>
          <w:sz w:val="32"/>
          <w:szCs w:val="32"/>
          <w:lang w:val="en-US" w:eastAsia="zh-CN"/>
        </w:rPr>
        <w:t>6</w:t>
      </w:r>
      <w:r>
        <w:rPr>
          <w:rFonts w:eastAsia="仿宋_GB2312"/>
          <w:color w:val="000000"/>
          <w:sz w:val="32"/>
          <w:szCs w:val="32"/>
        </w:rPr>
        <w:t>.</w:t>
      </w:r>
      <w:r>
        <w:rPr>
          <w:rFonts w:hint="eastAsia" w:eastAsia="仿宋_GB2312"/>
          <w:color w:val="000000"/>
          <w:sz w:val="32"/>
          <w:szCs w:val="32"/>
        </w:rPr>
        <w:t>社会保障和就业支出（类）行政事业单位养老支出（款）行政单位离退休（项）：</w:t>
      </w:r>
      <w:r>
        <w:rPr>
          <w:rFonts w:hint="eastAsia" w:eastAsia="仿宋_GB2312"/>
          <w:color w:val="0D0D0D" w:themeColor="text1" w:themeTint="F2"/>
          <w:sz w:val="32"/>
          <w:szCs w:val="32"/>
          <w14:textFill>
            <w14:solidFill>
              <w14:schemeClr w14:val="tx1">
                <w14:lumMod w14:val="95000"/>
                <w14:lumOff w14:val="5000"/>
              </w14:schemeClr>
            </w14:solidFill>
          </w14:textFill>
        </w:rPr>
        <w:t>指行政单位（包括实行公务员法管理的事业单位）开支的离退休经费。</w:t>
      </w:r>
    </w:p>
    <w:p w14:paraId="24893DC5">
      <w:pPr>
        <w:ind w:firstLine="640" w:firstLineChars="200"/>
        <w:rPr>
          <w:rFonts w:hint="eastAsia" w:eastAsia="仿宋_GB2312"/>
          <w:color w:val="000000"/>
          <w:sz w:val="32"/>
          <w:szCs w:val="32"/>
        </w:rPr>
      </w:pPr>
      <w:r>
        <w:rPr>
          <w:rFonts w:hint="eastAsia" w:eastAsia="仿宋_GB2312"/>
          <w:color w:val="000000"/>
          <w:sz w:val="32"/>
          <w:szCs w:val="32"/>
          <w:lang w:val="en-US" w:eastAsia="zh-CN"/>
        </w:rPr>
        <w:t>7</w:t>
      </w:r>
      <w:r>
        <w:rPr>
          <w:rFonts w:eastAsia="仿宋_GB2312"/>
          <w:color w:val="000000"/>
          <w:sz w:val="32"/>
          <w:szCs w:val="32"/>
        </w:rPr>
        <w:t>.</w:t>
      </w:r>
      <w:r>
        <w:rPr>
          <w:rFonts w:hint="eastAsia" w:eastAsia="仿宋_GB2312"/>
          <w:color w:val="000000"/>
          <w:sz w:val="32"/>
          <w:szCs w:val="32"/>
        </w:rPr>
        <w:t>社会保障和就业支出（类）行政事业单位养老支出（款）事业单位离退休（项）：</w:t>
      </w:r>
      <w:r>
        <w:rPr>
          <w:rFonts w:hint="eastAsia" w:eastAsia="仿宋_GB2312"/>
          <w:color w:val="auto"/>
          <w:sz w:val="32"/>
          <w:szCs w:val="32"/>
        </w:rPr>
        <w:t>指事业单位开支的离退休经费。</w:t>
      </w:r>
    </w:p>
    <w:p w14:paraId="0C9ED49F">
      <w:pPr>
        <w:pStyle w:val="2"/>
        <w:ind w:firstLine="640" w:firstLineChars="200"/>
        <w:rPr>
          <w:rFonts w:hint="eastAsia" w:eastAsia="仿宋_GB2312"/>
          <w:lang w:eastAsia="zh-CN"/>
        </w:rPr>
      </w:pPr>
      <w:r>
        <w:rPr>
          <w:rFonts w:hint="eastAsia"/>
          <w:color w:val="000000"/>
          <w:sz w:val="32"/>
          <w:szCs w:val="32"/>
          <w:lang w:val="en-US" w:eastAsia="zh-CN"/>
        </w:rPr>
        <w:t>8</w:t>
      </w:r>
      <w:r>
        <w:rPr>
          <w:rFonts w:eastAsia="仿宋_GB2312"/>
          <w:color w:val="000000"/>
          <w:sz w:val="32"/>
          <w:szCs w:val="32"/>
        </w:rPr>
        <w:t>.</w:t>
      </w:r>
      <w:r>
        <w:rPr>
          <w:rFonts w:hint="eastAsia" w:eastAsia="仿宋_GB2312"/>
          <w:color w:val="000000"/>
          <w:sz w:val="32"/>
          <w:szCs w:val="32"/>
        </w:rPr>
        <w:t>社会保障和就业支出（类）行政事业单位养老支出（款）</w:t>
      </w:r>
      <w:r>
        <w:rPr>
          <w:rFonts w:hint="eastAsia"/>
          <w:color w:val="000000"/>
          <w:sz w:val="32"/>
          <w:szCs w:val="32"/>
          <w:lang w:eastAsia="zh-CN"/>
        </w:rPr>
        <w:t>机关职业单位基本养老保险缴费支出</w:t>
      </w:r>
      <w:r>
        <w:rPr>
          <w:rFonts w:hint="eastAsia" w:eastAsia="仿宋_GB2312"/>
          <w:color w:val="000000"/>
          <w:sz w:val="32"/>
          <w:szCs w:val="32"/>
        </w:rPr>
        <w:t>（项）：</w:t>
      </w:r>
      <w:r>
        <w:rPr>
          <w:rFonts w:hint="eastAsia"/>
          <w:color w:val="000000"/>
          <w:sz w:val="32"/>
          <w:szCs w:val="32"/>
          <w:lang w:eastAsia="zh-CN"/>
        </w:rPr>
        <w:t>指机关职工单位开支的基本养老保险缴费。</w:t>
      </w:r>
    </w:p>
    <w:p w14:paraId="23929904">
      <w:pPr>
        <w:ind w:firstLine="640" w:firstLineChars="200"/>
      </w:pPr>
      <w:r>
        <w:rPr>
          <w:rFonts w:hint="eastAsia" w:ascii="仿宋_GB2312" w:eastAsia="仿宋_GB2312"/>
          <w:sz w:val="32"/>
          <w:szCs w:val="32"/>
          <w:lang w:val="en-US" w:eastAsia="zh-CN"/>
        </w:rPr>
        <w:t>9</w:t>
      </w:r>
      <w:r>
        <w:rPr>
          <w:rFonts w:ascii="仿宋_GB2312" w:eastAsia="仿宋_GB2312"/>
          <w:sz w:val="32"/>
          <w:szCs w:val="32"/>
        </w:rPr>
        <w:t>.</w:t>
      </w:r>
      <w:r>
        <w:rPr>
          <w:rFonts w:hint="eastAsia" w:ascii="仿宋_GB2312" w:eastAsia="仿宋_GB2312"/>
          <w:sz w:val="32"/>
          <w:szCs w:val="32"/>
        </w:rPr>
        <w:t>社会保障和就业（类）行政事业单位养老支出（款）机关事业单位职业年金缴费支出（项）：</w:t>
      </w:r>
      <w:r>
        <w:rPr>
          <w:rFonts w:hint="eastAsia" w:ascii="仿宋_GB2312" w:eastAsia="仿宋_GB2312"/>
          <w:sz w:val="32"/>
          <w:szCs w:val="32"/>
          <w:lang w:eastAsia="zh-CN"/>
        </w:rPr>
        <w:t>反映机关事业单位实施养老保险制度由单位实际缴纳的职业年金支出（含职业年金补记支出）</w:t>
      </w:r>
      <w:r>
        <w:rPr>
          <w:rFonts w:hint="eastAsia" w:ascii="仿宋_GB2312" w:eastAsia="仿宋_GB2312"/>
          <w:sz w:val="32"/>
          <w:szCs w:val="32"/>
        </w:rPr>
        <w:t>。</w:t>
      </w:r>
    </w:p>
    <w:p w14:paraId="60A24C24">
      <w:pPr>
        <w:numPr>
          <w:ilvl w:val="0"/>
          <w:numId w:val="0"/>
        </w:numPr>
        <w:ind w:firstLine="640" w:firstLineChars="200"/>
        <w:rPr>
          <w:rFonts w:hint="eastAsia"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卫生健康</w:t>
      </w:r>
      <w:r>
        <w:rPr>
          <w:rFonts w:hint="eastAsia" w:ascii="仿宋_GB2312" w:eastAsia="仿宋_GB2312"/>
          <w:sz w:val="32"/>
          <w:szCs w:val="32"/>
          <w:lang w:eastAsia="zh-CN"/>
        </w:rPr>
        <w:t>支出</w:t>
      </w:r>
      <w:r>
        <w:rPr>
          <w:rFonts w:hint="eastAsia" w:ascii="仿宋_GB2312" w:eastAsia="仿宋_GB2312"/>
          <w:sz w:val="32"/>
          <w:szCs w:val="32"/>
        </w:rPr>
        <w:t>（类）行政事业单位医疗（款）行政单位医疗（项）：指</w:t>
      </w:r>
      <w:r>
        <w:rPr>
          <w:rFonts w:hint="eastAsia" w:ascii="仿宋_GB2312" w:eastAsia="仿宋_GB2312"/>
          <w:sz w:val="32"/>
          <w:szCs w:val="32"/>
          <w:lang w:eastAsia="zh-CN"/>
        </w:rPr>
        <w:t>反映财政单位安排的行政单位（包括实行公务员管理的事业单位）基本医疗保险缴费经费，未参加医疗保险的行政单位的公费医疗经费，按国家规定享受离休人员、红军老战士待遇人员的医疗经费</w:t>
      </w:r>
      <w:r>
        <w:rPr>
          <w:rFonts w:hint="eastAsia" w:ascii="仿宋_GB2312" w:eastAsia="仿宋_GB2312"/>
          <w:sz w:val="32"/>
          <w:szCs w:val="32"/>
        </w:rPr>
        <w:t>。</w:t>
      </w:r>
    </w:p>
    <w:p w14:paraId="316D0C8F">
      <w:pPr>
        <w:pStyle w:val="2"/>
        <w:numPr>
          <w:ilvl w:val="0"/>
          <w:numId w:val="0"/>
        </w:numPr>
        <w:ind w:firstLine="640" w:firstLineChars="200"/>
      </w:pPr>
      <w:r>
        <w:rPr>
          <w:rFonts w:ascii="仿宋_GB2312" w:eastAsia="仿宋_GB2312"/>
          <w:sz w:val="32"/>
          <w:szCs w:val="32"/>
        </w:rPr>
        <w:t>1</w:t>
      </w:r>
      <w:r>
        <w:rPr>
          <w:rFonts w:hint="eastAsia"/>
          <w:sz w:val="32"/>
          <w:szCs w:val="32"/>
          <w:lang w:val="en-US" w:eastAsia="zh-CN"/>
        </w:rPr>
        <w:t>1</w:t>
      </w:r>
      <w:r>
        <w:rPr>
          <w:rFonts w:ascii="仿宋_GB2312" w:eastAsia="仿宋_GB2312"/>
          <w:sz w:val="32"/>
          <w:szCs w:val="32"/>
        </w:rPr>
        <w:t>.</w:t>
      </w:r>
      <w:r>
        <w:rPr>
          <w:rFonts w:hint="eastAsia" w:ascii="仿宋_GB2312" w:eastAsia="仿宋_GB2312"/>
          <w:sz w:val="32"/>
          <w:szCs w:val="32"/>
        </w:rPr>
        <w:t>卫生健康</w:t>
      </w:r>
      <w:r>
        <w:rPr>
          <w:rFonts w:hint="eastAsia" w:ascii="仿宋_GB2312" w:eastAsia="仿宋_GB2312"/>
          <w:sz w:val="32"/>
          <w:szCs w:val="32"/>
          <w:lang w:eastAsia="zh-CN"/>
        </w:rPr>
        <w:t>支出</w:t>
      </w:r>
      <w:r>
        <w:rPr>
          <w:rFonts w:hint="eastAsia" w:ascii="仿宋_GB2312" w:eastAsia="仿宋_GB2312"/>
          <w:sz w:val="32"/>
          <w:szCs w:val="32"/>
        </w:rPr>
        <w:t>（类）行政事业单位医疗（款）事业单位医疗（项）：指</w:t>
      </w:r>
      <w:r>
        <w:rPr>
          <w:rFonts w:hint="eastAsia" w:ascii="仿宋_GB2312" w:eastAsia="仿宋_GB2312"/>
          <w:sz w:val="32"/>
          <w:szCs w:val="32"/>
          <w:lang w:eastAsia="zh-CN"/>
        </w:rPr>
        <w:t>反映财政</w:t>
      </w:r>
      <w:r>
        <w:rPr>
          <w:rFonts w:hint="eastAsia"/>
          <w:sz w:val="32"/>
          <w:szCs w:val="32"/>
          <w:lang w:eastAsia="zh-CN"/>
        </w:rPr>
        <w:t>单位</w:t>
      </w:r>
      <w:r>
        <w:rPr>
          <w:rFonts w:hint="eastAsia" w:ascii="仿宋_GB2312" w:eastAsia="仿宋_GB2312"/>
          <w:sz w:val="32"/>
          <w:szCs w:val="32"/>
          <w:lang w:eastAsia="zh-CN"/>
        </w:rPr>
        <w:t>安排的</w:t>
      </w:r>
      <w:r>
        <w:rPr>
          <w:rFonts w:hint="eastAsia"/>
          <w:sz w:val="32"/>
          <w:szCs w:val="32"/>
          <w:lang w:eastAsia="zh-CN"/>
        </w:rPr>
        <w:t>事业单位</w:t>
      </w:r>
      <w:r>
        <w:rPr>
          <w:rFonts w:hint="eastAsia" w:ascii="仿宋_GB2312" w:eastAsia="仿宋_GB2312"/>
          <w:sz w:val="32"/>
          <w:szCs w:val="32"/>
          <w:lang w:eastAsia="zh-CN"/>
        </w:rPr>
        <w:t>基本医疗保险缴费经费，未参加医疗保险的</w:t>
      </w:r>
      <w:r>
        <w:rPr>
          <w:rFonts w:hint="eastAsia"/>
          <w:sz w:val="32"/>
          <w:szCs w:val="32"/>
          <w:lang w:eastAsia="zh-CN"/>
        </w:rPr>
        <w:t>事业单位</w:t>
      </w:r>
      <w:r>
        <w:rPr>
          <w:rFonts w:hint="eastAsia" w:ascii="仿宋_GB2312" w:eastAsia="仿宋_GB2312"/>
          <w:sz w:val="32"/>
          <w:szCs w:val="32"/>
          <w:lang w:eastAsia="zh-CN"/>
        </w:rPr>
        <w:t>的公费医疗经费，按国家规定享受离休人员待遇人员的医疗经费</w:t>
      </w:r>
      <w:r>
        <w:rPr>
          <w:rFonts w:hint="eastAsia" w:ascii="仿宋_GB2312" w:eastAsia="仿宋_GB2312"/>
          <w:sz w:val="32"/>
          <w:szCs w:val="32"/>
        </w:rPr>
        <w:t>。</w:t>
      </w:r>
    </w:p>
    <w:p w14:paraId="0C088267">
      <w:pPr>
        <w:pStyle w:val="2"/>
        <w:widowControl w:val="0"/>
        <w:numPr>
          <w:ilvl w:val="0"/>
          <w:numId w:val="0"/>
        </w:numPr>
        <w:spacing w:beforeLines="30"/>
        <w:ind w:firstLine="640" w:firstLineChars="200"/>
        <w:jc w:val="both"/>
        <w:rPr>
          <w:rFonts w:hint="eastAsia" w:ascii="仿宋_GB2312" w:eastAsia="仿宋_GB2312"/>
          <w:sz w:val="32"/>
          <w:szCs w:val="32"/>
        </w:rPr>
      </w:pPr>
      <w:r>
        <w:rPr>
          <w:rFonts w:hint="eastAsia"/>
          <w:sz w:val="32"/>
          <w:szCs w:val="32"/>
          <w:lang w:val="en-US" w:eastAsia="zh-CN"/>
        </w:rPr>
        <w:t>12.</w:t>
      </w:r>
      <w:r>
        <w:rPr>
          <w:rFonts w:hint="eastAsia" w:ascii="仿宋_GB2312" w:eastAsia="仿宋_GB2312"/>
          <w:sz w:val="32"/>
          <w:szCs w:val="32"/>
        </w:rPr>
        <w:t>卫生健康</w:t>
      </w:r>
      <w:r>
        <w:rPr>
          <w:rFonts w:hint="eastAsia" w:ascii="仿宋_GB2312" w:eastAsia="仿宋_GB2312"/>
          <w:sz w:val="32"/>
          <w:szCs w:val="32"/>
          <w:lang w:eastAsia="zh-CN"/>
        </w:rPr>
        <w:t>支出</w:t>
      </w:r>
      <w:r>
        <w:rPr>
          <w:rFonts w:hint="eastAsia" w:ascii="仿宋_GB2312" w:eastAsia="仿宋_GB2312"/>
          <w:sz w:val="32"/>
          <w:szCs w:val="32"/>
        </w:rPr>
        <w:t>（类）行政事业单位医疗（款）公务员医疗补助（项）：指</w:t>
      </w:r>
      <w:r>
        <w:rPr>
          <w:rFonts w:hint="eastAsia" w:ascii="仿宋_GB2312" w:eastAsia="仿宋_GB2312"/>
          <w:sz w:val="32"/>
          <w:szCs w:val="32"/>
          <w:lang w:eastAsia="zh-CN"/>
        </w:rPr>
        <w:t>反映财政</w:t>
      </w:r>
      <w:r>
        <w:rPr>
          <w:rFonts w:hint="eastAsia"/>
          <w:sz w:val="32"/>
          <w:szCs w:val="32"/>
          <w:lang w:eastAsia="zh-CN"/>
        </w:rPr>
        <w:t>单位</w:t>
      </w:r>
      <w:r>
        <w:rPr>
          <w:rFonts w:hint="eastAsia" w:ascii="仿宋_GB2312" w:eastAsia="仿宋_GB2312"/>
          <w:sz w:val="32"/>
          <w:szCs w:val="32"/>
          <w:lang w:eastAsia="zh-CN"/>
        </w:rPr>
        <w:t>安排的</w:t>
      </w:r>
      <w:r>
        <w:rPr>
          <w:rFonts w:hint="eastAsia"/>
          <w:sz w:val="32"/>
          <w:szCs w:val="32"/>
          <w:lang w:eastAsia="zh-CN"/>
        </w:rPr>
        <w:t>公务员医疗补助经费</w:t>
      </w:r>
      <w:r>
        <w:rPr>
          <w:rFonts w:hint="eastAsia" w:ascii="仿宋_GB2312" w:eastAsia="仿宋_GB2312"/>
          <w:sz w:val="32"/>
          <w:szCs w:val="32"/>
        </w:rPr>
        <w:t>。</w:t>
      </w:r>
    </w:p>
    <w:p w14:paraId="327A5C40">
      <w:pPr>
        <w:pStyle w:val="2"/>
        <w:widowControl w:val="0"/>
        <w:numPr>
          <w:ilvl w:val="0"/>
          <w:numId w:val="0"/>
        </w:numPr>
        <w:spacing w:beforeLines="30"/>
        <w:ind w:leftChars="0" w:firstLine="640" w:firstLineChars="200"/>
        <w:jc w:val="both"/>
        <w:rPr>
          <w:rFonts w:hint="eastAsia" w:ascii="仿宋_GB2312" w:eastAsia="仿宋_GB2312"/>
          <w:sz w:val="32"/>
          <w:szCs w:val="32"/>
        </w:rPr>
      </w:pPr>
      <w:r>
        <w:rPr>
          <w:rFonts w:hint="eastAsia"/>
          <w:sz w:val="32"/>
          <w:szCs w:val="32"/>
          <w:lang w:val="en-US" w:eastAsia="zh-CN"/>
        </w:rPr>
        <w:t>13.</w:t>
      </w:r>
      <w:r>
        <w:rPr>
          <w:rFonts w:hint="eastAsia" w:ascii="仿宋_GB2312" w:eastAsia="仿宋_GB2312"/>
          <w:sz w:val="32"/>
          <w:szCs w:val="32"/>
        </w:rPr>
        <w:t>卫生健康</w:t>
      </w:r>
      <w:r>
        <w:rPr>
          <w:rFonts w:hint="eastAsia" w:ascii="仿宋_GB2312" w:eastAsia="仿宋_GB2312"/>
          <w:sz w:val="32"/>
          <w:szCs w:val="32"/>
          <w:lang w:eastAsia="zh-CN"/>
        </w:rPr>
        <w:t>支出</w:t>
      </w:r>
      <w:r>
        <w:rPr>
          <w:rFonts w:hint="eastAsia" w:ascii="仿宋_GB2312" w:eastAsia="仿宋_GB2312"/>
          <w:sz w:val="32"/>
          <w:szCs w:val="32"/>
        </w:rPr>
        <w:t>（类）行政事业单位医疗（款）其他行政事业单位医疗支出（项）：指</w:t>
      </w:r>
      <w:r>
        <w:rPr>
          <w:rFonts w:hint="eastAsia" w:ascii="仿宋_GB2312" w:eastAsia="仿宋_GB2312"/>
          <w:sz w:val="32"/>
          <w:szCs w:val="32"/>
          <w:lang w:eastAsia="zh-CN"/>
        </w:rPr>
        <w:t>反映</w:t>
      </w:r>
      <w:r>
        <w:rPr>
          <w:rFonts w:hint="eastAsia"/>
          <w:sz w:val="32"/>
          <w:szCs w:val="32"/>
          <w:lang w:eastAsia="zh-CN"/>
        </w:rPr>
        <w:t>其他用于行政事业单位医疗方面的支出</w:t>
      </w:r>
      <w:r>
        <w:rPr>
          <w:rFonts w:hint="eastAsia" w:ascii="仿宋_GB2312" w:eastAsia="仿宋_GB2312"/>
          <w:sz w:val="32"/>
          <w:szCs w:val="32"/>
        </w:rPr>
        <w:t>。</w:t>
      </w:r>
    </w:p>
    <w:p w14:paraId="5FD0B2A6">
      <w:pPr>
        <w:ind w:firstLine="640" w:firstLineChars="200"/>
        <w:rPr>
          <w:rFonts w:hint="eastAsia" w:eastAsia="仿宋_GB2312"/>
          <w:color w:val="000000"/>
          <w:sz w:val="32"/>
          <w:szCs w:val="32"/>
        </w:rPr>
      </w:pPr>
      <w:r>
        <w:rPr>
          <w:rFonts w:hint="eastAsia" w:eastAsia="仿宋_GB2312"/>
          <w:color w:val="000000"/>
          <w:sz w:val="32"/>
          <w:szCs w:val="32"/>
          <w:lang w:val="en-US" w:eastAsia="zh-CN"/>
        </w:rPr>
        <w:t>14</w:t>
      </w:r>
      <w:r>
        <w:rPr>
          <w:rFonts w:eastAsia="仿宋_GB2312"/>
          <w:color w:val="000000"/>
          <w:sz w:val="32"/>
          <w:szCs w:val="32"/>
        </w:rPr>
        <w:t>.</w:t>
      </w:r>
      <w:r>
        <w:rPr>
          <w:rFonts w:hint="eastAsia" w:eastAsia="仿宋_GB2312"/>
          <w:color w:val="000000"/>
          <w:sz w:val="32"/>
          <w:szCs w:val="32"/>
        </w:rPr>
        <w:t>交通运输支出（类）公路水路运输（款）行政运行（项）：指行政单位（包括实行公务员法管理的事业单位）的基本支出。</w:t>
      </w:r>
    </w:p>
    <w:p w14:paraId="6B0773D3">
      <w:pPr>
        <w:pStyle w:val="2"/>
        <w:ind w:firstLine="640" w:firstLineChars="200"/>
        <w:rPr>
          <w:rFonts w:hint="eastAsia" w:eastAsia="仿宋_GB2312"/>
          <w:color w:val="auto"/>
          <w:sz w:val="32"/>
          <w:szCs w:val="32"/>
        </w:rPr>
      </w:pPr>
      <w:r>
        <w:rPr>
          <w:rFonts w:hint="eastAsia"/>
          <w:color w:val="auto"/>
          <w:sz w:val="32"/>
          <w:szCs w:val="32"/>
          <w:lang w:val="en-US" w:eastAsia="zh-CN"/>
        </w:rPr>
        <w:t>15</w:t>
      </w:r>
      <w:r>
        <w:rPr>
          <w:rFonts w:eastAsia="仿宋_GB2312"/>
          <w:color w:val="auto"/>
          <w:sz w:val="32"/>
          <w:szCs w:val="32"/>
        </w:rPr>
        <w:t>.</w:t>
      </w:r>
      <w:r>
        <w:rPr>
          <w:rFonts w:hint="eastAsia" w:eastAsia="仿宋_GB2312"/>
          <w:color w:val="auto"/>
          <w:sz w:val="32"/>
          <w:szCs w:val="32"/>
        </w:rPr>
        <w:t>交通运输支出（类）公路水路运输（款）</w:t>
      </w:r>
      <w:r>
        <w:rPr>
          <w:rFonts w:hint="eastAsia"/>
          <w:color w:val="auto"/>
          <w:sz w:val="32"/>
          <w:szCs w:val="32"/>
          <w:lang w:eastAsia="zh-CN"/>
        </w:rPr>
        <w:t>机关服务</w:t>
      </w:r>
      <w:r>
        <w:rPr>
          <w:rFonts w:hint="eastAsia" w:eastAsia="仿宋_GB2312"/>
          <w:color w:val="auto"/>
          <w:sz w:val="32"/>
          <w:szCs w:val="32"/>
        </w:rPr>
        <w:t>（项）：指行政单位（包括实行公务员法管理的事业单位）</w:t>
      </w:r>
      <w:r>
        <w:rPr>
          <w:rFonts w:hint="eastAsia"/>
          <w:color w:val="auto"/>
          <w:sz w:val="32"/>
          <w:szCs w:val="32"/>
          <w:lang w:eastAsia="zh-CN"/>
        </w:rPr>
        <w:t>提供后勤服务的各类后勤服务中心、医务室等附属事业单位的支出。</w:t>
      </w:r>
    </w:p>
    <w:p w14:paraId="4F89A4D6">
      <w:pPr>
        <w:pStyle w:val="2"/>
        <w:ind w:firstLine="640" w:firstLineChars="200"/>
        <w:rPr>
          <w:rFonts w:hint="eastAsia" w:eastAsia="仿宋_GB2312"/>
          <w:color w:val="auto"/>
          <w:sz w:val="32"/>
          <w:szCs w:val="32"/>
        </w:rPr>
      </w:pPr>
      <w:r>
        <w:rPr>
          <w:rFonts w:hint="eastAsia"/>
          <w:color w:val="auto"/>
          <w:sz w:val="32"/>
          <w:szCs w:val="32"/>
          <w:lang w:val="en-US" w:eastAsia="zh-CN"/>
        </w:rPr>
        <w:t>16</w:t>
      </w:r>
      <w:r>
        <w:rPr>
          <w:rFonts w:eastAsia="仿宋_GB2312"/>
          <w:color w:val="auto"/>
          <w:sz w:val="32"/>
          <w:szCs w:val="32"/>
        </w:rPr>
        <w:t>.</w:t>
      </w:r>
      <w:r>
        <w:rPr>
          <w:rFonts w:hint="eastAsia" w:eastAsia="仿宋_GB2312"/>
          <w:color w:val="auto"/>
          <w:sz w:val="32"/>
          <w:szCs w:val="32"/>
        </w:rPr>
        <w:t>交通运输支出（类）公路水路运输（款）</w:t>
      </w:r>
      <w:r>
        <w:rPr>
          <w:rFonts w:hint="eastAsia"/>
          <w:color w:val="auto"/>
          <w:sz w:val="32"/>
          <w:szCs w:val="32"/>
          <w:lang w:val="en-US" w:eastAsia="zh-CN"/>
        </w:rPr>
        <w:t>公路养护</w:t>
      </w:r>
      <w:r>
        <w:rPr>
          <w:rFonts w:hint="eastAsia" w:eastAsia="仿宋_GB2312"/>
          <w:color w:val="auto"/>
          <w:sz w:val="32"/>
          <w:szCs w:val="32"/>
        </w:rPr>
        <w:t>（项）：指公路养护支出。</w:t>
      </w:r>
    </w:p>
    <w:p w14:paraId="746E17AE">
      <w:pPr>
        <w:ind w:firstLine="640" w:firstLineChars="200"/>
        <w:rPr>
          <w:rFonts w:eastAsia="仿宋_GB2312"/>
          <w:color w:val="000000"/>
          <w:sz w:val="32"/>
          <w:szCs w:val="32"/>
        </w:rPr>
      </w:pPr>
      <w:r>
        <w:rPr>
          <w:rFonts w:hint="eastAsia" w:eastAsia="仿宋_GB2312"/>
          <w:color w:val="auto"/>
          <w:sz w:val="32"/>
          <w:szCs w:val="32"/>
          <w:lang w:val="en-US" w:eastAsia="zh-CN"/>
        </w:rPr>
        <w:t>17</w:t>
      </w:r>
      <w:r>
        <w:rPr>
          <w:rFonts w:hint="eastAsia" w:eastAsia="仿宋_GB2312"/>
          <w:color w:val="auto"/>
          <w:sz w:val="32"/>
          <w:szCs w:val="32"/>
        </w:rPr>
        <w:t>.交通运输支出</w:t>
      </w:r>
      <w:r>
        <w:rPr>
          <w:rFonts w:hint="eastAsia" w:eastAsia="仿宋_GB2312"/>
          <w:color w:val="000000"/>
          <w:sz w:val="32"/>
          <w:szCs w:val="32"/>
        </w:rPr>
        <w:t>（类）其他交通运输支出（款）其他公路水路运输支出（项）：指其他</w:t>
      </w:r>
      <w:r>
        <w:rPr>
          <w:rFonts w:hint="eastAsia" w:eastAsia="仿宋_GB2312"/>
          <w:color w:val="000000"/>
          <w:sz w:val="32"/>
          <w:szCs w:val="32"/>
          <w:lang w:eastAsia="zh-CN"/>
        </w:rPr>
        <w:t>用于公路水路运输方面的支出</w:t>
      </w:r>
      <w:r>
        <w:rPr>
          <w:rFonts w:hint="eastAsia" w:eastAsia="仿宋_GB2312"/>
          <w:color w:val="000000"/>
          <w:sz w:val="32"/>
          <w:szCs w:val="32"/>
        </w:rPr>
        <w:t>。</w:t>
      </w:r>
    </w:p>
    <w:p w14:paraId="4214DF8C">
      <w:pPr>
        <w:ind w:firstLine="640" w:firstLineChars="200"/>
        <w:rPr>
          <w:rFonts w:eastAsia="仿宋_GB2312"/>
          <w:color w:val="000000"/>
          <w:sz w:val="32"/>
          <w:szCs w:val="32"/>
        </w:rPr>
      </w:pPr>
      <w:r>
        <w:rPr>
          <w:rFonts w:hint="eastAsia" w:eastAsia="仿宋_GB2312"/>
          <w:color w:val="000000"/>
          <w:sz w:val="32"/>
          <w:szCs w:val="32"/>
          <w:lang w:val="en-US" w:eastAsia="zh-CN"/>
        </w:rPr>
        <w:t>18</w:t>
      </w:r>
      <w:r>
        <w:rPr>
          <w:rFonts w:hint="eastAsia" w:eastAsia="仿宋_GB2312"/>
          <w:color w:val="000000"/>
          <w:sz w:val="32"/>
          <w:szCs w:val="32"/>
        </w:rPr>
        <w:t>.住房保障支出（类）住房改革支出（款）住房公积金（项）：指行政事业单位按人力资源和社会保障部、财政部规定的基本工资和津贴补贴以及规定比例为职工缴纳的住房公积金。</w:t>
      </w:r>
    </w:p>
    <w:p w14:paraId="16750E34">
      <w:pPr>
        <w:ind w:firstLine="640" w:firstLineChars="200"/>
        <w:rPr>
          <w:rFonts w:ascii="仿宋_GB2312" w:eastAsia="仿宋_GB2312"/>
          <w:sz w:val="32"/>
          <w:szCs w:val="32"/>
        </w:rPr>
      </w:pPr>
      <w:r>
        <w:rPr>
          <w:rFonts w:hint="eastAsia" w:ascii="仿宋_GB2312" w:eastAsia="仿宋_GB2312"/>
          <w:sz w:val="32"/>
          <w:szCs w:val="32"/>
          <w:lang w:val="en-US" w:eastAsia="zh-CN"/>
        </w:rPr>
        <w:t>19</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032C4F9A">
      <w:pPr>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514165C6">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21</w:t>
      </w:r>
      <w:r>
        <w:rPr>
          <w:rFonts w:ascii="仿宋_GB2312" w:eastAsia="仿宋_GB2312"/>
          <w:color w:val="auto"/>
          <w:sz w:val="32"/>
          <w:szCs w:val="32"/>
        </w:rPr>
        <w:t>.</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910D010">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22</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476C12D">
      <w:pPr>
        <w:spacing w:line="600" w:lineRule="exact"/>
        <w:jc w:val="center"/>
        <w:outlineLvl w:val="0"/>
        <w:rPr>
          <w:rStyle w:val="28"/>
          <w:rFonts w:eastAsia="黑体"/>
          <w:b w:val="0"/>
        </w:rPr>
      </w:pPr>
      <w:r>
        <w:rPr>
          <w:rFonts w:hint="eastAsia" w:eastAsia="仿宋_GB2312" w:cs="仿宋_GB2312"/>
          <w:sz w:val="32"/>
          <w:szCs w:val="32"/>
        </w:rPr>
        <w:br w:type="page"/>
      </w:r>
      <w:bookmarkStart w:id="67" w:name="_Toc19847"/>
      <w:bookmarkStart w:id="68" w:name="_Toc15396614"/>
      <w:r>
        <w:rPr>
          <w:rFonts w:hint="eastAsia" w:ascii="方正小标宋简体" w:hAnsi="方正小标宋简体" w:eastAsia="方正小标宋简体" w:cs="方正小标宋简体"/>
          <w:b w:val="0"/>
          <w:bCs w:val="0"/>
          <w:kern w:val="44"/>
          <w:sz w:val="44"/>
          <w:szCs w:val="44"/>
          <w:lang w:val="en-US" w:eastAsia="zh-CN" w:bidi="ar-SA"/>
        </w:rPr>
        <w:t>第四部分  附件</w:t>
      </w:r>
      <w:bookmarkEnd w:id="67"/>
      <w:bookmarkEnd w:id="68"/>
    </w:p>
    <w:p w14:paraId="2B8E2053">
      <w:pPr>
        <w:pStyle w:val="7"/>
        <w:spacing w:line="560" w:lineRule="exact"/>
        <w:ind w:left="0" w:leftChars="0" w:firstLine="640"/>
        <w:rPr>
          <w:rFonts w:hint="eastAsia" w:ascii="Times New Roman" w:eastAsia="仿宋_GB2312" w:cs="仿宋_GB2312"/>
          <w:b w:val="0"/>
          <w:bCs/>
          <w:kern w:val="0"/>
          <w:sz w:val="32"/>
        </w:rPr>
      </w:pPr>
    </w:p>
    <w:p w14:paraId="1FE56A20">
      <w:pPr>
        <w:pStyle w:val="7"/>
        <w:spacing w:line="560" w:lineRule="exact"/>
        <w:ind w:left="0" w:leftChars="0" w:firstLine="640"/>
        <w:rPr>
          <w:rFonts w:ascii="Times New Roman" w:eastAsia="仿宋_GB2312" w:cs="仿宋_GB2312"/>
          <w:b w:val="0"/>
          <w:bCs/>
          <w:kern w:val="0"/>
          <w:sz w:val="32"/>
        </w:rPr>
      </w:pPr>
      <w:r>
        <w:rPr>
          <w:rFonts w:hint="eastAsia" w:ascii="Times New Roman" w:eastAsia="仿宋_GB2312" w:cs="仿宋_GB2312"/>
          <w:b w:val="0"/>
          <w:bCs/>
          <w:kern w:val="0"/>
          <w:sz w:val="32"/>
          <w:lang w:eastAsia="zh-CN"/>
        </w:rPr>
        <w:t>单位</w:t>
      </w:r>
      <w:r>
        <w:rPr>
          <w:rFonts w:hint="eastAsia" w:ascii="Times New Roman" w:eastAsia="仿宋_GB2312" w:cs="仿宋_GB2312"/>
          <w:b w:val="0"/>
          <w:bCs/>
          <w:kern w:val="0"/>
          <w:sz w:val="32"/>
        </w:rPr>
        <w:t>预算项目支出绩效自评表（2025年度）</w:t>
      </w:r>
      <w:r>
        <w:rPr>
          <w:rFonts w:hint="eastAsia" w:ascii="Times New Roman" w:eastAsia="仿宋_GB2312" w:cs="仿宋_GB2312"/>
          <w:b w:val="0"/>
          <w:bCs/>
          <w:kern w:val="0"/>
          <w:sz w:val="32"/>
          <w:lang w:eastAsia="zh-CN"/>
        </w:rPr>
        <w:t>详见附件</w:t>
      </w:r>
      <w:r>
        <w:rPr>
          <w:rFonts w:hint="eastAsia" w:ascii="Times New Roman" w:eastAsia="仿宋_GB2312" w:cs="仿宋_GB2312"/>
          <w:b w:val="0"/>
          <w:bCs/>
          <w:kern w:val="0"/>
          <w:sz w:val="32"/>
          <w:lang w:val="en-US" w:eastAsia="zh-CN"/>
        </w:rPr>
        <w:t>1</w:t>
      </w:r>
      <w:r>
        <w:rPr>
          <w:rFonts w:hint="eastAsia" w:ascii="Times New Roman" w:eastAsia="仿宋_GB2312" w:cs="仿宋_GB2312"/>
          <w:b w:val="0"/>
          <w:bCs/>
          <w:kern w:val="0"/>
          <w:sz w:val="32"/>
        </w:rPr>
        <w:t>。</w:t>
      </w:r>
    </w:p>
    <w:p w14:paraId="1F6E0713">
      <w:pPr>
        <w:spacing w:line="572" w:lineRule="exact"/>
        <w:jc w:val="left"/>
        <w:outlineLvl w:val="9"/>
        <w:rPr>
          <w:rFonts w:eastAsia="黑体" w:cs="黑体"/>
          <w:color w:val="FF0000"/>
          <w:sz w:val="32"/>
          <w:szCs w:val="32"/>
        </w:rPr>
      </w:pPr>
    </w:p>
    <w:p w14:paraId="57270C61">
      <w:pPr>
        <w:pStyle w:val="13"/>
      </w:pPr>
    </w:p>
    <w:p w14:paraId="58CA165B">
      <w:pPr>
        <w:spacing w:line="578" w:lineRule="exact"/>
        <w:ind w:firstLine="640"/>
        <w:rPr>
          <w:rFonts w:eastAsia="仿宋_GB2312" w:cs="仿宋_GB2312"/>
          <w:kern w:val="0"/>
          <w:sz w:val="32"/>
          <w:szCs w:val="32"/>
        </w:rPr>
      </w:pPr>
      <w:bookmarkStart w:id="69" w:name="_Toc15396618"/>
      <w:r>
        <w:rPr>
          <w:rFonts w:hint="eastAsia" w:eastAsia="仿宋_GB2312" w:cs="仿宋_GB2312"/>
          <w:kern w:val="0"/>
          <w:sz w:val="32"/>
          <w:szCs w:val="32"/>
        </w:rPr>
        <w:br w:type="page"/>
      </w:r>
    </w:p>
    <w:p w14:paraId="2511037B">
      <w:pPr>
        <w:pStyle w:val="3"/>
        <w:bidi w:val="0"/>
        <w:jc w:val="center"/>
        <w:rPr>
          <w:rFonts w:hint="eastAsia" w:ascii="方正小标宋简体" w:hAnsi="方正小标宋简体" w:eastAsia="方正小标宋简体" w:cs="方正小标宋简体"/>
          <w:b w:val="0"/>
          <w:bCs w:val="0"/>
        </w:rPr>
      </w:pPr>
      <w:bookmarkStart w:id="70" w:name="_Toc25916"/>
      <w:r>
        <w:rPr>
          <w:rFonts w:hint="eastAsia" w:ascii="方正小标宋简体" w:hAnsi="方正小标宋简体" w:eastAsia="方正小标宋简体" w:cs="方正小标宋简体"/>
          <w:b w:val="0"/>
          <w:bCs w:val="0"/>
        </w:rPr>
        <w:t>第五部分 附表</w:t>
      </w:r>
      <w:bookmarkEnd w:id="66"/>
      <w:bookmarkEnd w:id="69"/>
      <w:bookmarkEnd w:id="70"/>
      <w:bookmarkStart w:id="71" w:name="_Toc15396619"/>
    </w:p>
    <w:p w14:paraId="0AECE401">
      <w:pPr>
        <w:pStyle w:val="14"/>
        <w:adjustRightInd w:val="0"/>
        <w:snapToGrid w:val="0"/>
        <w:spacing w:line="560" w:lineRule="exact"/>
        <w:jc w:val="left"/>
        <w:rPr>
          <w:rFonts w:eastAsia="仿宋_GB2312" w:cs="仿宋_GB2312"/>
          <w:sz w:val="32"/>
          <w:szCs w:val="32"/>
        </w:rPr>
      </w:pPr>
    </w:p>
    <w:p w14:paraId="11E2356E">
      <w:pPr>
        <w:pStyle w:val="4"/>
        <w:keepNext/>
        <w:keepLines/>
        <w:pageBreakBefore w:val="0"/>
        <w:widowControl w:val="0"/>
        <w:numPr>
          <w:ilvl w:val="0"/>
          <w:numId w:val="5"/>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72" w:name="_Toc20469"/>
      <w:r>
        <w:rPr>
          <w:rFonts w:hint="eastAsia" w:ascii="黑体" w:hAnsi="黑体" w:eastAsia="黑体" w:cs="黑体"/>
          <w:b w:val="0"/>
          <w:bCs w:val="0"/>
        </w:rPr>
        <w:t>收入支出决算总表</w:t>
      </w:r>
      <w:bookmarkEnd w:id="71"/>
      <w:bookmarkEnd w:id="72"/>
    </w:p>
    <w:p w14:paraId="706C5D62">
      <w:pPr>
        <w:pStyle w:val="4"/>
        <w:keepNext/>
        <w:keepLines/>
        <w:pageBreakBefore w:val="0"/>
        <w:widowControl w:val="0"/>
        <w:numPr>
          <w:ilvl w:val="0"/>
          <w:numId w:val="5"/>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73" w:name="_Toc31793"/>
      <w:bookmarkStart w:id="74" w:name="_Toc15396620"/>
      <w:r>
        <w:rPr>
          <w:rFonts w:hint="eastAsia" w:ascii="黑体" w:hAnsi="黑体" w:eastAsia="黑体" w:cs="黑体"/>
          <w:b w:val="0"/>
          <w:bCs w:val="0"/>
        </w:rPr>
        <w:t>收入决算表</w:t>
      </w:r>
      <w:bookmarkEnd w:id="73"/>
      <w:bookmarkEnd w:id="74"/>
    </w:p>
    <w:p w14:paraId="31CC1D8E">
      <w:pPr>
        <w:pStyle w:val="4"/>
        <w:keepNext/>
        <w:keepLines/>
        <w:pageBreakBefore w:val="0"/>
        <w:widowControl w:val="0"/>
        <w:numPr>
          <w:ilvl w:val="0"/>
          <w:numId w:val="5"/>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75" w:name="_Toc27762"/>
      <w:bookmarkStart w:id="76" w:name="_Toc15396621"/>
      <w:r>
        <w:rPr>
          <w:rFonts w:hint="eastAsia" w:ascii="黑体" w:hAnsi="黑体" w:eastAsia="黑体" w:cs="黑体"/>
          <w:b w:val="0"/>
          <w:bCs w:val="0"/>
        </w:rPr>
        <w:t>支出决算表</w:t>
      </w:r>
      <w:bookmarkEnd w:id="75"/>
      <w:bookmarkEnd w:id="76"/>
    </w:p>
    <w:p w14:paraId="64BC872D">
      <w:pPr>
        <w:pStyle w:val="4"/>
        <w:keepNext/>
        <w:keepLines/>
        <w:pageBreakBefore w:val="0"/>
        <w:widowControl w:val="0"/>
        <w:numPr>
          <w:ilvl w:val="0"/>
          <w:numId w:val="5"/>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77" w:name="_Toc20030"/>
      <w:bookmarkStart w:id="78" w:name="_Toc15396622"/>
      <w:r>
        <w:rPr>
          <w:rFonts w:hint="eastAsia" w:ascii="黑体" w:hAnsi="黑体" w:eastAsia="黑体" w:cs="黑体"/>
          <w:b w:val="0"/>
          <w:bCs w:val="0"/>
        </w:rPr>
        <w:t>财政拨款收入支出决算总表</w:t>
      </w:r>
      <w:bookmarkEnd w:id="77"/>
      <w:bookmarkEnd w:id="78"/>
    </w:p>
    <w:p w14:paraId="5E414364">
      <w:pPr>
        <w:pStyle w:val="4"/>
        <w:keepNext/>
        <w:keepLines/>
        <w:pageBreakBefore w:val="0"/>
        <w:widowControl w:val="0"/>
        <w:numPr>
          <w:ilvl w:val="0"/>
          <w:numId w:val="5"/>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79" w:name="_Toc15396623"/>
      <w:bookmarkStart w:id="80" w:name="_Toc7389"/>
      <w:r>
        <w:rPr>
          <w:rFonts w:hint="eastAsia" w:ascii="黑体" w:hAnsi="黑体" w:eastAsia="黑体" w:cs="黑体"/>
          <w:b w:val="0"/>
          <w:bCs w:val="0"/>
        </w:rPr>
        <w:t>财政拨款支出决算明细表</w:t>
      </w:r>
      <w:bookmarkEnd w:id="79"/>
      <w:bookmarkEnd w:id="80"/>
      <w:bookmarkStart w:id="81" w:name="_Toc15396624"/>
    </w:p>
    <w:p w14:paraId="0C9289BA">
      <w:pPr>
        <w:pStyle w:val="4"/>
        <w:keepNext/>
        <w:keepLines/>
        <w:pageBreakBefore w:val="0"/>
        <w:widowControl w:val="0"/>
        <w:numPr>
          <w:ilvl w:val="0"/>
          <w:numId w:val="5"/>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82" w:name="_Toc29160"/>
      <w:r>
        <w:rPr>
          <w:rFonts w:hint="eastAsia" w:ascii="黑体" w:hAnsi="黑体" w:eastAsia="黑体" w:cs="黑体"/>
          <w:b w:val="0"/>
          <w:bCs w:val="0"/>
        </w:rPr>
        <w:t>一般公共预算财政拨款支出决算表</w:t>
      </w:r>
      <w:bookmarkEnd w:id="81"/>
      <w:bookmarkEnd w:id="82"/>
    </w:p>
    <w:p w14:paraId="657677A1">
      <w:pPr>
        <w:pStyle w:val="4"/>
        <w:keepNext/>
        <w:keepLines/>
        <w:pageBreakBefore w:val="0"/>
        <w:widowControl w:val="0"/>
        <w:numPr>
          <w:ilvl w:val="0"/>
          <w:numId w:val="5"/>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83" w:name="_Toc15396625"/>
      <w:bookmarkStart w:id="84" w:name="_Toc6462"/>
      <w:r>
        <w:rPr>
          <w:rFonts w:hint="eastAsia" w:ascii="黑体" w:hAnsi="黑体" w:eastAsia="黑体" w:cs="黑体"/>
          <w:b w:val="0"/>
          <w:bCs w:val="0"/>
        </w:rPr>
        <w:t>一般公共预算财政拨款支出决算明细表</w:t>
      </w:r>
      <w:bookmarkEnd w:id="83"/>
      <w:bookmarkEnd w:id="84"/>
    </w:p>
    <w:p w14:paraId="7C24F2AF">
      <w:pPr>
        <w:pStyle w:val="4"/>
        <w:keepNext/>
        <w:keepLines/>
        <w:pageBreakBefore w:val="0"/>
        <w:widowControl w:val="0"/>
        <w:numPr>
          <w:ilvl w:val="0"/>
          <w:numId w:val="5"/>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85" w:name="_Toc13387"/>
      <w:bookmarkStart w:id="86" w:name="_Toc15396626"/>
      <w:r>
        <w:rPr>
          <w:rFonts w:hint="eastAsia" w:ascii="黑体" w:hAnsi="黑体" w:eastAsia="黑体" w:cs="黑体"/>
          <w:b w:val="0"/>
          <w:bCs w:val="0"/>
        </w:rPr>
        <w:t>一般公共预算财政拨款基本支出决算表</w:t>
      </w:r>
      <w:bookmarkEnd w:id="85"/>
      <w:bookmarkEnd w:id="86"/>
    </w:p>
    <w:p w14:paraId="7DAD008A">
      <w:pPr>
        <w:pStyle w:val="4"/>
        <w:keepNext/>
        <w:keepLines/>
        <w:pageBreakBefore w:val="0"/>
        <w:widowControl w:val="0"/>
        <w:numPr>
          <w:ilvl w:val="0"/>
          <w:numId w:val="5"/>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87" w:name="_Toc25260"/>
      <w:bookmarkStart w:id="88" w:name="_Toc15396627"/>
      <w:r>
        <w:rPr>
          <w:rFonts w:hint="eastAsia" w:ascii="黑体" w:hAnsi="黑体" w:eastAsia="黑体" w:cs="黑体"/>
          <w:b w:val="0"/>
          <w:bCs w:val="0"/>
        </w:rPr>
        <w:t>一般公共预算财政拨款项目支出决算表</w:t>
      </w:r>
      <w:bookmarkEnd w:id="87"/>
      <w:bookmarkEnd w:id="88"/>
    </w:p>
    <w:p w14:paraId="64C242E4">
      <w:pPr>
        <w:pStyle w:val="4"/>
        <w:keepNext/>
        <w:keepLines/>
        <w:pageBreakBefore w:val="0"/>
        <w:widowControl w:val="0"/>
        <w:numPr>
          <w:ilvl w:val="0"/>
          <w:numId w:val="5"/>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89" w:name="_Toc222"/>
      <w:r>
        <w:rPr>
          <w:rFonts w:hint="eastAsia" w:ascii="黑体" w:hAnsi="黑体" w:eastAsia="黑体" w:cs="黑体"/>
          <w:b w:val="0"/>
          <w:bCs w:val="0"/>
        </w:rPr>
        <w:t>政府性基金预算财政拨款收入支出决算表</w:t>
      </w:r>
      <w:bookmarkEnd w:id="89"/>
    </w:p>
    <w:p w14:paraId="7872AEEE">
      <w:pPr>
        <w:pStyle w:val="4"/>
        <w:keepNext/>
        <w:keepLines/>
        <w:pageBreakBefore w:val="0"/>
        <w:widowControl w:val="0"/>
        <w:numPr>
          <w:ilvl w:val="0"/>
          <w:numId w:val="5"/>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90" w:name="_Toc29307"/>
      <w:r>
        <w:rPr>
          <w:rFonts w:hint="eastAsia" w:ascii="黑体" w:hAnsi="黑体" w:eastAsia="黑体" w:cs="黑体"/>
          <w:b w:val="0"/>
          <w:bCs w:val="0"/>
        </w:rPr>
        <w:t>国有资本经营预算财政拨款收入支出决算表</w:t>
      </w:r>
      <w:bookmarkEnd w:id="90"/>
    </w:p>
    <w:p w14:paraId="190E1BC4">
      <w:pPr>
        <w:pStyle w:val="4"/>
        <w:keepNext/>
        <w:keepLines/>
        <w:pageBreakBefore w:val="0"/>
        <w:widowControl w:val="0"/>
        <w:numPr>
          <w:ilvl w:val="0"/>
          <w:numId w:val="5"/>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91" w:name="_Toc8313"/>
      <w:r>
        <w:rPr>
          <w:rFonts w:hint="eastAsia" w:ascii="黑体" w:hAnsi="黑体" w:eastAsia="黑体" w:cs="黑体"/>
          <w:b w:val="0"/>
          <w:bCs w:val="0"/>
        </w:rPr>
        <w:t>国有资本经营预算财政拨款支出决算表</w:t>
      </w:r>
      <w:bookmarkEnd w:id="91"/>
    </w:p>
    <w:p w14:paraId="6A971550">
      <w:pPr>
        <w:pStyle w:val="4"/>
        <w:keepNext/>
        <w:keepLines/>
        <w:pageBreakBefore w:val="0"/>
        <w:widowControl w:val="0"/>
        <w:numPr>
          <w:ilvl w:val="0"/>
          <w:numId w:val="5"/>
        </w:numPr>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b w:val="0"/>
          <w:bCs w:val="0"/>
        </w:rPr>
      </w:pPr>
      <w:bookmarkStart w:id="92" w:name="_Toc6059"/>
      <w:r>
        <w:rPr>
          <w:rFonts w:hint="eastAsia" w:ascii="黑体" w:hAnsi="黑体" w:eastAsia="黑体" w:cs="黑体"/>
          <w:b w:val="0"/>
          <w:bCs w:val="0"/>
        </w:rPr>
        <w:t>财政拨款“三公”经费支出决算表</w:t>
      </w:r>
      <w:bookmarkEnd w:id="92"/>
    </w:p>
    <w:p w14:paraId="5EAA43EC"/>
    <w:sectPr>
      <w:footerReference r:id="rId7" w:type="first"/>
      <w:footerReference r:id="rId6"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F5F0F">
    <w:pPr>
      <w:pStyle w:val="10"/>
      <w:jc w:val="center"/>
    </w:pPr>
  </w:p>
  <w:p w14:paraId="2D6BCCFB">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2993D">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838D1">
    <w:pPr>
      <w:pStyle w:val="10"/>
      <w:jc w:val="center"/>
    </w:pPr>
  </w:p>
  <w:p w14:paraId="5B502A1E">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D8D57">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8AD142">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08AD142">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F71DD">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63DE3E"/>
    <w:multiLevelType w:val="singleLevel"/>
    <w:tmpl w:val="CA63DE3E"/>
    <w:lvl w:ilvl="0" w:tentative="0">
      <w:start w:val="3"/>
      <w:numFmt w:val="decimal"/>
      <w:lvlText w:val="%1."/>
      <w:lvlJc w:val="left"/>
      <w:pPr>
        <w:tabs>
          <w:tab w:val="left" w:pos="312"/>
        </w:tabs>
      </w:pPr>
    </w:lvl>
  </w:abstractNum>
  <w:abstractNum w:abstractNumId="1">
    <w:nsid w:val="F7FCD2BF"/>
    <w:multiLevelType w:val="singleLevel"/>
    <w:tmpl w:val="F7FCD2BF"/>
    <w:lvl w:ilvl="0" w:tentative="0">
      <w:start w:val="1"/>
      <w:numFmt w:val="chineseCounting"/>
      <w:suff w:val="nothing"/>
      <w:lvlText w:val="%1、"/>
      <w:lvlJc w:val="left"/>
      <w:rPr>
        <w:rFonts w:hint="eastAsia"/>
      </w:rPr>
    </w:lvl>
  </w:abstractNum>
  <w:abstractNum w:abstractNumId="2">
    <w:nsid w:val="0E11A18C"/>
    <w:multiLevelType w:val="singleLevel"/>
    <w:tmpl w:val="0E11A18C"/>
    <w:lvl w:ilvl="0" w:tentative="0">
      <w:start w:val="1"/>
      <w:numFmt w:val="chineseCounting"/>
      <w:suff w:val="nothing"/>
      <w:lvlText w:val="%1、"/>
      <w:lvlJc w:val="left"/>
      <w:rPr>
        <w:rFonts w:hint="eastAsia"/>
      </w:rPr>
    </w:lvl>
  </w:abstractNum>
  <w:abstractNum w:abstractNumId="3">
    <w:nsid w:val="1CCFF076"/>
    <w:multiLevelType w:val="singleLevel"/>
    <w:tmpl w:val="1CCFF076"/>
    <w:lvl w:ilvl="0" w:tentative="0">
      <w:start w:val="1"/>
      <w:numFmt w:val="chineseCounting"/>
      <w:suff w:val="nothing"/>
      <w:lvlText w:val="%1、"/>
      <w:lvlJc w:val="left"/>
      <w:rPr>
        <w:rFonts w:hint="eastAsia"/>
      </w:rPr>
    </w:lvl>
  </w:abstractNum>
  <w:abstractNum w:abstractNumId="4">
    <w:nsid w:val="64FCFBAD"/>
    <w:multiLevelType w:val="singleLevel"/>
    <w:tmpl w:val="64FCFBAD"/>
    <w:lvl w:ilvl="0" w:tentative="0">
      <w:start w:val="1"/>
      <w:numFmt w:val="decimal"/>
      <w:suff w:val="nothing"/>
      <w:lvlText w:val="%1、"/>
      <w:lvlJc w:val="left"/>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E303F1"/>
    <w:rsid w:val="02090159"/>
    <w:rsid w:val="02317B1B"/>
    <w:rsid w:val="02FEBE30"/>
    <w:rsid w:val="061E35DE"/>
    <w:rsid w:val="066E0107"/>
    <w:rsid w:val="07033AFF"/>
    <w:rsid w:val="07996F6E"/>
    <w:rsid w:val="07DFD8BA"/>
    <w:rsid w:val="08DB07E4"/>
    <w:rsid w:val="09310F40"/>
    <w:rsid w:val="09867E8F"/>
    <w:rsid w:val="09BC239E"/>
    <w:rsid w:val="0A2032A3"/>
    <w:rsid w:val="0C692D33"/>
    <w:rsid w:val="0C6C4794"/>
    <w:rsid w:val="0CA8290A"/>
    <w:rsid w:val="0D35B1ED"/>
    <w:rsid w:val="0DE07E2B"/>
    <w:rsid w:val="0F2611C4"/>
    <w:rsid w:val="0F98263C"/>
    <w:rsid w:val="101860EC"/>
    <w:rsid w:val="10C055FF"/>
    <w:rsid w:val="1174706F"/>
    <w:rsid w:val="11772AA4"/>
    <w:rsid w:val="118107EC"/>
    <w:rsid w:val="13D50BC4"/>
    <w:rsid w:val="14022904"/>
    <w:rsid w:val="152F2A07"/>
    <w:rsid w:val="15732B3D"/>
    <w:rsid w:val="165E0673"/>
    <w:rsid w:val="16BB723D"/>
    <w:rsid w:val="17EE4275"/>
    <w:rsid w:val="186504BB"/>
    <w:rsid w:val="18930E26"/>
    <w:rsid w:val="1938089F"/>
    <w:rsid w:val="19A445FC"/>
    <w:rsid w:val="19D5052A"/>
    <w:rsid w:val="1B1E4963"/>
    <w:rsid w:val="1B7D550C"/>
    <w:rsid w:val="1B9143C5"/>
    <w:rsid w:val="1BE8440E"/>
    <w:rsid w:val="1D155CEE"/>
    <w:rsid w:val="1DE34C2C"/>
    <w:rsid w:val="1E416E26"/>
    <w:rsid w:val="1E740ACF"/>
    <w:rsid w:val="1FF35744"/>
    <w:rsid w:val="1FF6BC77"/>
    <w:rsid w:val="20387569"/>
    <w:rsid w:val="20CD6F91"/>
    <w:rsid w:val="217104F7"/>
    <w:rsid w:val="21962A9E"/>
    <w:rsid w:val="21AE7C77"/>
    <w:rsid w:val="22747CA6"/>
    <w:rsid w:val="229D4CDD"/>
    <w:rsid w:val="22BC3C41"/>
    <w:rsid w:val="23860B96"/>
    <w:rsid w:val="240371BF"/>
    <w:rsid w:val="25A53853"/>
    <w:rsid w:val="260F557C"/>
    <w:rsid w:val="26CE39DD"/>
    <w:rsid w:val="272D4EA3"/>
    <w:rsid w:val="281408E2"/>
    <w:rsid w:val="29FD04D3"/>
    <w:rsid w:val="2AD51ED6"/>
    <w:rsid w:val="2BC2085A"/>
    <w:rsid w:val="2BFF7BC6"/>
    <w:rsid w:val="2C8A61B5"/>
    <w:rsid w:val="2D2E01CF"/>
    <w:rsid w:val="2DF04E50"/>
    <w:rsid w:val="2E130E82"/>
    <w:rsid w:val="2E9545B0"/>
    <w:rsid w:val="2F040D46"/>
    <w:rsid w:val="2F9D0015"/>
    <w:rsid w:val="2FAE5751"/>
    <w:rsid w:val="2FB1A395"/>
    <w:rsid w:val="2FD9A7D8"/>
    <w:rsid w:val="2FEC6E24"/>
    <w:rsid w:val="2FFD7E81"/>
    <w:rsid w:val="319F7F4E"/>
    <w:rsid w:val="321B2544"/>
    <w:rsid w:val="325D2496"/>
    <w:rsid w:val="3304709D"/>
    <w:rsid w:val="33B06CAD"/>
    <w:rsid w:val="34281836"/>
    <w:rsid w:val="349D6851"/>
    <w:rsid w:val="34E4385B"/>
    <w:rsid w:val="354E5036"/>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B13F7E"/>
    <w:rsid w:val="3BEB1F35"/>
    <w:rsid w:val="3BF5BC2F"/>
    <w:rsid w:val="3CEBA265"/>
    <w:rsid w:val="3D98207C"/>
    <w:rsid w:val="3D9B0D99"/>
    <w:rsid w:val="3DEE7CF3"/>
    <w:rsid w:val="3DF02244"/>
    <w:rsid w:val="3DF33233"/>
    <w:rsid w:val="3E78745D"/>
    <w:rsid w:val="3FB03A84"/>
    <w:rsid w:val="3FF4CAE0"/>
    <w:rsid w:val="3FF7B227"/>
    <w:rsid w:val="40E54C45"/>
    <w:rsid w:val="412907F7"/>
    <w:rsid w:val="414B6CE4"/>
    <w:rsid w:val="41852B3D"/>
    <w:rsid w:val="428A7250"/>
    <w:rsid w:val="42AC1414"/>
    <w:rsid w:val="43A407DF"/>
    <w:rsid w:val="44515BEA"/>
    <w:rsid w:val="44E268DA"/>
    <w:rsid w:val="453F7E5B"/>
    <w:rsid w:val="4589206F"/>
    <w:rsid w:val="45E23A69"/>
    <w:rsid w:val="486A6C7A"/>
    <w:rsid w:val="49176D9B"/>
    <w:rsid w:val="494979FB"/>
    <w:rsid w:val="4A3D7667"/>
    <w:rsid w:val="4A627F82"/>
    <w:rsid w:val="4ACF2BD1"/>
    <w:rsid w:val="4B0E749A"/>
    <w:rsid w:val="4B4F25DA"/>
    <w:rsid w:val="4B730840"/>
    <w:rsid w:val="4BDA0CFB"/>
    <w:rsid w:val="4BE068DB"/>
    <w:rsid w:val="4D382228"/>
    <w:rsid w:val="4D3C0CCC"/>
    <w:rsid w:val="4D577224"/>
    <w:rsid w:val="4D8E3A33"/>
    <w:rsid w:val="4DBF1CEB"/>
    <w:rsid w:val="4EAB630A"/>
    <w:rsid w:val="4EBD1B3D"/>
    <w:rsid w:val="4ECE2238"/>
    <w:rsid w:val="4F833267"/>
    <w:rsid w:val="4FA84049"/>
    <w:rsid w:val="4FE9BD67"/>
    <w:rsid w:val="4FFB052F"/>
    <w:rsid w:val="51B64180"/>
    <w:rsid w:val="53083A92"/>
    <w:rsid w:val="53104095"/>
    <w:rsid w:val="537E6D0A"/>
    <w:rsid w:val="53AF27A2"/>
    <w:rsid w:val="53F74C96"/>
    <w:rsid w:val="560913F8"/>
    <w:rsid w:val="56E47B74"/>
    <w:rsid w:val="57BD3DD4"/>
    <w:rsid w:val="59B234B4"/>
    <w:rsid w:val="5AF92295"/>
    <w:rsid w:val="5B7D3F08"/>
    <w:rsid w:val="5BDD79E6"/>
    <w:rsid w:val="5BF561CA"/>
    <w:rsid w:val="5BFF5DFC"/>
    <w:rsid w:val="5CD71FC4"/>
    <w:rsid w:val="5D1F11B5"/>
    <w:rsid w:val="5DAE1B18"/>
    <w:rsid w:val="5DE7D9E5"/>
    <w:rsid w:val="5ECEC941"/>
    <w:rsid w:val="5F4937DE"/>
    <w:rsid w:val="5F493CB7"/>
    <w:rsid w:val="5FBF9FF3"/>
    <w:rsid w:val="5FCD4E2C"/>
    <w:rsid w:val="5FD15F49"/>
    <w:rsid w:val="5FEF394A"/>
    <w:rsid w:val="5FF67715"/>
    <w:rsid w:val="62BF3928"/>
    <w:rsid w:val="64142A6F"/>
    <w:rsid w:val="647F5392"/>
    <w:rsid w:val="664B1D71"/>
    <w:rsid w:val="67AA3209"/>
    <w:rsid w:val="681C4F0D"/>
    <w:rsid w:val="69046D0F"/>
    <w:rsid w:val="698D0931"/>
    <w:rsid w:val="6A923233"/>
    <w:rsid w:val="6A993CED"/>
    <w:rsid w:val="6A9F107A"/>
    <w:rsid w:val="6ABF246F"/>
    <w:rsid w:val="6B053271"/>
    <w:rsid w:val="6BCE6674"/>
    <w:rsid w:val="6C4A05C8"/>
    <w:rsid w:val="6C8742B8"/>
    <w:rsid w:val="6C8A170F"/>
    <w:rsid w:val="6CB54609"/>
    <w:rsid w:val="6DBF5E93"/>
    <w:rsid w:val="6DFF077E"/>
    <w:rsid w:val="6E7E3605"/>
    <w:rsid w:val="6E7FDCC7"/>
    <w:rsid w:val="6ED6A62E"/>
    <w:rsid w:val="6EE00B15"/>
    <w:rsid w:val="6EE202E9"/>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2901346"/>
    <w:rsid w:val="72CB5DE1"/>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73332C"/>
    <w:rsid w:val="79974F09"/>
    <w:rsid w:val="79D7FD79"/>
    <w:rsid w:val="79EE5BA4"/>
    <w:rsid w:val="7A894339"/>
    <w:rsid w:val="7A962EAF"/>
    <w:rsid w:val="7AFF7572"/>
    <w:rsid w:val="7B6C7DFB"/>
    <w:rsid w:val="7BBFBED0"/>
    <w:rsid w:val="7BC3E394"/>
    <w:rsid w:val="7C1F3737"/>
    <w:rsid w:val="7C377426"/>
    <w:rsid w:val="7CBFC87B"/>
    <w:rsid w:val="7CFE0F48"/>
    <w:rsid w:val="7D7EC23E"/>
    <w:rsid w:val="7D916348"/>
    <w:rsid w:val="7DE45B1A"/>
    <w:rsid w:val="7E8ADEBF"/>
    <w:rsid w:val="7EEF11D3"/>
    <w:rsid w:val="7F0971A6"/>
    <w:rsid w:val="7F3F679B"/>
    <w:rsid w:val="7F4FC4EF"/>
    <w:rsid w:val="7F5E4D54"/>
    <w:rsid w:val="7F6E0135"/>
    <w:rsid w:val="7F815F4B"/>
    <w:rsid w:val="7FA30C79"/>
    <w:rsid w:val="7FAF8ABF"/>
    <w:rsid w:val="7FB7269E"/>
    <w:rsid w:val="7FC32D26"/>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5"/>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Times New Roman" w:hAnsi="Times New Roman" w:eastAsia="仿宋"/>
      <w:sz w:val="32"/>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rPr>
      <w:rFonts w:ascii="Times New Roman" w:hAnsi="Times New Roman" w:eastAsia="仿宋"/>
      <w:sz w:val="32"/>
    </w:r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7"/>
    <w:qFormat/>
    <w:uiPriority w:val="99"/>
    <w:rPr>
      <w:rFonts w:ascii="仿宋_GB2312"/>
      <w:kern w:val="2"/>
      <w:sz w:val="21"/>
      <w:szCs w:val="32"/>
    </w:rPr>
  </w:style>
  <w:style w:type="paragraph" w:customStyle="1" w:styleId="36">
    <w:name w:val="WPSOffice手动目录 1"/>
    <w:qFormat/>
    <w:uiPriority w:val="0"/>
    <w:pPr>
      <w:ind w:leftChars="0"/>
    </w:pPr>
    <w:rPr>
      <w:rFonts w:ascii="Times New Roman" w:hAnsi="Times New Roman" w:eastAsia="宋体" w:cs="Times New Roman"/>
      <w:sz w:val="20"/>
      <w:szCs w:val="20"/>
    </w:rPr>
  </w:style>
  <w:style w:type="paragraph" w:customStyle="1" w:styleId="37">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0" i="0" u="none" strike="noStrike" kern="1200" cap="none" spc="50" normalizeH="0" baseline="0">
                <a:solidFill>
                  <a:schemeClr val="tx1">
                    <a:lumMod val="65000"/>
                    <a:lumOff val="35000"/>
                  </a:schemeClr>
                </a:solidFill>
                <a:latin typeface="+mj-lt"/>
                <a:ea typeface="+mj-ea"/>
                <a:cs typeface="+mj-cs"/>
              </a:defRPr>
            </a:pPr>
            <a:r>
              <a:t>收入支出对比</a:t>
            </a:r>
          </a:p>
        </c:rich>
      </c:tx>
      <c:layout>
        <c:manualLayout>
          <c:xMode val="edge"/>
          <c:yMode val="edge"/>
          <c:x val="0.347953216374269"/>
          <c:y val="0.0072498791686805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2025年度</c:v>
                </c:pt>
              </c:strCache>
            </c:strRef>
          </c:tx>
          <c:spPr>
            <a:solidFill>
              <a:schemeClr val="accent6">
                <a:alpha val="7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收入</c:v>
                </c:pt>
                <c:pt idx="1">
                  <c:v>支出</c:v>
                </c:pt>
              </c:strCache>
            </c:strRef>
          </c:cat>
          <c:val>
            <c:numRef>
              <c:f>Sheet1!$B$2:$B$3</c:f>
              <c:numCache>
                <c:formatCode>General</c:formatCode>
                <c:ptCount val="2"/>
                <c:pt idx="0">
                  <c:v>3043.2</c:v>
                </c:pt>
                <c:pt idx="1">
                  <c:v>3043.2</c:v>
                </c:pt>
              </c:numCache>
            </c:numRef>
          </c:val>
        </c:ser>
        <c:ser>
          <c:idx val="1"/>
          <c:order val="1"/>
          <c:tx>
            <c:strRef>
              <c:f>Sheet1!$C$1</c:f>
              <c:strCache>
                <c:ptCount val="1"/>
                <c:pt idx="0">
                  <c:v>2024年度</c:v>
                </c:pt>
              </c:strCache>
            </c:strRef>
          </c:tx>
          <c:spPr>
            <a:solidFill>
              <a:schemeClr val="accent5">
                <a:alpha val="7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收入</c:v>
                </c:pt>
                <c:pt idx="1">
                  <c:v>支出</c:v>
                </c:pt>
              </c:strCache>
            </c:strRef>
          </c:cat>
          <c:val>
            <c:numRef>
              <c:f>Sheet1!$C$2:$C$3</c:f>
              <c:numCache>
                <c:formatCode>General</c:formatCode>
                <c:ptCount val="2"/>
                <c:pt idx="0">
                  <c:v>1432.83</c:v>
                </c:pt>
                <c:pt idx="1">
                  <c:v>1432.83</c:v>
                </c:pt>
              </c:numCache>
            </c:numRef>
          </c:val>
        </c:ser>
        <c:dLbls>
          <c:showLegendKey val="0"/>
          <c:showVal val="1"/>
          <c:showCatName val="0"/>
          <c:showSerName val="0"/>
          <c:showPercent val="0"/>
          <c:showBubbleSize val="0"/>
        </c:dLbls>
        <c:gapWidth val="80"/>
        <c:overlap val="25"/>
        <c:axId val="645858728"/>
        <c:axId val="829565038"/>
      </c:barChart>
      <c:catAx>
        <c:axId val="645858728"/>
        <c:scaling>
          <c:orientation val="minMax"/>
        </c:scaling>
        <c:delete val="0"/>
        <c:axPos val="b"/>
        <c:numFmt formatCode="General" sourceLinked="0"/>
        <c:majorTickMark val="none"/>
        <c:minorTickMark val="none"/>
        <c:tickLblPos val="nextTo"/>
        <c:spPr>
          <a:noFill/>
          <a:ln w="1587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cap="none" spc="20" normalizeH="0" baseline="0">
                <a:solidFill>
                  <a:schemeClr val="tx1">
                    <a:lumMod val="65000"/>
                    <a:lumOff val="35000"/>
                  </a:schemeClr>
                </a:solidFill>
                <a:latin typeface="+mn-lt"/>
                <a:ea typeface="+mn-ea"/>
                <a:cs typeface="+mn-cs"/>
              </a:defRPr>
            </a:pPr>
          </a:p>
        </c:txPr>
        <c:crossAx val="829565038"/>
        <c:crosses val="autoZero"/>
        <c:auto val="1"/>
        <c:lblAlgn val="ctr"/>
        <c:lblOffset val="100"/>
        <c:noMultiLvlLbl val="0"/>
      </c:catAx>
      <c:valAx>
        <c:axId val="829565038"/>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spc="20" baseline="0">
                <a:solidFill>
                  <a:schemeClr val="tx1">
                    <a:lumMod val="65000"/>
                    <a:lumOff val="35000"/>
                  </a:schemeClr>
                </a:solidFill>
                <a:latin typeface="+mn-lt"/>
                <a:ea typeface="+mn-ea"/>
                <a:cs typeface="+mn-cs"/>
              </a:defRPr>
            </a:pPr>
          </a:p>
        </c:txPr>
        <c:crossAx val="6458587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收入</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c:spPr>
          </c:dPt>
          <c:dPt>
            <c:idx val="1"/>
            <c:bubble3D val="0"/>
            <c:spPr>
              <a:solidFill>
                <a:schemeClr val="accent3"/>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c:v>
                </c:pt>
                <c:pt idx="1">
                  <c:v>政府性基金预算</c:v>
                </c:pt>
              </c:strCache>
            </c:strRef>
          </c:cat>
          <c:val>
            <c:numRef>
              <c:f>Sheet1!$B$2:$B$3</c:f>
              <c:numCache>
                <c:formatCode>General</c:formatCode>
                <c:ptCount val="2"/>
                <c:pt idx="0">
                  <c:v>2975.75</c:v>
                </c:pt>
                <c:pt idx="1">
                  <c:v>67.45</c:v>
                </c:pt>
              </c:numCache>
            </c:numRef>
          </c:val>
        </c:ser>
        <c:dLbls>
          <c:showLegendKey val="0"/>
          <c:showVal val="0"/>
          <c:showCatName val="0"/>
          <c:showSerName val="0"/>
          <c:showPercent val="1"/>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cap="none" spc="20" baseline="0">
                <a:solidFill>
                  <a:schemeClr val="tx1">
                    <a:lumMod val="50000"/>
                    <a:lumOff val="50000"/>
                  </a:schemeClr>
                </a:solidFill>
                <a:latin typeface="+mn-lt"/>
                <a:ea typeface="+mn-ea"/>
                <a:cs typeface="+mn-cs"/>
              </a:defRPr>
            </a:pPr>
            <a:r>
              <a:t>支出决算结构图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67538496897265"/>
          <c:y val="0.210906522251"/>
          <c:w val="0.835504481728338"/>
          <c:h val="0.582660701671768"/>
        </c:manualLayout>
      </c:layout>
      <c:pie3DChart>
        <c:varyColors val="1"/>
        <c:ser>
          <c:idx val="0"/>
          <c:order val="0"/>
          <c:tx>
            <c:strRef>
              <c:f>Sheet1!$B$1</c:f>
              <c:strCache>
                <c:ptCount val="1"/>
                <c:pt idx="0">
                  <c:v>支出</c:v>
                </c:pt>
              </c:strCache>
            </c:strRef>
          </c:tx>
          <c:spPr>
            <a:scene3d>
              <a:camera prst="orthographicFront"/>
              <a:lightRig rig="threePt" dir="t"/>
            </a:scene3d>
            <a:sp3d contourW="9525"/>
          </c:spPr>
          <c:explosion val="0"/>
          <c:dPt>
            <c:idx val="0"/>
            <c:bubble3D val="0"/>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a:noFill/>
              </a:ln>
              <a:effectLst>
                <a:outerShdw blurRad="40000" dist="20000" dir="5400000" rotWithShape="0">
                  <a:srgbClr val="000000">
                    <a:alpha val="38000"/>
                  </a:srgbClr>
                </a:outerShdw>
              </a:effectLst>
            </c:spPr>
          </c:dPt>
          <c:dPt>
            <c:idx val="1"/>
            <c:bubble3D val="0"/>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a:noFill/>
              </a:ln>
              <a:effectLst>
                <a:outerShdw blurRad="40000" dist="20000" dir="5400000" rotWithShape="0">
                  <a:srgbClr val="000000">
                    <a:alpha val="38000"/>
                  </a:srgbClr>
                </a:outerShdw>
              </a:effectLst>
            </c:spPr>
          </c:dPt>
          <c:dLbls>
            <c:dLbl>
              <c:idx val="0"/>
              <c:layout/>
              <c:dLblPos val="bestFit"/>
              <c:showLegendKey val="0"/>
              <c:showVal val="1"/>
              <c:showCatName val="0"/>
              <c:showSerName val="0"/>
              <c:showPercent val="1"/>
              <c:showBubbleSize val="0"/>
              <c:extLst>
                <c:ext xmlns:c15="http://schemas.microsoft.com/office/drawing/2012/chart" uri="{CE6537A1-D6FC-4f65-9D91-7224C49458BB}"/>
              </c:extLst>
            </c:dLbl>
            <c:dLbl>
              <c:idx val="1"/>
              <c:layout/>
              <c:dLblPos val="bestFit"/>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65000"/>
                        <a:lumOff val="3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779.25</c:v>
                </c:pt>
                <c:pt idx="1">
                  <c:v>2263.95</c:v>
                </c:pt>
              </c:numCache>
            </c:numRef>
          </c:val>
        </c:ser>
        <c:dLbls>
          <c:showLegendKey val="0"/>
          <c:showVal val="0"/>
          <c:showCatName val="0"/>
          <c:showSerName val="0"/>
          <c:showPercent val="0"/>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solidFill>
                  <a:schemeClr val="tx1">
                    <a:lumMod val="50000"/>
                  </a:schemeClr>
                </a:solidFill>
              </a:rPr>
              <a:t>财政拨款</a:t>
            </a:r>
            <a:r>
              <a:rPr lang="zh-CN" altLang="en-US" b="1">
                <a:solidFill>
                  <a:schemeClr val="tx1">
                    <a:lumMod val="50000"/>
                  </a:schemeClr>
                </a:solidFill>
                <a:uFillTx/>
              </a:rPr>
              <a:t>收支</a:t>
            </a:r>
            <a:r>
              <a:rPr lang="zh-CN" altLang="en-US" b="1">
                <a:solidFill>
                  <a:schemeClr val="tx1">
                    <a:lumMod val="50000"/>
                  </a:schemeClr>
                </a:solidFill>
              </a:rPr>
              <a:t>对比表</a:t>
            </a:r>
            <a:endParaRPr lang="zh-CN" altLang="en-US" b="1">
              <a:solidFill>
                <a:schemeClr val="tx1">
                  <a:lumMod val="50000"/>
                </a:schemeClr>
              </a:solidFill>
            </a:endParaRPr>
          </a:p>
        </c:rich>
      </c:tx>
      <c:layout>
        <c:manualLayout>
          <c:xMode val="edge"/>
          <c:yMode val="edge"/>
          <c:x val="0.308568598315998"/>
          <c:y val="0.0157350517008841"/>
        </c:manualLayout>
      </c:layout>
      <c:overlay val="0"/>
      <c:spPr>
        <a:noFill/>
        <a:ln>
          <a:noFill/>
        </a:ln>
        <a:effectLst/>
      </c:spPr>
    </c:title>
    <c:autoTitleDeleted val="0"/>
    <c:plotArea>
      <c:layout>
        <c:manualLayout>
          <c:layoutTarget val="inner"/>
          <c:xMode val="edge"/>
          <c:yMode val="edge"/>
          <c:x val="0.105916360425998"/>
          <c:y val="0.0828516483516484"/>
          <c:w val="0.87555"/>
          <c:h val="0.7605"/>
        </c:manualLayout>
      </c:layout>
      <c:barChart>
        <c:barDir val="col"/>
        <c:grouping val="clustered"/>
        <c:varyColors val="0"/>
        <c:ser>
          <c:idx val="0"/>
          <c:order val="0"/>
          <c:tx>
            <c:strRef>
              <c:f>Sheet1!$B$1</c:f>
              <c:strCache>
                <c:ptCount val="1"/>
                <c:pt idx="0">
                  <c:v>2025年度</c:v>
                </c:pt>
              </c:strCache>
            </c:strRef>
          </c:tx>
          <c:spPr>
            <a:solidFill>
              <a:schemeClr val="tx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3043.2</c:v>
                </c:pt>
                <c:pt idx="1">
                  <c:v>3043.2</c:v>
                </c:pt>
              </c:numCache>
            </c:numRef>
          </c:val>
        </c:ser>
        <c:ser>
          <c:idx val="1"/>
          <c:order val="1"/>
          <c:tx>
            <c:strRef>
              <c:f>Sheet1!$C$1</c:f>
              <c:strCache>
                <c:ptCount val="1"/>
                <c:pt idx="0">
                  <c:v>2024年度</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1432.83</c:v>
                </c:pt>
                <c:pt idx="1">
                  <c:v>1432.83</c:v>
                </c:pt>
              </c:numCache>
            </c:numRef>
          </c:val>
        </c:ser>
        <c:ser>
          <c:idx val="2"/>
          <c:order val="2"/>
          <c:tx>
            <c:strRef>
              <c:f>Sheet1!$D$1</c:f>
              <c:strCache>
                <c:ptCount val="1"/>
                <c:pt idx="0">
                  <c:v>增幅</c:v>
                </c:pt>
              </c:strCache>
            </c:strRef>
          </c:tx>
          <c:spPr>
            <a:solidFill>
              <a:schemeClr val="accent3"/>
            </a:solidFill>
            <a:ln>
              <a:noFill/>
            </a:ln>
            <a:effectLst/>
          </c:spPr>
          <c:invertIfNegative val="0"/>
          <c:dLbls>
            <c:dLbl>
              <c:idx val="0"/>
              <c:layout>
                <c:manualLayout>
                  <c:x val="0.00844360074280655"/>
                  <c:y val="0.00944078400245037"/>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1610.37</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6428156604837"/>
                  <c:y val="-6.50006593592157e-5"/>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1610.37 </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Sheet1!$D$2:$D$3</c:f>
              <c:numCache>
                <c:formatCode>General</c:formatCode>
                <c:ptCount val="2"/>
                <c:pt idx="0">
                  <c:v>1610.37</c:v>
                </c:pt>
                <c:pt idx="1">
                  <c:v>1610.37</c:v>
                </c:pt>
              </c:numCache>
            </c:numRef>
          </c:val>
        </c:ser>
        <c:dLbls>
          <c:showLegendKey val="0"/>
          <c:showVal val="0"/>
          <c:showCatName val="0"/>
          <c:showSerName val="0"/>
          <c:showPercent val="0"/>
          <c:showBubbleSize val="0"/>
        </c:dLbls>
        <c:gapWidth val="219"/>
        <c:overlap val="-27"/>
        <c:axId val="406143146"/>
        <c:axId val="185996679"/>
      </c:barChart>
      <c:catAx>
        <c:axId val="40614314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5996679"/>
        <c:crosses val="autoZero"/>
        <c:auto val="1"/>
        <c:lblAlgn val="ctr"/>
        <c:lblOffset val="100"/>
        <c:noMultiLvlLbl val="0"/>
      </c:catAx>
      <c:valAx>
        <c:axId val="1859966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6143146"/>
        <c:crosses val="autoZero"/>
        <c:crossBetween val="between"/>
      </c:valAx>
      <c:spPr>
        <a:noFill/>
        <a:ln>
          <a:noFill/>
        </a:ln>
        <a:effectLst/>
      </c:spPr>
    </c:plotArea>
    <c:legend>
      <c:legendPos val="b"/>
      <c:layout>
        <c:manualLayout>
          <c:xMode val="edge"/>
          <c:yMode val="edge"/>
          <c:x val="0.340762753838534"/>
          <c:y val="0.92956691143413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sz="1400"/>
              <a:t>一般公共预算财政拨款支出决算变动情况</a:t>
            </a:r>
            <a:endParaRPr sz="1400"/>
          </a:p>
        </c:rich>
      </c:tx>
      <c:layout/>
      <c:overlay val="0"/>
      <c:spPr>
        <a:noFill/>
        <a:ln>
          <a:noFill/>
        </a:ln>
        <a:effectLst/>
      </c:spPr>
    </c:title>
    <c:autoTitleDeleted val="0"/>
    <c:plotArea>
      <c:layout>
        <c:manualLayout>
          <c:layoutTarget val="inner"/>
          <c:xMode val="edge"/>
          <c:yMode val="edge"/>
          <c:x val="0.0820747520976354"/>
          <c:y val="0.183497241544735"/>
          <c:w val="0.889956775997966"/>
          <c:h val="0.643799472295514"/>
        </c:manualLayout>
      </c:layout>
      <c:barChart>
        <c:barDir val="col"/>
        <c:grouping val="clustered"/>
        <c:varyColors val="0"/>
        <c:ser>
          <c:idx val="0"/>
          <c:order val="0"/>
          <c:tx>
            <c:strRef>
              <c:f>Sheet1!$B$1</c:f>
              <c:strCache>
                <c:ptCount val="1"/>
                <c:pt idx="0">
                  <c:v>2025年度</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支出</c:v>
                </c:pt>
              </c:strCache>
            </c:strRef>
          </c:cat>
          <c:val>
            <c:numRef>
              <c:f>Sheet1!$B$2</c:f>
              <c:numCache>
                <c:formatCode>General</c:formatCode>
                <c:ptCount val="1"/>
                <c:pt idx="0">
                  <c:v>2975.75</c:v>
                </c:pt>
              </c:numCache>
            </c:numRef>
          </c:val>
        </c:ser>
        <c:ser>
          <c:idx val="1"/>
          <c:order val="1"/>
          <c:tx>
            <c:strRef>
              <c:f>Sheet1!$C$1</c:f>
              <c:strCache>
                <c:ptCount val="1"/>
                <c:pt idx="0">
                  <c:v>2024年度</c:v>
                </c:pt>
              </c:strCache>
            </c:strRef>
          </c:tx>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支出</c:v>
                </c:pt>
              </c:strCache>
            </c:strRef>
          </c:cat>
          <c:val>
            <c:numRef>
              <c:f>Sheet1!$C$2</c:f>
              <c:numCache>
                <c:formatCode>General</c:formatCode>
                <c:ptCount val="1"/>
                <c:pt idx="0">
                  <c:v>1432.83</c:v>
                </c:pt>
              </c:numCache>
            </c:numRef>
          </c:val>
        </c:ser>
        <c:ser>
          <c:idx val="2"/>
          <c:order val="2"/>
          <c:tx>
            <c:strRef>
              <c:f>Sheet1!$D$1</c:f>
              <c:strCache>
                <c:ptCount val="1"/>
                <c:pt idx="0">
                  <c:v>增幅</c:v>
                </c:pt>
              </c:strCache>
            </c:strRef>
          </c:tx>
          <c:spPr>
            <a:gradFill flip="none" rotWithShape="1">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5400000" scaled="0"/>
            </a:gra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c:f>
              <c:strCache>
                <c:ptCount val="1"/>
                <c:pt idx="0">
                  <c:v>支出</c:v>
                </c:pt>
              </c:strCache>
            </c:strRef>
          </c:cat>
          <c:val>
            <c:numRef>
              <c:f>Sheet1!$D$2</c:f>
              <c:numCache>
                <c:formatCode>General</c:formatCode>
                <c:ptCount val="1"/>
                <c:pt idx="0">
                  <c:v>1542.92</c:v>
                </c:pt>
              </c:numCache>
            </c:numRef>
          </c:val>
        </c:ser>
        <c:dLbls>
          <c:showLegendKey val="0"/>
          <c:showVal val="1"/>
          <c:showCatName val="0"/>
          <c:showSerName val="0"/>
          <c:showPercent val="0"/>
          <c:showBubbleSize val="0"/>
        </c:dLbls>
        <c:gapWidth val="355"/>
        <c:overlap val="-70"/>
        <c:axId val="645858728"/>
        <c:axId val="829565038"/>
      </c:barChart>
      <c:catAx>
        <c:axId val="6458587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9565038"/>
        <c:crosses val="autoZero"/>
        <c:auto val="1"/>
        <c:lblAlgn val="ctr"/>
        <c:lblOffset val="100"/>
        <c:noMultiLvlLbl val="0"/>
      </c:catAx>
      <c:valAx>
        <c:axId val="829565038"/>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58587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40" b="0" i="0" u="none" strike="noStrike" kern="1200" spc="0" baseline="0">
                <a:solidFill>
                  <a:schemeClr val="tx1">
                    <a:lumMod val="65000"/>
                    <a:lumOff val="35000"/>
                  </a:schemeClr>
                </a:solidFill>
                <a:latin typeface="+mn-lt"/>
                <a:ea typeface="+mn-ea"/>
                <a:cs typeface="+mn-cs"/>
              </a:defRPr>
            </a:pPr>
            <a:r>
              <a:rPr lang="zh-CN" altLang="en-US" sz="1400">
                <a:solidFill>
                  <a:schemeClr val="tx1"/>
                </a:solidFill>
                <a:uFillTx/>
              </a:rPr>
              <a:t>一般公共预算财政拨款支出</a:t>
            </a:r>
            <a:endParaRPr lang="zh-CN" altLang="en-US" sz="1400">
              <a:solidFill>
                <a:schemeClr val="tx1"/>
              </a:solidFill>
              <a:uFillTx/>
            </a:endParaRPr>
          </a:p>
        </c:rich>
      </c:tx>
      <c:layout/>
      <c:overlay val="0"/>
      <c:spPr>
        <a:noFill/>
        <a:ln>
          <a:noFill/>
        </a:ln>
        <a:effectLst/>
      </c:spPr>
    </c:title>
    <c:autoTitleDeleted val="0"/>
    <c:view3D>
      <c:rotX val="50"/>
      <c:rotY val="43"/>
      <c:depthPercent val="100"/>
      <c:rAngAx val="0"/>
      <c:perspective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314830157415079"/>
          <c:y val="0.195201968423211"/>
          <c:w val="0.70718428216357"/>
          <c:h val="0.798646709042444"/>
        </c:manualLayout>
      </c:layout>
      <c:pie3DChart>
        <c:varyColors val="1"/>
        <c:ser>
          <c:idx val="0"/>
          <c:order val="0"/>
          <c:tx>
            <c:strRef>
              <c:f>Sheet1!$B$1</c:f>
              <c:strCache>
                <c:ptCount val="1"/>
                <c:pt idx="0">
                  <c:v>金额</c:v>
                </c:pt>
              </c:strCache>
            </c:strRef>
          </c:tx>
          <c:explosion val="24"/>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社会保障和就业支出</c:v>
                </c:pt>
                <c:pt idx="1">
                  <c:v>交通运输支出</c:v>
                </c:pt>
                <c:pt idx="2">
                  <c:v>住房保障支出</c:v>
                </c:pt>
                <c:pt idx="3">
                  <c:v>卫生健康支出</c:v>
                </c:pt>
              </c:strCache>
            </c:strRef>
          </c:cat>
          <c:val>
            <c:numRef>
              <c:f>Sheet1!$B$2:$B$5</c:f>
              <c:numCache>
                <c:formatCode>General</c:formatCode>
                <c:ptCount val="4"/>
                <c:pt idx="0">
                  <c:v>151.41</c:v>
                </c:pt>
                <c:pt idx="1">
                  <c:v>2738.13</c:v>
                </c:pt>
                <c:pt idx="2">
                  <c:v>49.56</c:v>
                </c:pt>
                <c:pt idx="3">
                  <c:v>36.65</c:v>
                </c:pt>
              </c:numCache>
            </c:numRef>
          </c:val>
        </c:ser>
        <c:dLbls>
          <c:showLegendKey val="0"/>
          <c:showVal val="1"/>
          <c:showCatName val="0"/>
          <c:showSerName val="0"/>
          <c:showPercent val="0"/>
          <c:showBubbleSize val="0"/>
        </c:dLbls>
      </c:pie3DChart>
      <c:spPr>
        <a:noFill/>
        <a:ln>
          <a:noFill/>
        </a:ln>
        <a:effectLst/>
      </c:spPr>
    </c:plotArea>
    <c:legend>
      <c:legendPos val="r"/>
      <c:layout/>
      <c:overlay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三公经费结构图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三公经费结构图</c:v>
                </c:pt>
              </c:strCache>
            </c:strRef>
          </c:tx>
          <c:spPr>
            <a:scene3d>
              <a:camera prst="orthographicFront"/>
              <a:lightRig rig="threePt" dir="t"/>
            </a:scene3d>
            <a:sp3d contourW="9525"/>
          </c:spPr>
          <c:explosion val="0"/>
          <c:dPt>
            <c:idx val="0"/>
            <c:bubble3D val="0"/>
            <c:spPr>
              <a:solidFill>
                <a:schemeClr val="accent6">
                  <a:tint val="76667"/>
                </a:schemeClr>
              </a:solidFill>
              <a:ln>
                <a:noFill/>
              </a:ln>
              <a:effectLst>
                <a:outerShdw blurRad="88900" sx="102000" sy="102000" algn="ctr" rotWithShape="0">
                  <a:prstClr val="black">
                    <a:alpha val="10000"/>
                  </a:prstClr>
                </a:outerShdw>
              </a:effectLst>
            </c:spPr>
          </c:dPt>
          <c:dPt>
            <c:idx val="1"/>
            <c:bubble3D val="0"/>
            <c:spPr>
              <a:solidFill>
                <a:schemeClr val="accent6">
                  <a:shade val="76667"/>
                </a:schemeClr>
              </a:solidFill>
              <a:ln>
                <a:noFill/>
              </a:ln>
              <a:effectLst>
                <a:outerShdw blurRad="88900" sx="102000" sy="102000" algn="ctr" rotWithShape="0">
                  <a:prstClr val="black">
                    <a:alpha val="10000"/>
                  </a:prstClr>
                </a:outerShdw>
              </a:effectLst>
            </c:spPr>
          </c:dPt>
          <c:dLbls>
            <c:dLbl>
              <c:idx val="0"/>
              <c:layout>
                <c:manualLayout>
                  <c:x val="0.00296875"/>
                  <c:y val="0"/>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6">
                            <a:tint val="76667"/>
                          </a:schemeClr>
                        </a:solidFill>
                        <a:latin typeface="+mn-lt"/>
                        <a:ea typeface="+mn-ea"/>
                        <a:cs typeface="+mn-cs"/>
                      </a:defRPr>
                    </a:pPr>
                    <a:r>
                      <a:t>公务用车购置及运行维护费</a:t>
                    </a:r>
                  </a:p>
                  <a:p>
                    <a:pPr defTabSz="914400">
                      <a:defRPr lang="zh-CN" sz="1000" b="1" i="0" u="none" strike="noStrike" kern="1200" spc="0" baseline="0">
                        <a:solidFill>
                          <a:schemeClr val="accent6">
                            <a:tint val="76667"/>
                          </a:schemeClr>
                        </a:solidFill>
                        <a:latin typeface="+mn-lt"/>
                        <a:ea typeface="+mn-ea"/>
                        <a:cs typeface="+mn-cs"/>
                      </a:defRPr>
                    </a:pPr>
                    <a:r>
                      <a:rPr lang="en-US" altLang="zh-CN"/>
                      <a:t>97.2</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tint val="76667"/>
                        </a:schemeClr>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6">
                            <a:shade val="76667"/>
                          </a:schemeClr>
                        </a:solidFill>
                        <a:latin typeface="+mn-lt"/>
                        <a:ea typeface="+mn-ea"/>
                        <a:cs typeface="+mn-cs"/>
                      </a:defRPr>
                    </a:pPr>
                    <a:r>
                      <a:t>公务接待费</a:t>
                    </a:r>
                  </a:p>
                  <a:p>
                    <a:pPr defTabSz="914400">
                      <a:defRPr lang="zh-CN" sz="1000" b="1" i="0" u="none" strike="noStrike" kern="1200" spc="0" baseline="0">
                        <a:solidFill>
                          <a:schemeClr val="accent6">
                            <a:shade val="76667"/>
                          </a:schemeClr>
                        </a:solidFill>
                        <a:latin typeface="+mn-lt"/>
                        <a:ea typeface="+mn-ea"/>
                        <a:cs typeface="+mn-cs"/>
                      </a:defRPr>
                    </a:pPr>
                    <a:r>
                      <a:rPr lang="en-US" altLang="zh-CN"/>
                      <a:t>2.8%</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hade val="76667"/>
                        </a:schemeClr>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公务用车购置及运行维护费</c:v>
                </c:pt>
                <c:pt idx="1">
                  <c:v>公务接待费</c:v>
                </c:pt>
              </c:strCache>
            </c:strRef>
          </c:cat>
          <c:val>
            <c:numRef>
              <c:f>Sheet1!$B$2:$B$3</c:f>
              <c:numCache>
                <c:formatCode>General</c:formatCode>
                <c:ptCount val="2"/>
                <c:pt idx="0">
                  <c:v>3.78</c:v>
                </c:pt>
                <c:pt idx="1">
                  <c:v>0.1</c:v>
                </c:pt>
              </c:numCache>
            </c:numRef>
          </c:val>
        </c:ser>
        <c:dLbls>
          <c:showLegendKey val="0"/>
          <c:showVal val="1"/>
          <c:showCatName val="0"/>
          <c:showSerName val="0"/>
          <c:showPercent val="0"/>
          <c:showBubbleSize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Reversed" id="26">
  <a:schemeClr val="accent6"/>
</cs:colorStyle>
</file>

<file path=word/charts/style1.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1009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a:scene3d>
        <a:camera prst="orthographicFront"/>
        <a:lightRig rig="threePt" dir="t"/>
      </a:scene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1334</Words>
  <Characters>7606</Characters>
  <Lines>63</Lines>
  <Paragraphs>17</Paragraphs>
  <TotalTime>792</TotalTime>
  <ScaleCrop>false</ScaleCrop>
  <LinksUpToDate>false</LinksUpToDate>
  <CharactersWithSpaces>8923</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熊锦秀</cp:lastModifiedBy>
  <cp:lastPrinted>2026-08-27T00:27:00Z</cp:lastPrinted>
  <dcterms:modified xsi:type="dcterms:W3CDTF">2026-09-11T09:50:11Z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3BF536824C220DA3E40E8B68BA118B1C_42</vt:lpwstr>
  </property>
</Properties>
</file>