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EE2" w:rsidRDefault="00CC0EE2">
      <w:pPr>
        <w:pStyle w:val="a0"/>
        <w:spacing w:before="93"/>
        <w:rPr>
          <w:rFonts w:ascii="Times New Roman" w:eastAsia="方正小标宋简体"/>
          <w:kern w:val="2"/>
          <w:sz w:val="44"/>
          <w:szCs w:val="44"/>
        </w:rPr>
      </w:pPr>
      <w:bookmarkStart w:id="0" w:name="_Toc15396475"/>
      <w:bookmarkStart w:id="1" w:name="_Toc15396597"/>
      <w:bookmarkStart w:id="2" w:name="_Toc15377193"/>
      <w:bookmarkStart w:id="3" w:name="_Toc15377425"/>
      <w:bookmarkStart w:id="4" w:name="_Toc15378441"/>
      <w:bookmarkStart w:id="5" w:name="_Toc15306267"/>
    </w:p>
    <w:p w:rsidR="00CC0EE2" w:rsidRDefault="00CC0EE2">
      <w:pPr>
        <w:pStyle w:val="a0"/>
        <w:spacing w:before="93"/>
        <w:rPr>
          <w:rFonts w:ascii="Times New Roman" w:eastAsia="方正小标宋简体"/>
          <w:kern w:val="2"/>
          <w:sz w:val="44"/>
          <w:szCs w:val="44"/>
        </w:rPr>
      </w:pPr>
    </w:p>
    <w:p w:rsidR="00CC0EE2" w:rsidRDefault="00CC0EE2">
      <w:pPr>
        <w:pStyle w:val="a0"/>
        <w:spacing w:before="93"/>
        <w:rPr>
          <w:rFonts w:ascii="Times New Roman" w:eastAsia="方正小标宋简体"/>
          <w:kern w:val="2"/>
          <w:sz w:val="44"/>
          <w:szCs w:val="44"/>
        </w:rPr>
      </w:pPr>
    </w:p>
    <w:p w:rsidR="00CC0EE2" w:rsidRDefault="00CC0EE2">
      <w:pPr>
        <w:pStyle w:val="a0"/>
        <w:spacing w:before="93"/>
        <w:rPr>
          <w:rFonts w:ascii="Times New Roman" w:eastAsia="方正小标宋简体"/>
          <w:kern w:val="2"/>
          <w:sz w:val="44"/>
          <w:szCs w:val="44"/>
        </w:rPr>
      </w:pPr>
    </w:p>
    <w:p w:rsidR="00CC0EE2" w:rsidRDefault="00CC0EE2">
      <w:pPr>
        <w:pStyle w:val="a0"/>
        <w:spacing w:before="93"/>
        <w:rPr>
          <w:rFonts w:ascii="Times New Roman" w:eastAsia="方正小标宋简体"/>
          <w:kern w:val="2"/>
          <w:sz w:val="44"/>
          <w:szCs w:val="44"/>
        </w:rPr>
      </w:pPr>
    </w:p>
    <w:p w:rsidR="00CC0EE2" w:rsidRDefault="00CC0EE2">
      <w:pPr>
        <w:pStyle w:val="a0"/>
        <w:spacing w:before="93"/>
        <w:rPr>
          <w:rFonts w:ascii="Times New Roman" w:eastAsia="方正小标宋简体"/>
          <w:kern w:val="2"/>
          <w:sz w:val="44"/>
          <w:szCs w:val="44"/>
        </w:rPr>
      </w:pPr>
    </w:p>
    <w:p w:rsidR="00CC0EE2" w:rsidRDefault="00CC0EE2">
      <w:pPr>
        <w:pStyle w:val="a0"/>
        <w:spacing w:before="93"/>
        <w:rPr>
          <w:rFonts w:ascii="Times New Roman" w:eastAsia="方正小标宋简体"/>
          <w:kern w:val="2"/>
          <w:sz w:val="44"/>
          <w:szCs w:val="44"/>
        </w:rPr>
      </w:pPr>
    </w:p>
    <w:p w:rsidR="00CC0EE2" w:rsidRDefault="00CC0EE2">
      <w:pPr>
        <w:pStyle w:val="a0"/>
        <w:spacing w:before="93"/>
        <w:rPr>
          <w:rFonts w:ascii="Times New Roman" w:eastAsia="方正小标宋简体"/>
          <w:kern w:val="2"/>
          <w:sz w:val="44"/>
          <w:szCs w:val="44"/>
        </w:rPr>
      </w:pPr>
    </w:p>
    <w:p w:rsidR="00CC0EE2" w:rsidRDefault="00C5639B">
      <w:pPr>
        <w:pStyle w:val="a0"/>
        <w:spacing w:before="93"/>
        <w:jc w:val="center"/>
        <w:rPr>
          <w:rFonts w:ascii="Times New Roman" w:eastAsia="方正小标宋简体"/>
          <w:kern w:val="2"/>
          <w:sz w:val="44"/>
          <w:szCs w:val="44"/>
        </w:rPr>
      </w:pPr>
      <w:bookmarkStart w:id="6" w:name="_Toc15377426"/>
      <w:bookmarkStart w:id="7" w:name="_Toc15396476"/>
      <w:bookmarkStart w:id="8" w:name="_Toc15396598"/>
      <w:bookmarkStart w:id="9" w:name="_Toc15378442"/>
      <w:bookmarkStart w:id="10" w:name="_Toc15377194"/>
      <w:bookmarkEnd w:id="0"/>
      <w:bookmarkEnd w:id="1"/>
      <w:bookmarkEnd w:id="2"/>
      <w:bookmarkEnd w:id="3"/>
      <w:bookmarkEnd w:id="4"/>
      <w:r>
        <w:rPr>
          <w:rFonts w:ascii="Times New Roman" w:eastAsia="方正小标宋简体" w:hint="eastAsia"/>
          <w:kern w:val="2"/>
          <w:sz w:val="44"/>
          <w:szCs w:val="44"/>
        </w:rPr>
        <w:t>2025</w:t>
      </w:r>
      <w:r>
        <w:rPr>
          <w:rFonts w:ascii="Times New Roman" w:eastAsia="方正小标宋简体" w:hint="eastAsia"/>
          <w:kern w:val="2"/>
          <w:sz w:val="44"/>
          <w:szCs w:val="44"/>
        </w:rPr>
        <w:t>年度</w:t>
      </w:r>
    </w:p>
    <w:p w:rsidR="00CC0EE2" w:rsidRDefault="00C5639B">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攀枝花市</w:t>
      </w:r>
      <w:bookmarkStart w:id="11" w:name="_Toc15306268"/>
      <w:bookmarkEnd w:id="5"/>
      <w:r>
        <w:rPr>
          <w:rFonts w:ascii="Times New Roman" w:eastAsia="方正小标宋简体" w:hint="eastAsia"/>
          <w:kern w:val="2"/>
          <w:sz w:val="44"/>
          <w:szCs w:val="44"/>
        </w:rPr>
        <w:t>运输服务中心单位决算</w:t>
      </w:r>
      <w:bookmarkEnd w:id="6"/>
      <w:bookmarkEnd w:id="7"/>
      <w:bookmarkEnd w:id="8"/>
      <w:bookmarkEnd w:id="9"/>
      <w:bookmarkEnd w:id="10"/>
      <w:bookmarkEnd w:id="11"/>
    </w:p>
    <w:p w:rsidR="00CC0EE2" w:rsidRDefault="00CC0EE2">
      <w:pPr>
        <w:widowControl/>
        <w:jc w:val="center"/>
        <w:rPr>
          <w:rFonts w:eastAsia="黑体"/>
          <w:sz w:val="48"/>
          <w:szCs w:val="48"/>
        </w:rPr>
        <w:sectPr w:rsidR="00CC0EE2">
          <w:headerReference w:type="default" r:id="rId9"/>
          <w:footerReference w:type="default" r:id="rId10"/>
          <w:footerReference w:type="first" r:id="rId11"/>
          <w:pgSz w:w="11906" w:h="16838"/>
          <w:pgMar w:top="1440" w:right="1800" w:bottom="1440" w:left="1800" w:header="851" w:footer="992" w:gutter="0"/>
          <w:pgNumType w:start="1"/>
          <w:cols w:space="425"/>
          <w:titlePg/>
          <w:docGrid w:type="lines" w:linePitch="312"/>
        </w:sectPr>
      </w:pPr>
    </w:p>
    <w:p w:rsidR="00CC0EE2" w:rsidRDefault="00C5639B">
      <w:pPr>
        <w:widowControl/>
        <w:jc w:val="center"/>
        <w:rPr>
          <w:rFonts w:eastAsia="黑体"/>
          <w:sz w:val="48"/>
          <w:szCs w:val="48"/>
        </w:rPr>
      </w:pPr>
      <w:r>
        <w:rPr>
          <w:rFonts w:eastAsia="黑体" w:hint="eastAsia"/>
          <w:sz w:val="48"/>
          <w:szCs w:val="48"/>
        </w:rPr>
        <w:lastRenderedPageBreak/>
        <w:t>目录</w:t>
      </w:r>
    </w:p>
    <w:p w:rsidR="00CC0EE2" w:rsidRDefault="00CC0EE2">
      <w:pPr>
        <w:widowControl/>
        <w:jc w:val="center"/>
        <w:rPr>
          <w:rFonts w:eastAsia="黑体" w:cstheme="minorBidi"/>
          <w:sz w:val="28"/>
          <w:szCs w:val="28"/>
        </w:rPr>
      </w:pPr>
    </w:p>
    <w:p w:rsidR="00CC0EE2" w:rsidRDefault="00C5639B">
      <w:pPr>
        <w:pStyle w:val="11"/>
        <w:rPr>
          <w:rFonts w:eastAsia="仿宋_GB2312" w:cs="仿宋_GB2312"/>
          <w:szCs w:val="32"/>
        </w:rPr>
      </w:pPr>
      <w:r>
        <w:rPr>
          <w:rFonts w:eastAsia="仿宋_GB2312" w:cs="仿宋_GB2312" w:hint="eastAsia"/>
          <w:szCs w:val="32"/>
        </w:rPr>
        <w:t>公开时间：</w:t>
      </w:r>
      <w:r>
        <w:rPr>
          <w:rFonts w:eastAsia="仿宋_GB2312" w:cs="仿宋_GB2312" w:hint="eastAsia"/>
          <w:szCs w:val="32"/>
        </w:rPr>
        <w:t>2026</w:t>
      </w:r>
      <w:r>
        <w:rPr>
          <w:rFonts w:eastAsia="仿宋_GB2312" w:cs="仿宋_GB2312" w:hint="eastAsia"/>
          <w:szCs w:val="32"/>
        </w:rPr>
        <w:t>年</w:t>
      </w:r>
      <w:r>
        <w:rPr>
          <w:rFonts w:eastAsia="仿宋_GB2312" w:cs="仿宋_GB2312" w:hint="eastAsia"/>
          <w:szCs w:val="32"/>
        </w:rPr>
        <w:t xml:space="preserve"> 9 </w:t>
      </w:r>
      <w:r>
        <w:rPr>
          <w:rFonts w:eastAsia="仿宋_GB2312" w:cs="仿宋_GB2312" w:hint="eastAsia"/>
          <w:szCs w:val="32"/>
        </w:rPr>
        <w:t>月</w:t>
      </w:r>
      <w:r>
        <w:rPr>
          <w:rFonts w:eastAsia="仿宋_GB2312" w:cs="仿宋_GB2312" w:hint="eastAsia"/>
          <w:szCs w:val="32"/>
        </w:rPr>
        <w:t xml:space="preserve"> </w:t>
      </w:r>
      <w:r>
        <w:rPr>
          <w:rFonts w:eastAsia="仿宋_GB2312" w:cs="仿宋_GB2312" w:hint="eastAsia"/>
          <w:szCs w:val="32"/>
        </w:rPr>
        <w:t>15</w:t>
      </w:r>
      <w:r>
        <w:rPr>
          <w:rFonts w:eastAsia="仿宋_GB2312" w:cs="仿宋_GB2312" w:hint="eastAsia"/>
          <w:szCs w:val="32"/>
        </w:rPr>
        <w:t xml:space="preserve"> </w:t>
      </w:r>
      <w:r>
        <w:rPr>
          <w:rFonts w:eastAsia="仿宋_GB2312" w:cs="仿宋_GB2312" w:hint="eastAsia"/>
          <w:szCs w:val="32"/>
        </w:rPr>
        <w:t>日</w:t>
      </w:r>
    </w:p>
    <w:p w:rsidR="00CC0EE2" w:rsidRDefault="00CC0EE2"/>
    <w:bookmarkStart w:id="12" w:name="_Toc15396599" w:displacedByCustomXml="next"/>
    <w:bookmarkStart w:id="13" w:name="_Toc15377196" w:displacedByCustomXml="next"/>
    <w:sdt>
      <w:sdtPr>
        <w:rPr>
          <w:rFonts w:ascii="宋体" w:hAnsi="宋体"/>
        </w:rPr>
        <w:id w:val="147481745"/>
        <w15:color w:val="DBDBDB"/>
        <w:docPartObj>
          <w:docPartGallery w:val="Table of Contents"/>
          <w:docPartUnique/>
        </w:docPartObj>
      </w:sdtPr>
      <w:sdtEndPr>
        <w:rPr>
          <w:b/>
        </w:rPr>
      </w:sdtEndPr>
      <w:sdtContent>
        <w:p w:rsidR="00CC0EE2" w:rsidRDefault="00CC0EE2">
          <w:pPr>
            <w:jc w:val="center"/>
          </w:pPr>
        </w:p>
        <w:p w:rsidR="00CC0EE2" w:rsidRDefault="00C5639B">
          <w:pPr>
            <w:pStyle w:val="11"/>
            <w:tabs>
              <w:tab w:val="clear" w:pos="8296"/>
              <w:tab w:val="right" w:leader="dot" w:pos="8306"/>
            </w:tabs>
          </w:pPr>
          <w:r>
            <w:fldChar w:fldCharType="begin"/>
          </w:r>
          <w:r>
            <w:instrText xml:space="preserve">TOC \o "1-2" \h \u </w:instrText>
          </w:r>
          <w:r>
            <w:fldChar w:fldCharType="separate"/>
          </w:r>
          <w:hyperlink w:anchor="_Toc9410" w:history="1">
            <w:r>
              <w:rPr>
                <w:rFonts w:ascii="方正小标宋简体" w:eastAsia="方正小标宋简体" w:hAnsi="方正小标宋简体" w:cs="方正小标宋简体" w:hint="eastAsia"/>
              </w:rPr>
              <w:t>第一部分</w:t>
            </w:r>
            <w:r>
              <w:rPr>
                <w:rFonts w:ascii="方正小标宋简体" w:eastAsia="方正小标宋简体" w:hAnsi="方正小标宋简体" w:cs="方正小标宋简体" w:hint="eastAsia"/>
              </w:rPr>
              <w:t xml:space="preserve">  </w:t>
            </w:r>
            <w:r>
              <w:rPr>
                <w:rFonts w:ascii="方正小标宋简体" w:eastAsia="方正小标宋简体" w:hAnsi="方正小标宋简体" w:cs="方正小标宋简体" w:hint="eastAsia"/>
              </w:rPr>
              <w:t>单位</w:t>
            </w:r>
            <w:r>
              <w:rPr>
                <w:rFonts w:ascii="方正小标宋简体" w:eastAsia="方正小标宋简体" w:hAnsi="方正小标宋简体" w:cs="方正小标宋简体" w:hint="eastAsia"/>
              </w:rPr>
              <w:t>概况</w:t>
            </w:r>
            <w:r>
              <w:tab/>
            </w:r>
            <w:r>
              <w:fldChar w:fldCharType="begin"/>
            </w:r>
            <w:r>
              <w:instrText xml:space="preserve"> PAGEREF _Toc9410 \h </w:instrText>
            </w:r>
            <w:r>
              <w:fldChar w:fldCharType="separate"/>
            </w:r>
            <w:r>
              <w:t>3</w:t>
            </w:r>
            <w:r>
              <w:fldChar w:fldCharType="end"/>
            </w:r>
          </w:hyperlink>
        </w:p>
        <w:p w:rsidR="00CC0EE2" w:rsidRDefault="00C5639B">
          <w:pPr>
            <w:pStyle w:val="23"/>
            <w:tabs>
              <w:tab w:val="clear" w:pos="8296"/>
              <w:tab w:val="right" w:leader="dot" w:pos="8306"/>
            </w:tabs>
          </w:pPr>
          <w:hyperlink w:anchor="_Toc2450" w:history="1">
            <w:r>
              <w:rPr>
                <w:rFonts w:ascii="黑体" w:eastAsia="黑体" w:hAnsi="黑体" w:cs="黑体" w:hint="eastAsia"/>
              </w:rPr>
              <w:t>一、</w:t>
            </w:r>
            <w:r>
              <w:rPr>
                <w:rFonts w:ascii="黑体" w:eastAsia="黑体" w:hAnsi="黑体" w:cs="黑体" w:hint="eastAsia"/>
              </w:rPr>
              <w:t xml:space="preserve"> </w:t>
            </w:r>
            <w:r>
              <w:rPr>
                <w:rFonts w:ascii="黑体" w:eastAsia="黑体" w:hAnsi="黑体" w:cs="黑体" w:hint="eastAsia"/>
              </w:rPr>
              <w:t>单位</w:t>
            </w:r>
            <w:r>
              <w:rPr>
                <w:rFonts w:ascii="黑体" w:eastAsia="黑体" w:hAnsi="黑体" w:cs="黑体" w:hint="eastAsia"/>
              </w:rPr>
              <w:t>职责</w:t>
            </w:r>
            <w:r>
              <w:tab/>
            </w:r>
            <w:r>
              <w:fldChar w:fldCharType="begin"/>
            </w:r>
            <w:r>
              <w:instrText xml:space="preserve"> PAGEREF _Toc2450 \h </w:instrText>
            </w:r>
            <w:r>
              <w:fldChar w:fldCharType="separate"/>
            </w:r>
            <w:r>
              <w:t>3</w:t>
            </w:r>
            <w:r>
              <w:fldChar w:fldCharType="end"/>
            </w:r>
          </w:hyperlink>
        </w:p>
        <w:p w:rsidR="00CC0EE2" w:rsidRDefault="00C5639B">
          <w:pPr>
            <w:pStyle w:val="23"/>
            <w:tabs>
              <w:tab w:val="clear" w:pos="8296"/>
              <w:tab w:val="right" w:leader="dot" w:pos="8306"/>
            </w:tabs>
          </w:pPr>
          <w:hyperlink w:anchor="_Toc24005" w:history="1">
            <w:r>
              <w:rPr>
                <w:rFonts w:ascii="黑体" w:eastAsia="黑体" w:hAnsi="黑体" w:cs="黑体" w:hint="eastAsia"/>
              </w:rPr>
              <w:t>二、</w:t>
            </w:r>
            <w:r>
              <w:rPr>
                <w:rFonts w:ascii="黑体" w:eastAsia="黑体" w:hAnsi="黑体" w:cs="黑体" w:hint="eastAsia"/>
              </w:rPr>
              <w:t xml:space="preserve"> </w:t>
            </w:r>
            <w:r>
              <w:rPr>
                <w:rFonts w:ascii="黑体" w:eastAsia="黑体" w:hAnsi="黑体" w:cs="黑体" w:hint="eastAsia"/>
              </w:rPr>
              <w:t>机构设置</w:t>
            </w:r>
            <w:r>
              <w:tab/>
            </w:r>
            <w:r>
              <w:fldChar w:fldCharType="begin"/>
            </w:r>
            <w:r>
              <w:instrText xml:space="preserve"> PAGEREF _Toc24005 \h </w:instrText>
            </w:r>
            <w:r>
              <w:fldChar w:fldCharType="separate"/>
            </w:r>
            <w:r>
              <w:t>4</w:t>
            </w:r>
            <w:r>
              <w:fldChar w:fldCharType="end"/>
            </w:r>
          </w:hyperlink>
        </w:p>
        <w:p w:rsidR="00CC0EE2" w:rsidRDefault="00C5639B">
          <w:pPr>
            <w:pStyle w:val="11"/>
          </w:pPr>
          <w:hyperlink w:anchor="_Toc14200" w:history="1">
            <w:r>
              <w:rPr>
                <w:rFonts w:ascii="方正小标宋简体" w:eastAsia="方正小标宋简体" w:hAnsi="方正小标宋简体" w:cs="方正小标宋简体" w:hint="eastAsia"/>
              </w:rPr>
              <w:t>第二部分</w:t>
            </w:r>
            <w:r>
              <w:rPr>
                <w:rFonts w:ascii="方正小标宋简体" w:eastAsia="方正小标宋简体" w:hAnsi="方正小标宋简体" w:cs="方正小标宋简体" w:hint="eastAsia"/>
              </w:rPr>
              <w:t xml:space="preserve">  2025</w:t>
            </w:r>
            <w:r>
              <w:rPr>
                <w:rFonts w:ascii="方正小标宋简体" w:eastAsia="方正小标宋简体" w:hAnsi="方正小标宋简体" w:cs="方正小标宋简体" w:hint="eastAsia"/>
              </w:rPr>
              <w:t>年度</w:t>
            </w:r>
            <w:r>
              <w:rPr>
                <w:rFonts w:ascii="方正小标宋简体" w:eastAsia="方正小标宋简体" w:hAnsi="方正小标宋简体" w:cs="方正小标宋简体" w:hint="eastAsia"/>
              </w:rPr>
              <w:t>单位</w:t>
            </w:r>
            <w:r>
              <w:rPr>
                <w:rFonts w:ascii="方正小标宋简体" w:eastAsia="方正小标宋简体" w:hAnsi="方正小标宋简体" w:cs="方正小标宋简体" w:hint="eastAsia"/>
              </w:rPr>
              <w:t>决算情况说明</w:t>
            </w:r>
            <w:r>
              <w:tab/>
            </w:r>
            <w:r>
              <w:fldChar w:fldCharType="begin"/>
            </w:r>
            <w:r>
              <w:instrText xml:space="preserve"> PAGEREF _Toc14200 \h </w:instrText>
            </w:r>
            <w:r>
              <w:fldChar w:fldCharType="separate"/>
            </w:r>
            <w:r>
              <w:t>5</w:t>
            </w:r>
            <w:r>
              <w:fldChar w:fldCharType="end"/>
            </w:r>
          </w:hyperlink>
        </w:p>
        <w:p w:rsidR="00CC0EE2" w:rsidRDefault="00C5639B">
          <w:pPr>
            <w:pStyle w:val="23"/>
            <w:tabs>
              <w:tab w:val="clear" w:pos="8296"/>
              <w:tab w:val="right" w:leader="dot" w:pos="8306"/>
            </w:tabs>
          </w:pPr>
          <w:hyperlink w:anchor="_Toc19694" w:history="1">
            <w:r>
              <w:rPr>
                <w:rFonts w:ascii="黑体" w:eastAsia="黑体" w:hAnsi="黑体" w:cs="黑体" w:hint="eastAsia"/>
              </w:rPr>
              <w:t>一、</w:t>
            </w:r>
            <w:r>
              <w:rPr>
                <w:rFonts w:ascii="黑体" w:eastAsia="黑体" w:hAnsi="黑体" w:cs="黑体" w:hint="eastAsia"/>
              </w:rPr>
              <w:t xml:space="preserve"> </w:t>
            </w:r>
            <w:r>
              <w:rPr>
                <w:rFonts w:ascii="黑体" w:eastAsia="黑体" w:hAnsi="黑体" w:cs="黑体" w:hint="eastAsia"/>
              </w:rPr>
              <w:t>收入支出决算总体情况说明</w:t>
            </w:r>
            <w:r>
              <w:tab/>
            </w:r>
            <w:r>
              <w:fldChar w:fldCharType="begin"/>
            </w:r>
            <w:r>
              <w:instrText xml:space="preserve"> PAGEREF _To</w:instrText>
            </w:r>
            <w:r>
              <w:instrText xml:space="preserve">c19694 \h </w:instrText>
            </w:r>
            <w:r>
              <w:fldChar w:fldCharType="separate"/>
            </w:r>
            <w:r>
              <w:t>5</w:t>
            </w:r>
            <w:r>
              <w:fldChar w:fldCharType="end"/>
            </w:r>
          </w:hyperlink>
        </w:p>
        <w:p w:rsidR="00CC0EE2" w:rsidRDefault="00C5639B">
          <w:pPr>
            <w:pStyle w:val="23"/>
            <w:tabs>
              <w:tab w:val="clear" w:pos="8296"/>
              <w:tab w:val="right" w:leader="dot" w:pos="8306"/>
            </w:tabs>
          </w:pPr>
          <w:hyperlink w:anchor="_Toc29834" w:history="1">
            <w:r>
              <w:rPr>
                <w:rFonts w:ascii="黑体" w:eastAsia="黑体" w:hAnsi="黑体" w:cs="黑体" w:hint="eastAsia"/>
              </w:rPr>
              <w:t>二、</w:t>
            </w:r>
            <w:r>
              <w:rPr>
                <w:rFonts w:ascii="黑体" w:eastAsia="黑体" w:hAnsi="黑体" w:cs="黑体" w:hint="eastAsia"/>
              </w:rPr>
              <w:t xml:space="preserve"> </w:t>
            </w:r>
            <w:r>
              <w:rPr>
                <w:rFonts w:ascii="黑体" w:eastAsia="黑体" w:hAnsi="黑体" w:cs="黑体" w:hint="eastAsia"/>
              </w:rPr>
              <w:t>收入决算情况说明</w:t>
            </w:r>
            <w:r>
              <w:tab/>
            </w:r>
            <w:r>
              <w:fldChar w:fldCharType="begin"/>
            </w:r>
            <w:r>
              <w:instrText xml:space="preserve"> PAGEREF _Toc29834 \h </w:instrText>
            </w:r>
            <w:r>
              <w:fldChar w:fldCharType="separate"/>
            </w:r>
            <w:r>
              <w:t>5</w:t>
            </w:r>
            <w:r>
              <w:fldChar w:fldCharType="end"/>
            </w:r>
          </w:hyperlink>
        </w:p>
        <w:p w:rsidR="00CC0EE2" w:rsidRDefault="00C5639B">
          <w:pPr>
            <w:pStyle w:val="23"/>
            <w:tabs>
              <w:tab w:val="clear" w:pos="8296"/>
              <w:tab w:val="right" w:leader="dot" w:pos="8306"/>
            </w:tabs>
          </w:pPr>
          <w:hyperlink w:anchor="_Toc5801" w:history="1">
            <w:r>
              <w:rPr>
                <w:rFonts w:ascii="黑体" w:eastAsia="黑体" w:hAnsi="黑体" w:cs="黑体" w:hint="eastAsia"/>
              </w:rPr>
              <w:t>三、</w:t>
            </w:r>
            <w:r>
              <w:rPr>
                <w:rFonts w:ascii="黑体" w:eastAsia="黑体" w:hAnsi="黑体" w:cs="黑体" w:hint="eastAsia"/>
              </w:rPr>
              <w:t xml:space="preserve"> </w:t>
            </w:r>
            <w:r>
              <w:rPr>
                <w:rFonts w:ascii="黑体" w:eastAsia="黑体" w:hAnsi="黑体" w:cs="黑体" w:hint="eastAsia"/>
              </w:rPr>
              <w:t>支出决算情况说明</w:t>
            </w:r>
            <w:r>
              <w:tab/>
            </w:r>
            <w:r>
              <w:fldChar w:fldCharType="begin"/>
            </w:r>
            <w:r>
              <w:instrText xml:space="preserve"> PAGEREF _Toc</w:instrText>
            </w:r>
            <w:r>
              <w:instrText xml:space="preserve">5801 \h </w:instrText>
            </w:r>
            <w:r>
              <w:fldChar w:fldCharType="separate"/>
            </w:r>
            <w:r>
              <w:t>6</w:t>
            </w:r>
            <w:r>
              <w:fldChar w:fldCharType="end"/>
            </w:r>
          </w:hyperlink>
        </w:p>
        <w:p w:rsidR="00CC0EE2" w:rsidRDefault="00C5639B">
          <w:pPr>
            <w:pStyle w:val="23"/>
            <w:tabs>
              <w:tab w:val="clear" w:pos="8296"/>
              <w:tab w:val="right" w:leader="dot" w:pos="8306"/>
            </w:tabs>
          </w:pPr>
          <w:hyperlink w:anchor="_Toc12968" w:history="1">
            <w:r>
              <w:rPr>
                <w:rFonts w:ascii="黑体" w:eastAsia="黑体" w:hAnsi="黑体" w:cs="黑体" w:hint="eastAsia"/>
              </w:rPr>
              <w:t>四、</w:t>
            </w:r>
            <w:r>
              <w:rPr>
                <w:rFonts w:ascii="黑体" w:eastAsia="黑体" w:hAnsi="黑体" w:cs="黑体" w:hint="eastAsia"/>
              </w:rPr>
              <w:t xml:space="preserve"> </w:t>
            </w:r>
            <w:r>
              <w:rPr>
                <w:rFonts w:ascii="黑体" w:eastAsia="黑体" w:hAnsi="黑体" w:cs="黑体" w:hint="eastAsia"/>
              </w:rPr>
              <w:t>财政拨款收入支出决算总体情况说明</w:t>
            </w:r>
            <w:r>
              <w:tab/>
            </w:r>
            <w:r>
              <w:fldChar w:fldCharType="begin"/>
            </w:r>
            <w:r>
              <w:instrText xml:space="preserve"> PAGEREF _Toc12968 \h </w:instrText>
            </w:r>
            <w:r>
              <w:fldChar w:fldCharType="separate"/>
            </w:r>
            <w:r>
              <w:t>7</w:t>
            </w:r>
            <w:r>
              <w:fldChar w:fldCharType="end"/>
            </w:r>
          </w:hyperlink>
        </w:p>
        <w:p w:rsidR="00CC0EE2" w:rsidRDefault="00C5639B">
          <w:pPr>
            <w:pStyle w:val="23"/>
            <w:tabs>
              <w:tab w:val="clear" w:pos="8296"/>
              <w:tab w:val="right" w:leader="dot" w:pos="8306"/>
            </w:tabs>
          </w:pPr>
          <w:hyperlink w:anchor="_Toc12297" w:history="1">
            <w:r>
              <w:rPr>
                <w:rFonts w:ascii="黑体" w:eastAsia="黑体" w:hAnsi="黑体" w:cs="黑体" w:hint="eastAsia"/>
              </w:rPr>
              <w:t>五、</w:t>
            </w:r>
            <w:r>
              <w:rPr>
                <w:rFonts w:ascii="黑体" w:eastAsia="黑体" w:hAnsi="黑体" w:cs="黑体" w:hint="eastAsia"/>
              </w:rPr>
              <w:t xml:space="preserve"> </w:t>
            </w:r>
            <w:r>
              <w:rPr>
                <w:rFonts w:ascii="黑体" w:eastAsia="黑体" w:hAnsi="黑体" w:cs="黑体" w:hint="eastAsia"/>
              </w:rPr>
              <w:t>一般公共预算财政拨款支出决算情</w:t>
            </w:r>
            <w:r>
              <w:rPr>
                <w:rFonts w:ascii="黑体" w:eastAsia="黑体" w:hAnsi="黑体" w:cs="黑体" w:hint="eastAsia"/>
              </w:rPr>
              <w:t>况说明</w:t>
            </w:r>
            <w:r>
              <w:tab/>
            </w:r>
            <w:r>
              <w:fldChar w:fldCharType="begin"/>
            </w:r>
            <w:r>
              <w:instrText xml:space="preserve"> PAGEREF _Toc12297 \h </w:instrText>
            </w:r>
            <w:r>
              <w:fldChar w:fldCharType="separate"/>
            </w:r>
            <w:r>
              <w:t>8</w:t>
            </w:r>
            <w:r>
              <w:fldChar w:fldCharType="end"/>
            </w:r>
          </w:hyperlink>
        </w:p>
        <w:p w:rsidR="00CC0EE2" w:rsidRDefault="00C5639B">
          <w:pPr>
            <w:pStyle w:val="23"/>
            <w:tabs>
              <w:tab w:val="clear" w:pos="8296"/>
              <w:tab w:val="right" w:leader="dot" w:pos="8306"/>
            </w:tabs>
          </w:pPr>
          <w:hyperlink w:anchor="_Toc31356" w:history="1">
            <w:r>
              <w:rPr>
                <w:rFonts w:ascii="黑体" w:eastAsia="黑体" w:hAnsi="黑体" w:cs="黑体" w:hint="eastAsia"/>
              </w:rPr>
              <w:t>六、</w:t>
            </w:r>
            <w:r>
              <w:rPr>
                <w:rFonts w:ascii="黑体" w:eastAsia="黑体" w:hAnsi="黑体" w:cs="黑体" w:hint="eastAsia"/>
              </w:rPr>
              <w:t xml:space="preserve"> </w:t>
            </w:r>
            <w:r>
              <w:rPr>
                <w:rFonts w:ascii="黑体" w:eastAsia="黑体" w:hAnsi="黑体" w:cs="黑体" w:hint="eastAsia"/>
              </w:rPr>
              <w:t>一般公共预算财政拨款基本支出决算情况说明</w:t>
            </w:r>
            <w:r>
              <w:tab/>
            </w:r>
            <w:r>
              <w:fldChar w:fldCharType="begin"/>
            </w:r>
            <w:r>
              <w:instrText xml:space="preserve"> PAGEREF _Toc31356 \h </w:instrText>
            </w:r>
            <w:r>
              <w:fldChar w:fldCharType="separate"/>
            </w:r>
            <w:r>
              <w:t>10</w:t>
            </w:r>
            <w:r>
              <w:fldChar w:fldCharType="end"/>
            </w:r>
          </w:hyperlink>
        </w:p>
        <w:p w:rsidR="00CC0EE2" w:rsidRDefault="00C5639B">
          <w:pPr>
            <w:pStyle w:val="23"/>
            <w:tabs>
              <w:tab w:val="clear" w:pos="8296"/>
              <w:tab w:val="right" w:leader="dot" w:pos="8306"/>
            </w:tabs>
          </w:pPr>
          <w:hyperlink w:anchor="_Toc28495" w:history="1">
            <w:r>
              <w:rPr>
                <w:rFonts w:ascii="黑体" w:eastAsia="黑体" w:hAnsi="黑体" w:cs="黑体" w:hint="eastAsia"/>
              </w:rPr>
              <w:t>七、</w:t>
            </w:r>
            <w:r>
              <w:rPr>
                <w:rFonts w:ascii="黑体" w:eastAsia="黑体" w:hAnsi="黑体" w:cs="黑体" w:hint="eastAsia"/>
              </w:rPr>
              <w:t xml:space="preserve"> </w:t>
            </w:r>
            <w:r>
              <w:rPr>
                <w:rFonts w:ascii="黑体" w:eastAsia="黑体" w:hAnsi="黑体" w:cs="黑体" w:hint="eastAsia"/>
              </w:rPr>
              <w:t>财政拨款“三公”经费支出决算情况说明</w:t>
            </w:r>
            <w:r>
              <w:tab/>
            </w:r>
            <w:r>
              <w:fldChar w:fldCharType="begin"/>
            </w:r>
            <w:r>
              <w:instrText xml:space="preserve"> PAGEREF _Toc28495 \h </w:instrText>
            </w:r>
            <w:r>
              <w:fldChar w:fldCharType="separate"/>
            </w:r>
            <w:r>
              <w:t>11</w:t>
            </w:r>
            <w:r>
              <w:fldChar w:fldCharType="end"/>
            </w:r>
          </w:hyperlink>
        </w:p>
        <w:p w:rsidR="00CC0EE2" w:rsidRDefault="00C5639B">
          <w:pPr>
            <w:pStyle w:val="23"/>
            <w:tabs>
              <w:tab w:val="clear" w:pos="8296"/>
              <w:tab w:val="right" w:leader="dot" w:pos="8306"/>
            </w:tabs>
          </w:pPr>
          <w:hyperlink w:anchor="_Toc128" w:history="1">
            <w:r>
              <w:rPr>
                <w:rFonts w:ascii="黑体" w:eastAsia="黑体" w:hAnsi="黑体" w:cs="黑体" w:hint="eastAsia"/>
              </w:rPr>
              <w:t>八、</w:t>
            </w:r>
            <w:r>
              <w:rPr>
                <w:rFonts w:ascii="黑体" w:eastAsia="黑体" w:hAnsi="黑体" w:cs="黑体" w:hint="eastAsia"/>
              </w:rPr>
              <w:t xml:space="preserve"> </w:t>
            </w:r>
            <w:r>
              <w:rPr>
                <w:rFonts w:ascii="黑体" w:eastAsia="黑体" w:hAnsi="黑体" w:cs="黑体" w:hint="eastAsia"/>
              </w:rPr>
              <w:t>政府性基金预算支出决算情况说明</w:t>
            </w:r>
            <w:r>
              <w:tab/>
            </w:r>
            <w:r>
              <w:fldChar w:fldCharType="begin"/>
            </w:r>
            <w:r>
              <w:instrText xml:space="preserve"> PAGEREF _Toc128 \h </w:instrText>
            </w:r>
            <w:r>
              <w:fldChar w:fldCharType="separate"/>
            </w:r>
            <w:r>
              <w:t>12</w:t>
            </w:r>
            <w:r>
              <w:fldChar w:fldCharType="end"/>
            </w:r>
          </w:hyperlink>
        </w:p>
        <w:p w:rsidR="00CC0EE2" w:rsidRDefault="00C5639B">
          <w:pPr>
            <w:pStyle w:val="23"/>
            <w:tabs>
              <w:tab w:val="clear" w:pos="8296"/>
              <w:tab w:val="right" w:leader="dot" w:pos="8306"/>
            </w:tabs>
          </w:pPr>
          <w:hyperlink w:anchor="_Toc31075" w:history="1">
            <w:r>
              <w:rPr>
                <w:rFonts w:ascii="黑体" w:eastAsia="黑体" w:hAnsi="黑体" w:cs="黑体" w:hint="eastAsia"/>
              </w:rPr>
              <w:t>九、</w:t>
            </w:r>
            <w:r>
              <w:rPr>
                <w:rFonts w:ascii="黑体" w:eastAsia="黑体" w:hAnsi="黑体" w:cs="黑体" w:hint="eastAsia"/>
              </w:rPr>
              <w:t xml:space="preserve"> </w:t>
            </w:r>
            <w:r>
              <w:rPr>
                <w:rFonts w:ascii="黑体" w:eastAsia="黑体" w:hAnsi="黑体" w:cs="黑体" w:hint="eastAsia"/>
              </w:rPr>
              <w:t>国有资本经营预算支出决算情况说明</w:t>
            </w:r>
            <w:r>
              <w:tab/>
            </w:r>
            <w:r>
              <w:fldChar w:fldCharType="begin"/>
            </w:r>
            <w:r>
              <w:instrText xml:space="preserve"> PAGEREF _Toc31075 \h </w:instrText>
            </w:r>
            <w:r>
              <w:fldChar w:fldCharType="separate"/>
            </w:r>
            <w:r>
              <w:t>13</w:t>
            </w:r>
            <w:r>
              <w:fldChar w:fldCharType="end"/>
            </w:r>
          </w:hyperlink>
        </w:p>
        <w:p w:rsidR="00CC0EE2" w:rsidRDefault="00C5639B">
          <w:pPr>
            <w:pStyle w:val="23"/>
            <w:tabs>
              <w:tab w:val="clear" w:pos="8296"/>
              <w:tab w:val="right" w:leader="dot" w:pos="8306"/>
            </w:tabs>
          </w:pPr>
          <w:hyperlink w:anchor="_Toc22275" w:history="1">
            <w:r>
              <w:rPr>
                <w:rFonts w:ascii="黑体" w:eastAsia="黑体" w:hAnsi="黑体" w:cs="黑体" w:hint="eastAsia"/>
              </w:rPr>
              <w:t>十、</w:t>
            </w:r>
            <w:r>
              <w:rPr>
                <w:rFonts w:ascii="黑体" w:eastAsia="黑体" w:hAnsi="黑体" w:cs="黑体" w:hint="eastAsia"/>
              </w:rPr>
              <w:t xml:space="preserve"> </w:t>
            </w:r>
            <w:r>
              <w:rPr>
                <w:rFonts w:ascii="黑体" w:eastAsia="黑体" w:hAnsi="黑体" w:cs="黑体" w:hint="eastAsia"/>
              </w:rPr>
              <w:t>其他重要事项的情况说明</w:t>
            </w:r>
            <w:r>
              <w:tab/>
            </w:r>
            <w:r>
              <w:fldChar w:fldCharType="begin"/>
            </w:r>
            <w:r>
              <w:instrText xml:space="preserve"> PAGEREF _Toc22275 \h </w:instrText>
            </w:r>
            <w:r>
              <w:fldChar w:fldCharType="separate"/>
            </w:r>
            <w:r>
              <w:t>13</w:t>
            </w:r>
            <w:r>
              <w:fldChar w:fldCharType="end"/>
            </w:r>
          </w:hyperlink>
        </w:p>
        <w:p w:rsidR="00CC0EE2" w:rsidRDefault="00C5639B">
          <w:pPr>
            <w:pStyle w:val="11"/>
            <w:tabs>
              <w:tab w:val="clear" w:pos="8296"/>
              <w:tab w:val="right" w:leader="dot" w:pos="8306"/>
            </w:tabs>
          </w:pPr>
          <w:hyperlink w:anchor="_Toc15417" w:history="1">
            <w:r>
              <w:rPr>
                <w:rFonts w:ascii="方正小标宋简体" w:eastAsia="方正小标宋简体" w:hAnsi="方正小标宋简体" w:cs="方正小标宋简体" w:hint="eastAsia"/>
              </w:rPr>
              <w:t>第三部分</w:t>
            </w:r>
            <w:r>
              <w:rPr>
                <w:rFonts w:ascii="方正小标宋简体" w:eastAsia="方正小标宋简体" w:hAnsi="方正小标宋简体" w:cs="方正小标宋简体" w:hint="eastAsia"/>
              </w:rPr>
              <w:t xml:space="preserve">  </w:t>
            </w:r>
            <w:r>
              <w:rPr>
                <w:rFonts w:ascii="方正小标宋简体" w:eastAsia="方正小标宋简体" w:hAnsi="方正小标宋简体" w:cs="方正小标宋简体" w:hint="eastAsia"/>
              </w:rPr>
              <w:t>名词解释</w:t>
            </w:r>
            <w:r>
              <w:tab/>
            </w:r>
            <w:r>
              <w:fldChar w:fldCharType="begin"/>
            </w:r>
            <w:r>
              <w:instrText xml:space="preserve"> PAGEREF _Toc15417 \h </w:instrText>
            </w:r>
            <w:r>
              <w:fldChar w:fldCharType="separate"/>
            </w:r>
            <w:r>
              <w:t>15</w:t>
            </w:r>
            <w:r>
              <w:fldChar w:fldCharType="end"/>
            </w:r>
          </w:hyperlink>
        </w:p>
        <w:p w:rsidR="00CC0EE2" w:rsidRDefault="00C5639B">
          <w:pPr>
            <w:pStyle w:val="11"/>
            <w:tabs>
              <w:tab w:val="clear" w:pos="8296"/>
              <w:tab w:val="right" w:leader="dot" w:pos="8306"/>
            </w:tabs>
          </w:pPr>
          <w:hyperlink w:anchor="_Toc19847" w:history="1">
            <w:r>
              <w:rPr>
                <w:rFonts w:ascii="方正小标宋简体" w:eastAsia="方正小标宋简体" w:hAnsi="方正小标宋简体" w:cs="方正小标宋简体" w:hint="eastAsia"/>
                <w:kern w:val="44"/>
                <w:szCs w:val="44"/>
              </w:rPr>
              <w:t>第四部分</w:t>
            </w:r>
            <w:r>
              <w:rPr>
                <w:rFonts w:ascii="方正小标宋简体" w:eastAsia="方正小标宋简体" w:hAnsi="方正小标宋简体" w:cs="方正小标宋简体" w:hint="eastAsia"/>
                <w:kern w:val="44"/>
                <w:szCs w:val="44"/>
              </w:rPr>
              <w:t xml:space="preserve">  </w:t>
            </w:r>
            <w:r>
              <w:rPr>
                <w:rFonts w:ascii="方正小标宋简体" w:eastAsia="方正小标宋简体" w:hAnsi="方正小标宋简体" w:cs="方正小标宋简体" w:hint="eastAsia"/>
                <w:kern w:val="44"/>
                <w:szCs w:val="44"/>
              </w:rPr>
              <w:t>附件</w:t>
            </w:r>
            <w:r>
              <w:tab/>
            </w:r>
            <w:r>
              <w:fldChar w:fldCharType="begin"/>
            </w:r>
            <w:r>
              <w:instrText xml:space="preserve"> PAGEREF _Toc19847 \h </w:instrText>
            </w:r>
            <w:r>
              <w:fldChar w:fldCharType="separate"/>
            </w:r>
            <w:r>
              <w:t>19</w:t>
            </w:r>
            <w:r>
              <w:fldChar w:fldCharType="end"/>
            </w:r>
          </w:hyperlink>
        </w:p>
        <w:p w:rsidR="00CC0EE2" w:rsidRDefault="00C5639B">
          <w:pPr>
            <w:pStyle w:val="11"/>
            <w:tabs>
              <w:tab w:val="clear" w:pos="8296"/>
              <w:tab w:val="right" w:leader="dot" w:pos="8306"/>
            </w:tabs>
          </w:pPr>
          <w:hyperlink w:anchor="_Toc25916" w:history="1">
            <w:r>
              <w:rPr>
                <w:rFonts w:ascii="方正小标宋简体" w:eastAsia="方正小标宋简体" w:hAnsi="方正小标宋简体" w:cs="方正小标宋简体" w:hint="eastAsia"/>
              </w:rPr>
              <w:t>第五部分</w:t>
            </w:r>
            <w:r>
              <w:rPr>
                <w:rFonts w:ascii="方正小标宋简体" w:eastAsia="方正小标宋简体" w:hAnsi="方正小标宋简体" w:cs="方正小标宋简体" w:hint="eastAsia"/>
              </w:rPr>
              <w:t xml:space="preserve"> </w:t>
            </w:r>
            <w:r>
              <w:rPr>
                <w:rFonts w:ascii="方正小标宋简体" w:eastAsia="方正小标宋简体" w:hAnsi="方正小标宋简体" w:cs="方正小标宋简体" w:hint="eastAsia"/>
              </w:rPr>
              <w:t>附表</w:t>
            </w:r>
            <w:r>
              <w:tab/>
            </w:r>
            <w:r>
              <w:fldChar w:fldCharType="begin"/>
            </w:r>
            <w:r>
              <w:instrText xml:space="preserve"> PAGEREF _Toc25916 \h </w:instrText>
            </w:r>
            <w:r>
              <w:fldChar w:fldCharType="separate"/>
            </w:r>
            <w:r>
              <w:t>20</w:t>
            </w:r>
            <w:r>
              <w:fldChar w:fldCharType="end"/>
            </w:r>
          </w:hyperlink>
        </w:p>
        <w:p w:rsidR="00CC0EE2" w:rsidRDefault="00C5639B">
          <w:pPr>
            <w:pStyle w:val="23"/>
            <w:tabs>
              <w:tab w:val="clear" w:pos="8296"/>
              <w:tab w:val="right" w:leader="dot" w:pos="8306"/>
            </w:tabs>
          </w:pPr>
          <w:hyperlink w:anchor="_Toc20469" w:history="1">
            <w:r>
              <w:rPr>
                <w:rFonts w:ascii="黑体" w:eastAsia="黑体" w:hAnsi="黑体" w:cs="黑体" w:hint="eastAsia"/>
              </w:rPr>
              <w:t>一、</w:t>
            </w:r>
            <w:r>
              <w:rPr>
                <w:rFonts w:ascii="黑体" w:eastAsia="黑体" w:hAnsi="黑体" w:cs="黑体" w:hint="eastAsia"/>
              </w:rPr>
              <w:t xml:space="preserve"> </w:t>
            </w:r>
            <w:r>
              <w:rPr>
                <w:rFonts w:ascii="黑体" w:eastAsia="黑体" w:hAnsi="黑体" w:cs="黑体" w:hint="eastAsia"/>
              </w:rPr>
              <w:t>收入支出决算总表</w:t>
            </w:r>
            <w:r>
              <w:tab/>
            </w:r>
            <w:r>
              <w:fldChar w:fldCharType="begin"/>
            </w:r>
            <w:r>
              <w:instrText xml:space="preserve"> PAGEREF _Toc20469 \h </w:instrText>
            </w:r>
            <w:r>
              <w:fldChar w:fldCharType="separate"/>
            </w:r>
            <w:r>
              <w:t>20</w:t>
            </w:r>
            <w:r>
              <w:fldChar w:fldCharType="end"/>
            </w:r>
          </w:hyperlink>
        </w:p>
        <w:p w:rsidR="00CC0EE2" w:rsidRDefault="00C5639B">
          <w:pPr>
            <w:pStyle w:val="23"/>
            <w:tabs>
              <w:tab w:val="clear" w:pos="8296"/>
              <w:tab w:val="right" w:leader="dot" w:pos="8306"/>
            </w:tabs>
          </w:pPr>
          <w:hyperlink w:anchor="_Toc31793" w:history="1">
            <w:r>
              <w:rPr>
                <w:rFonts w:ascii="黑体" w:eastAsia="黑体" w:hAnsi="黑体" w:cs="黑体" w:hint="eastAsia"/>
              </w:rPr>
              <w:t>二、</w:t>
            </w:r>
            <w:r>
              <w:rPr>
                <w:rFonts w:ascii="黑体" w:eastAsia="黑体" w:hAnsi="黑体" w:cs="黑体" w:hint="eastAsia"/>
              </w:rPr>
              <w:t xml:space="preserve"> </w:t>
            </w:r>
            <w:r>
              <w:rPr>
                <w:rFonts w:ascii="黑体" w:eastAsia="黑体" w:hAnsi="黑体" w:cs="黑体" w:hint="eastAsia"/>
              </w:rPr>
              <w:t>收入决算表</w:t>
            </w:r>
            <w:r>
              <w:tab/>
            </w:r>
            <w:r>
              <w:fldChar w:fldCharType="begin"/>
            </w:r>
            <w:r>
              <w:instrText xml:space="preserve"> PAGEREF _Toc31793 \h </w:instrText>
            </w:r>
            <w:r>
              <w:fldChar w:fldCharType="separate"/>
            </w:r>
            <w:r>
              <w:t>20</w:t>
            </w:r>
            <w:r>
              <w:fldChar w:fldCharType="end"/>
            </w:r>
          </w:hyperlink>
        </w:p>
        <w:p w:rsidR="00CC0EE2" w:rsidRDefault="00C5639B">
          <w:pPr>
            <w:pStyle w:val="23"/>
            <w:tabs>
              <w:tab w:val="clear" w:pos="8296"/>
              <w:tab w:val="right" w:leader="dot" w:pos="8306"/>
            </w:tabs>
          </w:pPr>
          <w:hyperlink w:anchor="_Toc27762" w:history="1">
            <w:r>
              <w:rPr>
                <w:rFonts w:ascii="黑体" w:eastAsia="黑体" w:hAnsi="黑体" w:cs="黑体" w:hint="eastAsia"/>
              </w:rPr>
              <w:t>三、</w:t>
            </w:r>
            <w:r>
              <w:rPr>
                <w:rFonts w:ascii="黑体" w:eastAsia="黑体" w:hAnsi="黑体" w:cs="黑体" w:hint="eastAsia"/>
              </w:rPr>
              <w:t xml:space="preserve"> </w:t>
            </w:r>
            <w:r>
              <w:rPr>
                <w:rFonts w:ascii="黑体" w:eastAsia="黑体" w:hAnsi="黑体" w:cs="黑体" w:hint="eastAsia"/>
              </w:rPr>
              <w:t>支出决算表</w:t>
            </w:r>
            <w:r>
              <w:tab/>
            </w:r>
            <w:r>
              <w:fldChar w:fldCharType="begin"/>
            </w:r>
            <w:r>
              <w:instrText xml:space="preserve"> PAGEREF _Toc27762 \h </w:instrText>
            </w:r>
            <w:r>
              <w:fldChar w:fldCharType="separate"/>
            </w:r>
            <w:r>
              <w:t>20</w:t>
            </w:r>
            <w:r>
              <w:fldChar w:fldCharType="end"/>
            </w:r>
          </w:hyperlink>
        </w:p>
        <w:p w:rsidR="00CC0EE2" w:rsidRDefault="00C5639B">
          <w:pPr>
            <w:pStyle w:val="23"/>
            <w:tabs>
              <w:tab w:val="clear" w:pos="8296"/>
              <w:tab w:val="right" w:leader="dot" w:pos="8306"/>
            </w:tabs>
          </w:pPr>
          <w:hyperlink w:anchor="_Toc20030" w:history="1">
            <w:r>
              <w:rPr>
                <w:rFonts w:ascii="黑体" w:eastAsia="黑体" w:hAnsi="黑体" w:cs="黑体" w:hint="eastAsia"/>
              </w:rPr>
              <w:t>四、</w:t>
            </w:r>
            <w:r>
              <w:rPr>
                <w:rFonts w:ascii="黑体" w:eastAsia="黑体" w:hAnsi="黑体" w:cs="黑体" w:hint="eastAsia"/>
              </w:rPr>
              <w:t xml:space="preserve"> </w:t>
            </w:r>
            <w:r>
              <w:rPr>
                <w:rFonts w:ascii="黑体" w:eastAsia="黑体" w:hAnsi="黑体" w:cs="黑体" w:hint="eastAsia"/>
              </w:rPr>
              <w:t>财政拨款收入支出决算总表</w:t>
            </w:r>
            <w:r>
              <w:tab/>
            </w:r>
            <w:r>
              <w:fldChar w:fldCharType="begin"/>
            </w:r>
            <w:r>
              <w:instrText xml:space="preserve"> PAGEREF _Toc20030 \h </w:instrText>
            </w:r>
            <w:r>
              <w:fldChar w:fldCharType="separate"/>
            </w:r>
            <w:r>
              <w:t>20</w:t>
            </w:r>
            <w:r>
              <w:fldChar w:fldCharType="end"/>
            </w:r>
          </w:hyperlink>
        </w:p>
        <w:p w:rsidR="00CC0EE2" w:rsidRDefault="00C5639B">
          <w:pPr>
            <w:pStyle w:val="23"/>
            <w:tabs>
              <w:tab w:val="clear" w:pos="8296"/>
              <w:tab w:val="right" w:leader="dot" w:pos="8306"/>
            </w:tabs>
          </w:pPr>
          <w:hyperlink w:anchor="_Toc7389" w:history="1">
            <w:r>
              <w:rPr>
                <w:rFonts w:ascii="黑体" w:eastAsia="黑体" w:hAnsi="黑体" w:cs="黑体" w:hint="eastAsia"/>
              </w:rPr>
              <w:t>五、</w:t>
            </w:r>
            <w:r>
              <w:rPr>
                <w:rFonts w:ascii="黑体" w:eastAsia="黑体" w:hAnsi="黑体" w:cs="黑体" w:hint="eastAsia"/>
              </w:rPr>
              <w:t xml:space="preserve"> </w:t>
            </w:r>
            <w:r>
              <w:rPr>
                <w:rFonts w:ascii="黑体" w:eastAsia="黑体" w:hAnsi="黑体" w:cs="黑体" w:hint="eastAsia"/>
              </w:rPr>
              <w:t>财政拨款支出决算明细表</w:t>
            </w:r>
            <w:r>
              <w:tab/>
            </w:r>
            <w:r>
              <w:fldChar w:fldCharType="begin"/>
            </w:r>
            <w:r>
              <w:instrText xml:space="preserve"> PAGEREF _Toc7389 \h </w:instrText>
            </w:r>
            <w:r>
              <w:fldChar w:fldCharType="separate"/>
            </w:r>
            <w:r>
              <w:t>20</w:t>
            </w:r>
            <w:r>
              <w:fldChar w:fldCharType="end"/>
            </w:r>
          </w:hyperlink>
        </w:p>
        <w:p w:rsidR="00CC0EE2" w:rsidRDefault="00C5639B">
          <w:pPr>
            <w:pStyle w:val="23"/>
            <w:tabs>
              <w:tab w:val="clear" w:pos="8296"/>
              <w:tab w:val="right" w:leader="dot" w:pos="8306"/>
            </w:tabs>
          </w:pPr>
          <w:hyperlink w:anchor="_Toc29160" w:history="1">
            <w:r>
              <w:rPr>
                <w:rFonts w:ascii="黑体" w:eastAsia="黑体" w:hAnsi="黑体" w:cs="黑体" w:hint="eastAsia"/>
              </w:rPr>
              <w:t>六、</w:t>
            </w:r>
            <w:r>
              <w:rPr>
                <w:rFonts w:ascii="黑体" w:eastAsia="黑体" w:hAnsi="黑体" w:cs="黑体" w:hint="eastAsia"/>
              </w:rPr>
              <w:t xml:space="preserve"> </w:t>
            </w:r>
            <w:r>
              <w:rPr>
                <w:rFonts w:ascii="黑体" w:eastAsia="黑体" w:hAnsi="黑体" w:cs="黑体" w:hint="eastAsia"/>
              </w:rPr>
              <w:t>一般公共预算财政拨款支出决算表</w:t>
            </w:r>
            <w:r>
              <w:tab/>
            </w:r>
            <w:r>
              <w:fldChar w:fldCharType="begin"/>
            </w:r>
            <w:r>
              <w:instrText xml:space="preserve"> PAGEREF _Toc2</w:instrText>
            </w:r>
            <w:r>
              <w:instrText xml:space="preserve">9160 \h </w:instrText>
            </w:r>
            <w:r>
              <w:fldChar w:fldCharType="separate"/>
            </w:r>
            <w:r>
              <w:t>20</w:t>
            </w:r>
            <w:r>
              <w:fldChar w:fldCharType="end"/>
            </w:r>
          </w:hyperlink>
        </w:p>
        <w:p w:rsidR="00CC0EE2" w:rsidRDefault="00C5639B">
          <w:pPr>
            <w:pStyle w:val="23"/>
            <w:tabs>
              <w:tab w:val="clear" w:pos="8296"/>
              <w:tab w:val="right" w:leader="dot" w:pos="8306"/>
            </w:tabs>
          </w:pPr>
          <w:hyperlink w:anchor="_Toc6462" w:history="1">
            <w:r>
              <w:rPr>
                <w:rFonts w:ascii="黑体" w:eastAsia="黑体" w:hAnsi="黑体" w:cs="黑体" w:hint="eastAsia"/>
              </w:rPr>
              <w:t>七、</w:t>
            </w:r>
            <w:r>
              <w:rPr>
                <w:rFonts w:ascii="黑体" w:eastAsia="黑体" w:hAnsi="黑体" w:cs="黑体" w:hint="eastAsia"/>
              </w:rPr>
              <w:t xml:space="preserve"> </w:t>
            </w:r>
            <w:r>
              <w:rPr>
                <w:rFonts w:ascii="黑体" w:eastAsia="黑体" w:hAnsi="黑体" w:cs="黑体" w:hint="eastAsia"/>
              </w:rPr>
              <w:t>一般公共预算财政拨款支出决算明细表</w:t>
            </w:r>
            <w:r>
              <w:tab/>
            </w:r>
            <w:r>
              <w:fldChar w:fldCharType="begin"/>
            </w:r>
            <w:r>
              <w:instrText xml:space="preserve"> PAGEREF _Toc6462 \h </w:instrText>
            </w:r>
            <w:r>
              <w:fldChar w:fldCharType="separate"/>
            </w:r>
            <w:r>
              <w:t>20</w:t>
            </w:r>
            <w:r>
              <w:fldChar w:fldCharType="end"/>
            </w:r>
          </w:hyperlink>
        </w:p>
        <w:p w:rsidR="00CC0EE2" w:rsidRDefault="00C5639B">
          <w:pPr>
            <w:pStyle w:val="23"/>
            <w:tabs>
              <w:tab w:val="clear" w:pos="8296"/>
              <w:tab w:val="right" w:leader="dot" w:pos="8306"/>
            </w:tabs>
          </w:pPr>
          <w:hyperlink w:anchor="_Toc13387" w:history="1">
            <w:r>
              <w:rPr>
                <w:rFonts w:ascii="黑体" w:eastAsia="黑体" w:hAnsi="黑体" w:cs="黑体" w:hint="eastAsia"/>
              </w:rPr>
              <w:t>八、</w:t>
            </w:r>
            <w:r>
              <w:rPr>
                <w:rFonts w:ascii="黑体" w:eastAsia="黑体" w:hAnsi="黑体" w:cs="黑体" w:hint="eastAsia"/>
              </w:rPr>
              <w:t xml:space="preserve"> </w:t>
            </w:r>
            <w:r>
              <w:rPr>
                <w:rFonts w:ascii="黑体" w:eastAsia="黑体" w:hAnsi="黑体" w:cs="黑体" w:hint="eastAsia"/>
              </w:rPr>
              <w:t>一般公共预算财政拨款基本支出决算表</w:t>
            </w:r>
            <w:r>
              <w:tab/>
            </w:r>
            <w:r>
              <w:fldChar w:fldCharType="begin"/>
            </w:r>
            <w:r>
              <w:instrText xml:space="preserve"> PAGEREF _Toc13387 \h </w:instrText>
            </w:r>
            <w:r>
              <w:fldChar w:fldCharType="separate"/>
            </w:r>
            <w:r>
              <w:t>20</w:t>
            </w:r>
            <w:r>
              <w:fldChar w:fldCharType="end"/>
            </w:r>
          </w:hyperlink>
        </w:p>
        <w:p w:rsidR="00CC0EE2" w:rsidRDefault="00C5639B">
          <w:pPr>
            <w:pStyle w:val="23"/>
            <w:tabs>
              <w:tab w:val="clear" w:pos="8296"/>
              <w:tab w:val="right" w:leader="dot" w:pos="8306"/>
            </w:tabs>
          </w:pPr>
          <w:hyperlink w:anchor="_Toc25260" w:history="1">
            <w:r>
              <w:rPr>
                <w:rFonts w:ascii="黑体" w:eastAsia="黑体" w:hAnsi="黑体" w:cs="黑体" w:hint="eastAsia"/>
              </w:rPr>
              <w:t>九、</w:t>
            </w:r>
            <w:r>
              <w:rPr>
                <w:rFonts w:ascii="黑体" w:eastAsia="黑体" w:hAnsi="黑体" w:cs="黑体" w:hint="eastAsia"/>
              </w:rPr>
              <w:t xml:space="preserve"> </w:t>
            </w:r>
            <w:r>
              <w:rPr>
                <w:rFonts w:ascii="黑体" w:eastAsia="黑体" w:hAnsi="黑体" w:cs="黑体" w:hint="eastAsia"/>
              </w:rPr>
              <w:t>一般公共预算财政拨款项目支出决算表</w:t>
            </w:r>
            <w:r>
              <w:tab/>
            </w:r>
            <w:r>
              <w:fldChar w:fldCharType="begin"/>
            </w:r>
            <w:r>
              <w:instrText xml:space="preserve"> PAGEREF _Toc25260 \h </w:instrText>
            </w:r>
            <w:r>
              <w:fldChar w:fldCharType="separate"/>
            </w:r>
            <w:r>
              <w:t>20</w:t>
            </w:r>
            <w:r>
              <w:fldChar w:fldCharType="end"/>
            </w:r>
          </w:hyperlink>
        </w:p>
        <w:p w:rsidR="00CC0EE2" w:rsidRDefault="00C5639B">
          <w:pPr>
            <w:pStyle w:val="23"/>
            <w:tabs>
              <w:tab w:val="clear" w:pos="8296"/>
              <w:tab w:val="right" w:leader="dot" w:pos="8306"/>
            </w:tabs>
          </w:pPr>
          <w:hyperlink w:anchor="_Toc222" w:history="1">
            <w:r>
              <w:rPr>
                <w:rFonts w:ascii="黑体" w:eastAsia="黑体" w:hAnsi="黑体" w:cs="黑体" w:hint="eastAsia"/>
              </w:rPr>
              <w:t>十、</w:t>
            </w:r>
            <w:r>
              <w:rPr>
                <w:rFonts w:ascii="黑体" w:eastAsia="黑体" w:hAnsi="黑体" w:cs="黑体" w:hint="eastAsia"/>
              </w:rPr>
              <w:t xml:space="preserve"> </w:t>
            </w:r>
            <w:r>
              <w:rPr>
                <w:rFonts w:ascii="黑体" w:eastAsia="黑体" w:hAnsi="黑体" w:cs="黑体" w:hint="eastAsia"/>
              </w:rPr>
              <w:t>政府性基金预算财政拨款收入支出决算表</w:t>
            </w:r>
            <w:r>
              <w:tab/>
            </w:r>
            <w:r>
              <w:fldChar w:fldCharType="begin"/>
            </w:r>
            <w:r>
              <w:instrText xml:space="preserve"> PAGEREF _Toc222 \h </w:instrText>
            </w:r>
            <w:r>
              <w:fldChar w:fldCharType="separate"/>
            </w:r>
            <w:r>
              <w:t>20</w:t>
            </w:r>
            <w:r>
              <w:fldChar w:fldCharType="end"/>
            </w:r>
          </w:hyperlink>
        </w:p>
        <w:p w:rsidR="00CC0EE2" w:rsidRDefault="00C5639B">
          <w:pPr>
            <w:pStyle w:val="23"/>
            <w:tabs>
              <w:tab w:val="clear" w:pos="8296"/>
              <w:tab w:val="right" w:leader="dot" w:pos="8306"/>
            </w:tabs>
          </w:pPr>
          <w:hyperlink w:anchor="_Toc29307" w:history="1">
            <w:r>
              <w:rPr>
                <w:rFonts w:ascii="黑体" w:eastAsia="黑体" w:hAnsi="黑体" w:cs="黑体" w:hint="eastAsia"/>
              </w:rPr>
              <w:t>十一、</w:t>
            </w:r>
            <w:r>
              <w:rPr>
                <w:rFonts w:ascii="黑体" w:eastAsia="黑体" w:hAnsi="黑体" w:cs="黑体" w:hint="eastAsia"/>
              </w:rPr>
              <w:t xml:space="preserve"> </w:t>
            </w:r>
            <w:r>
              <w:rPr>
                <w:rFonts w:ascii="黑体" w:eastAsia="黑体" w:hAnsi="黑体" w:cs="黑体" w:hint="eastAsia"/>
              </w:rPr>
              <w:t>国有资本经营预算财政拨款收入支出决算表</w:t>
            </w:r>
            <w:r>
              <w:tab/>
            </w:r>
            <w:r>
              <w:fldChar w:fldCharType="begin"/>
            </w:r>
            <w:r>
              <w:instrText xml:space="preserve"> PAGEREF _Toc29307 \h </w:instrText>
            </w:r>
            <w:r>
              <w:fldChar w:fldCharType="separate"/>
            </w:r>
            <w:r>
              <w:t>20</w:t>
            </w:r>
            <w:r>
              <w:fldChar w:fldCharType="end"/>
            </w:r>
          </w:hyperlink>
        </w:p>
        <w:p w:rsidR="00CC0EE2" w:rsidRDefault="00C5639B">
          <w:pPr>
            <w:pStyle w:val="23"/>
            <w:tabs>
              <w:tab w:val="clear" w:pos="8296"/>
              <w:tab w:val="right" w:leader="dot" w:pos="8306"/>
            </w:tabs>
          </w:pPr>
          <w:hyperlink w:anchor="_Toc8313" w:history="1">
            <w:r>
              <w:rPr>
                <w:rFonts w:ascii="黑体" w:eastAsia="黑体" w:hAnsi="黑体" w:cs="黑体" w:hint="eastAsia"/>
              </w:rPr>
              <w:t>十二、</w:t>
            </w:r>
            <w:r>
              <w:rPr>
                <w:rFonts w:ascii="黑体" w:eastAsia="黑体" w:hAnsi="黑体" w:cs="黑体" w:hint="eastAsia"/>
              </w:rPr>
              <w:t xml:space="preserve"> </w:t>
            </w:r>
            <w:r>
              <w:rPr>
                <w:rFonts w:ascii="黑体" w:eastAsia="黑体" w:hAnsi="黑体" w:cs="黑体" w:hint="eastAsia"/>
              </w:rPr>
              <w:t>国有资本经营预算财政拨款支出决算表</w:t>
            </w:r>
            <w:r>
              <w:tab/>
            </w:r>
            <w:r>
              <w:fldChar w:fldCharType="begin"/>
            </w:r>
            <w:r>
              <w:instrText xml:space="preserve"> PAGEREF _Toc8313 \h </w:instrText>
            </w:r>
            <w:r>
              <w:fldChar w:fldCharType="separate"/>
            </w:r>
            <w:r>
              <w:t>20</w:t>
            </w:r>
            <w:r>
              <w:fldChar w:fldCharType="end"/>
            </w:r>
          </w:hyperlink>
        </w:p>
        <w:p w:rsidR="00CC0EE2" w:rsidRDefault="00C5639B">
          <w:pPr>
            <w:pStyle w:val="23"/>
            <w:tabs>
              <w:tab w:val="clear" w:pos="8296"/>
              <w:tab w:val="right" w:leader="dot" w:pos="8306"/>
            </w:tabs>
          </w:pPr>
          <w:hyperlink w:anchor="_Toc6059" w:history="1">
            <w:r>
              <w:rPr>
                <w:rFonts w:ascii="黑体" w:eastAsia="黑体" w:hAnsi="黑体" w:cs="黑体" w:hint="eastAsia"/>
              </w:rPr>
              <w:t>十三、</w:t>
            </w:r>
            <w:r>
              <w:rPr>
                <w:rFonts w:ascii="黑体" w:eastAsia="黑体" w:hAnsi="黑体" w:cs="黑体" w:hint="eastAsia"/>
              </w:rPr>
              <w:t xml:space="preserve"> </w:t>
            </w:r>
            <w:r>
              <w:rPr>
                <w:rFonts w:ascii="黑体" w:eastAsia="黑体" w:hAnsi="黑体" w:cs="黑体" w:hint="eastAsia"/>
              </w:rPr>
              <w:t>财政拨款“三公”经费支出决算表</w:t>
            </w:r>
            <w:r>
              <w:tab/>
            </w:r>
            <w:r>
              <w:fldChar w:fldCharType="begin"/>
            </w:r>
            <w:r>
              <w:instrText xml:space="preserve"> PAGEREF _</w:instrText>
            </w:r>
            <w:r>
              <w:instrText xml:space="preserve">Toc6059 \h </w:instrText>
            </w:r>
            <w:r>
              <w:fldChar w:fldCharType="separate"/>
            </w:r>
            <w:r>
              <w:t>20</w:t>
            </w:r>
            <w:r>
              <w:fldChar w:fldCharType="end"/>
            </w:r>
          </w:hyperlink>
        </w:p>
        <w:p w:rsidR="00CC0EE2" w:rsidRDefault="00C5639B">
          <w:r>
            <w:fldChar w:fldCharType="end"/>
          </w:r>
        </w:p>
      </w:sdtContent>
    </w:sdt>
    <w:p w:rsidR="00CC0EE2" w:rsidRDefault="00C5639B">
      <w:pPr>
        <w:rPr>
          <w:rFonts w:eastAsia="仿宋_GB2312" w:cs="仿宋_GB2312"/>
          <w:bCs/>
          <w:kern w:val="44"/>
          <w:sz w:val="32"/>
          <w:szCs w:val="32"/>
        </w:rPr>
      </w:pPr>
      <w:r>
        <w:rPr>
          <w:rFonts w:eastAsia="仿宋_GB2312" w:cs="仿宋_GB2312" w:hint="eastAsia"/>
          <w:b/>
          <w:sz w:val="32"/>
          <w:szCs w:val="32"/>
        </w:rPr>
        <w:br w:type="page"/>
      </w:r>
    </w:p>
    <w:p w:rsidR="00CC0EE2" w:rsidRDefault="00C5639B">
      <w:pPr>
        <w:pStyle w:val="1"/>
        <w:jc w:val="center"/>
        <w:rPr>
          <w:rFonts w:ascii="方正小标宋简体" w:eastAsia="方正小标宋简体" w:hAnsi="方正小标宋简体" w:cs="方正小标宋简体"/>
          <w:b w:val="0"/>
          <w:bCs w:val="0"/>
        </w:rPr>
      </w:pPr>
      <w:bookmarkStart w:id="14" w:name="_Toc9410"/>
      <w:r>
        <w:rPr>
          <w:rFonts w:ascii="方正小标宋简体" w:eastAsia="方正小标宋简体" w:hAnsi="方正小标宋简体" w:cs="方正小标宋简体" w:hint="eastAsia"/>
          <w:b w:val="0"/>
          <w:bCs w:val="0"/>
        </w:rPr>
        <w:lastRenderedPageBreak/>
        <w:t>第一部分</w:t>
      </w:r>
      <w:r>
        <w:rPr>
          <w:rFonts w:ascii="方正小标宋简体" w:eastAsia="方正小标宋简体" w:hAnsi="方正小标宋简体" w:cs="方正小标宋简体" w:hint="eastAsia"/>
          <w:b w:val="0"/>
          <w:bCs w:val="0"/>
        </w:rPr>
        <w:t xml:space="preserve">  </w:t>
      </w:r>
      <w:r>
        <w:rPr>
          <w:rFonts w:ascii="方正小标宋简体" w:eastAsia="方正小标宋简体" w:hAnsi="方正小标宋简体" w:cs="方正小标宋简体" w:hint="eastAsia"/>
          <w:b w:val="0"/>
          <w:bCs w:val="0"/>
        </w:rPr>
        <w:t>单位</w:t>
      </w:r>
      <w:r>
        <w:rPr>
          <w:rFonts w:ascii="方正小标宋简体" w:eastAsia="方正小标宋简体" w:hAnsi="方正小标宋简体" w:cs="方正小标宋简体" w:hint="eastAsia"/>
          <w:b w:val="0"/>
          <w:bCs w:val="0"/>
        </w:rPr>
        <w:t>概况</w:t>
      </w:r>
      <w:bookmarkEnd w:id="13"/>
      <w:bookmarkEnd w:id="12"/>
      <w:bookmarkEnd w:id="14"/>
    </w:p>
    <w:p w:rsidR="00CC0EE2" w:rsidRDefault="00CC0EE2">
      <w:pPr>
        <w:widowControl/>
        <w:jc w:val="left"/>
        <w:rPr>
          <w:rFonts w:eastAsia="黑体"/>
          <w:sz w:val="32"/>
          <w:szCs w:val="32"/>
        </w:rPr>
      </w:pPr>
    </w:p>
    <w:p w:rsidR="00CC0EE2" w:rsidRDefault="00C5639B">
      <w:pPr>
        <w:pStyle w:val="2"/>
        <w:numPr>
          <w:ilvl w:val="0"/>
          <w:numId w:val="1"/>
        </w:numPr>
        <w:ind w:firstLineChars="200" w:firstLine="640"/>
        <w:rPr>
          <w:rFonts w:ascii="黑体" w:eastAsia="黑体" w:hAnsi="黑体" w:cs="黑体"/>
          <w:b w:val="0"/>
          <w:bCs w:val="0"/>
        </w:rPr>
      </w:pPr>
      <w:bookmarkStart w:id="15" w:name="_Toc2450"/>
      <w:r>
        <w:rPr>
          <w:rFonts w:ascii="黑体" w:eastAsia="黑体" w:hAnsi="黑体" w:cs="黑体" w:hint="eastAsia"/>
          <w:b w:val="0"/>
          <w:bCs w:val="0"/>
        </w:rPr>
        <w:t>单位</w:t>
      </w:r>
      <w:r>
        <w:rPr>
          <w:rFonts w:ascii="黑体" w:eastAsia="黑体" w:hAnsi="黑体" w:cs="黑体" w:hint="eastAsia"/>
          <w:b w:val="0"/>
          <w:bCs w:val="0"/>
        </w:rPr>
        <w:t>职责</w:t>
      </w:r>
      <w:bookmarkEnd w:id="15"/>
    </w:p>
    <w:p w:rsidR="00CC0EE2" w:rsidRDefault="00C5639B">
      <w:pPr>
        <w:numPr>
          <w:ilvl w:val="0"/>
          <w:numId w:val="2"/>
        </w:numPr>
        <w:ind w:firstLineChars="250" w:firstLine="803"/>
        <w:rPr>
          <w:rFonts w:ascii="仿宋_GB2312" w:eastAsia="仿宋_GB2312" w:hAnsi="仿宋_GB2312" w:cs="仿宋_GB2312"/>
          <w:sz w:val="32"/>
          <w:szCs w:val="32"/>
        </w:rPr>
      </w:pPr>
      <w:r>
        <w:rPr>
          <w:rFonts w:ascii="仿宋_GB2312" w:eastAsia="仿宋_GB2312" w:hAnsi="仿宋_GB2312" w:cs="仿宋_GB2312" w:hint="eastAsia"/>
          <w:b/>
          <w:bCs/>
          <w:sz w:val="32"/>
          <w:szCs w:val="32"/>
        </w:rPr>
        <w:t>为市交通运输局提供行政辅助和技术支持的职能：</w:t>
      </w:r>
      <w:r>
        <w:rPr>
          <w:rFonts w:ascii="仿宋_GB2312" w:eastAsia="仿宋_GB2312" w:hAnsi="仿宋_GB2312" w:cs="仿宋_GB2312" w:hint="eastAsia"/>
          <w:sz w:val="32"/>
          <w:szCs w:val="32"/>
        </w:rPr>
        <w:t>贯彻落实国家和省、市有关道路运输的方针政策和法律法规，参与拟订地方性行业政策、标准并协助实施；参与编制、修订全市道路运输行业发展规划、中长期计划协助实施；</w:t>
      </w:r>
      <w:r>
        <w:rPr>
          <w:rFonts w:ascii="仿宋_GB2312" w:eastAsia="仿宋_GB2312" w:hAnsi="仿宋_GB2312" w:cs="仿宋_GB2312" w:hint="eastAsia"/>
          <w:sz w:val="32"/>
          <w:szCs w:val="32"/>
        </w:rPr>
        <w:t xml:space="preserve">3. </w:t>
      </w:r>
      <w:r>
        <w:rPr>
          <w:rFonts w:ascii="仿宋_GB2312" w:eastAsia="仿宋_GB2312" w:hAnsi="仿宋_GB2312" w:cs="仿宋_GB2312" w:hint="eastAsia"/>
          <w:sz w:val="32"/>
          <w:szCs w:val="32"/>
        </w:rPr>
        <w:t>承担全市道路旅客运输、城市公交客运、出租汽车客运、道路货物运输、道路运输站场、机动车维修和驾驶员培训等行业监督管理的行政辅助工作；承担全市道路运输行业源头安全、环保监督管理的行政辅助工作；承担全市道路运输行业市场运行情况监测、统计分析、信用体系建设指导和节能减排的行政辅助工作；协助实施交通战备、抢险救灾等人员和重点物资应急运输保障工作；参与道路运输事故调查处理工作。完成市交通运输局交办的其他任务。</w:t>
      </w:r>
    </w:p>
    <w:p w:rsidR="00CC0EE2" w:rsidRDefault="00C5639B">
      <w:pPr>
        <w:numPr>
          <w:ilvl w:val="0"/>
          <w:numId w:val="2"/>
        </w:numPr>
        <w:ind w:firstLineChars="250" w:firstLine="803"/>
        <w:rPr>
          <w:rFonts w:ascii="仿宋_GB2312" w:eastAsia="仿宋_GB2312" w:hAnsi="仿宋_GB2312" w:cs="仿宋_GB2312"/>
          <w:sz w:val="32"/>
          <w:szCs w:val="32"/>
        </w:rPr>
      </w:pPr>
      <w:r>
        <w:rPr>
          <w:rFonts w:ascii="仿宋_GB2312" w:eastAsia="仿宋_GB2312" w:hAnsi="仿宋_GB2312" w:cs="仿宋_GB2312" w:hint="eastAsia"/>
          <w:b/>
          <w:bCs/>
          <w:sz w:val="32"/>
          <w:szCs w:val="32"/>
        </w:rPr>
        <w:t>面向社会提供公益服务的职能：</w:t>
      </w:r>
      <w:r>
        <w:rPr>
          <w:rFonts w:ascii="仿宋_GB2312" w:eastAsia="仿宋_GB2312" w:hAnsi="仿宋_GB2312" w:cs="仿宋_GB2312" w:hint="eastAsia"/>
          <w:sz w:val="32"/>
          <w:szCs w:val="32"/>
        </w:rPr>
        <w:t>承担道路运输基础数据公共服务工作；承担道路运输科技成果转化和新技术推广应用工作；负</w:t>
      </w:r>
      <w:r>
        <w:rPr>
          <w:rFonts w:ascii="仿宋_GB2312" w:eastAsia="仿宋_GB2312" w:hAnsi="仿宋_GB2312" w:cs="仿宋_GB2312" w:hint="eastAsia"/>
          <w:sz w:val="32"/>
          <w:szCs w:val="32"/>
        </w:rPr>
        <w:t>责道路运输统计数据的收集和报送工作。</w:t>
      </w:r>
    </w:p>
    <w:p w:rsidR="00CC0EE2" w:rsidRDefault="00CC0EE2"/>
    <w:p w:rsidR="00CC0EE2" w:rsidRDefault="00C5639B">
      <w:pPr>
        <w:pStyle w:val="2"/>
        <w:numPr>
          <w:ilvl w:val="0"/>
          <w:numId w:val="1"/>
        </w:numPr>
        <w:ind w:firstLineChars="200" w:firstLine="640"/>
        <w:rPr>
          <w:rFonts w:ascii="黑体" w:eastAsia="黑体" w:hAnsi="黑体" w:cs="黑体"/>
          <w:b w:val="0"/>
          <w:bCs w:val="0"/>
        </w:rPr>
      </w:pPr>
      <w:bookmarkStart w:id="16" w:name="_Toc15396601"/>
      <w:bookmarkStart w:id="17" w:name="_Toc15377200"/>
      <w:bookmarkStart w:id="18" w:name="_Toc24005"/>
      <w:r>
        <w:rPr>
          <w:rFonts w:ascii="黑体" w:eastAsia="黑体" w:hAnsi="黑体" w:cs="黑体" w:hint="eastAsia"/>
          <w:b w:val="0"/>
          <w:bCs w:val="0"/>
        </w:rPr>
        <w:lastRenderedPageBreak/>
        <w:t>机构设置</w:t>
      </w:r>
      <w:bookmarkEnd w:id="16"/>
      <w:bookmarkEnd w:id="17"/>
      <w:bookmarkEnd w:id="18"/>
    </w:p>
    <w:p w:rsidR="00CC0EE2" w:rsidRDefault="00C5639B">
      <w:pPr>
        <w:widowControl/>
        <w:ind w:firstLineChars="200" w:firstLine="640"/>
        <w:jc w:val="left"/>
        <w:rPr>
          <w:rFonts w:eastAsia="仿宋"/>
          <w:kern w:val="0"/>
          <w:sz w:val="32"/>
          <w:szCs w:val="32"/>
        </w:rPr>
      </w:pPr>
      <w:r>
        <w:rPr>
          <w:rFonts w:eastAsia="仿宋_GB2312" w:hint="eastAsia"/>
          <w:color w:val="000000"/>
          <w:sz w:val="32"/>
          <w:szCs w:val="32"/>
        </w:rPr>
        <w:t>交通运输服务</w:t>
      </w:r>
      <w:r>
        <w:rPr>
          <w:rFonts w:eastAsia="仿宋_GB2312" w:hint="eastAsia"/>
          <w:color w:val="000000"/>
          <w:sz w:val="32"/>
          <w:szCs w:val="32"/>
          <w:lang w:val="zh-CN"/>
        </w:rPr>
        <w:t>中心设</w:t>
      </w:r>
      <w:r>
        <w:rPr>
          <w:rFonts w:eastAsia="仿宋_GB2312" w:hint="eastAsia"/>
          <w:color w:val="000000"/>
          <w:sz w:val="32"/>
          <w:szCs w:val="32"/>
        </w:rPr>
        <w:t>9</w:t>
      </w:r>
      <w:r>
        <w:rPr>
          <w:rFonts w:eastAsia="仿宋_GB2312" w:hint="eastAsia"/>
          <w:color w:val="000000"/>
          <w:sz w:val="32"/>
          <w:szCs w:val="32"/>
          <w:lang w:val="zh-CN"/>
        </w:rPr>
        <w:t>个内设机构。</w:t>
      </w:r>
      <w:r>
        <w:rPr>
          <w:rFonts w:eastAsia="仿宋_GB2312" w:hint="eastAsia"/>
          <w:color w:val="000000"/>
          <w:sz w:val="32"/>
          <w:szCs w:val="32"/>
        </w:rPr>
        <w:t>包括</w:t>
      </w:r>
      <w:r>
        <w:rPr>
          <w:rFonts w:eastAsia="仿宋_GB2312" w:hint="eastAsia"/>
          <w:color w:val="000000"/>
          <w:sz w:val="32"/>
          <w:szCs w:val="32"/>
          <w:lang w:val="zh-CN"/>
        </w:rPr>
        <w:t>综合科、</w:t>
      </w:r>
      <w:r>
        <w:rPr>
          <w:rFonts w:eastAsia="仿宋_GB2312" w:hint="eastAsia"/>
          <w:color w:val="000000"/>
          <w:sz w:val="32"/>
          <w:szCs w:val="32"/>
        </w:rPr>
        <w:t>财务统计科、道路客运科、道路货运科、城市客运科、安全法规科、从业人员培训科、车辆技术维修科、公共服务科。</w:t>
      </w:r>
      <w:r>
        <w:rPr>
          <w:rFonts w:eastAsia="仿宋"/>
          <w:sz w:val="32"/>
          <w:szCs w:val="32"/>
        </w:rPr>
        <w:br w:type="page"/>
      </w:r>
    </w:p>
    <w:p w:rsidR="00CC0EE2" w:rsidRDefault="00C5639B">
      <w:pPr>
        <w:pStyle w:val="1"/>
        <w:jc w:val="center"/>
        <w:rPr>
          <w:rFonts w:ascii="方正小标宋简体" w:eastAsia="方正小标宋简体" w:hAnsi="方正小标宋简体" w:cs="方正小标宋简体"/>
          <w:b w:val="0"/>
          <w:bCs w:val="0"/>
        </w:rPr>
      </w:pPr>
      <w:bookmarkStart w:id="19" w:name="_Toc15377204"/>
      <w:bookmarkStart w:id="20" w:name="_Toc14200"/>
      <w:bookmarkStart w:id="21" w:name="_Toc15396602"/>
      <w:r>
        <w:rPr>
          <w:rFonts w:ascii="方正小标宋简体" w:eastAsia="方正小标宋简体" w:hAnsi="方正小标宋简体" w:cs="方正小标宋简体" w:hint="eastAsia"/>
          <w:b w:val="0"/>
          <w:bCs w:val="0"/>
        </w:rPr>
        <w:lastRenderedPageBreak/>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w:t>
      </w:r>
      <w:r>
        <w:rPr>
          <w:rFonts w:ascii="方正小标宋简体" w:eastAsia="方正小标宋简体" w:hAnsi="方正小标宋简体" w:cs="方正小标宋简体" w:hint="eastAsia"/>
          <w:b w:val="0"/>
          <w:bCs w:val="0"/>
        </w:rPr>
        <w:t>单位</w:t>
      </w:r>
      <w:r>
        <w:rPr>
          <w:rFonts w:ascii="方正小标宋简体" w:eastAsia="方正小标宋简体" w:hAnsi="方正小标宋简体" w:cs="方正小标宋简体" w:hint="eastAsia"/>
          <w:b w:val="0"/>
          <w:bCs w:val="0"/>
        </w:rPr>
        <w:t>决算情况说明</w:t>
      </w:r>
      <w:bookmarkEnd w:id="19"/>
      <w:bookmarkEnd w:id="20"/>
      <w:bookmarkEnd w:id="21"/>
    </w:p>
    <w:p w:rsidR="00CC0EE2" w:rsidRDefault="00CC0EE2"/>
    <w:p w:rsidR="00CC0EE2" w:rsidRDefault="00C5639B">
      <w:pPr>
        <w:pStyle w:val="2"/>
        <w:numPr>
          <w:ilvl w:val="0"/>
          <w:numId w:val="3"/>
        </w:numPr>
        <w:ind w:firstLineChars="200" w:firstLine="640"/>
        <w:rPr>
          <w:rFonts w:ascii="黑体" w:eastAsia="黑体" w:hAnsi="黑体" w:cs="黑体"/>
          <w:b w:val="0"/>
          <w:bCs w:val="0"/>
        </w:rPr>
      </w:pPr>
      <w:bookmarkStart w:id="22" w:name="_Toc19694"/>
      <w:bookmarkStart w:id="23" w:name="_Toc15396603"/>
      <w:bookmarkStart w:id="24" w:name="_Toc15377205"/>
      <w:r>
        <w:rPr>
          <w:rFonts w:ascii="黑体" w:eastAsia="黑体" w:hAnsi="黑体" w:cs="黑体" w:hint="eastAsia"/>
          <w:b w:val="0"/>
          <w:bCs w:val="0"/>
        </w:rPr>
        <w:t>收入支出决算总体情况说明</w:t>
      </w:r>
      <w:bookmarkEnd w:id="22"/>
      <w:bookmarkEnd w:id="23"/>
      <w:bookmarkEnd w:id="24"/>
    </w:p>
    <w:p w:rsidR="00CC0EE2" w:rsidRDefault="00C5639B" w:rsidP="006A5DCA">
      <w:pPr>
        <w:pStyle w:val="a5"/>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年度收入、支出总计均为</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万元。与上年度相比，收入、支出总计各增加</w:t>
      </w:r>
      <w:r>
        <w:rPr>
          <w:rFonts w:ascii="仿宋_GB2312" w:eastAsia="仿宋_GB2312" w:hAnsi="仿宋_GB2312" w:cs="仿宋_GB2312" w:hint="eastAsia"/>
          <w:sz w:val="32"/>
          <w:szCs w:val="32"/>
        </w:rPr>
        <w:t>1359.95</w:t>
      </w:r>
      <w:r>
        <w:rPr>
          <w:rFonts w:ascii="仿宋_GB2312" w:eastAsia="仿宋_GB2312" w:hAnsi="仿宋_GB2312" w:cs="仿宋_GB2312" w:hint="eastAsia"/>
          <w:sz w:val="32"/>
          <w:szCs w:val="32"/>
        </w:rPr>
        <w:t>万元，增加</w:t>
      </w:r>
      <w:r>
        <w:rPr>
          <w:rFonts w:ascii="仿宋_GB2312" w:eastAsia="仿宋_GB2312" w:hAnsi="仿宋_GB2312" w:cs="仿宋_GB2312" w:hint="eastAsia"/>
          <w:sz w:val="32"/>
          <w:szCs w:val="32"/>
        </w:rPr>
        <w:t>209.8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。主要变动原因是</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年新增支付城市交通发展奖励资金以及增加省级物流枢纽承载城市申报方案编制服务</w:t>
      </w:r>
      <w:r>
        <w:rPr>
          <w:rFonts w:ascii="仿宋_GB2312" w:eastAsia="仿宋_GB2312" w:hAnsi="仿宋_GB2312" w:cs="仿宋_GB2312" w:hint="eastAsia"/>
          <w:sz w:val="32"/>
          <w:szCs w:val="32"/>
        </w:rPr>
        <w:t>。</w:t>
      </w:r>
      <w:bookmarkStart w:id="25" w:name="_GoBack"/>
      <w:bookmarkEnd w:id="25"/>
    </w:p>
    <w:p w:rsidR="00CC0EE2" w:rsidRDefault="00C563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图</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：收入、支出决算总计变动情况图）</w:t>
      </w:r>
    </w:p>
    <w:p w:rsidR="00CC0EE2" w:rsidRDefault="00C5639B">
      <w:pPr>
        <w:ind w:firstLineChars="200" w:firstLine="640"/>
        <w:rPr>
          <w:rFonts w:eastAsia="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59264" behindDoc="1" locked="0" layoutInCell="1" allowOverlap="1">
            <wp:simplePos x="0" y="0"/>
            <wp:positionH relativeFrom="column">
              <wp:posOffset>639445</wp:posOffset>
            </wp:positionH>
            <wp:positionV relativeFrom="paragraph">
              <wp:posOffset>343535</wp:posOffset>
            </wp:positionV>
            <wp:extent cx="4122420" cy="2092960"/>
            <wp:effectExtent l="4445" t="5080" r="6985" b="16510"/>
            <wp:wrapTight wrapText="bothSides">
              <wp:wrapPolygon edited="0">
                <wp:start x="-23" y="-52"/>
                <wp:lineTo x="-23" y="21377"/>
                <wp:lineTo x="21537" y="21377"/>
                <wp:lineTo x="21537" y="-52"/>
                <wp:lineTo x="-23" y="-52"/>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5639B">
      <w:pPr>
        <w:pStyle w:val="2"/>
        <w:numPr>
          <w:ilvl w:val="0"/>
          <w:numId w:val="3"/>
        </w:numPr>
        <w:ind w:firstLineChars="200" w:firstLine="640"/>
        <w:rPr>
          <w:rFonts w:ascii="黑体" w:eastAsia="黑体" w:hAnsi="黑体" w:cs="黑体"/>
          <w:b w:val="0"/>
          <w:bCs w:val="0"/>
        </w:rPr>
      </w:pPr>
      <w:bookmarkStart w:id="26" w:name="_Toc15396604"/>
      <w:bookmarkStart w:id="27" w:name="_Toc29834"/>
      <w:bookmarkStart w:id="28" w:name="_Toc15377206"/>
      <w:r>
        <w:rPr>
          <w:rFonts w:ascii="黑体" w:eastAsia="黑体" w:hAnsi="黑体" w:cs="黑体" w:hint="eastAsia"/>
          <w:b w:val="0"/>
          <w:bCs w:val="0"/>
        </w:rPr>
        <w:t>收入决算情况说明</w:t>
      </w:r>
      <w:bookmarkEnd w:id="26"/>
      <w:bookmarkEnd w:id="27"/>
      <w:bookmarkEnd w:id="28"/>
    </w:p>
    <w:p w:rsidR="00CC0EE2" w:rsidRDefault="00C563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年度本年收入合计</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；政府性基金预算财政拨款收入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CC0EE2" w:rsidRDefault="00CC0EE2">
      <w:pPr>
        <w:ind w:firstLineChars="200" w:firstLine="640"/>
        <w:rPr>
          <w:rFonts w:ascii="仿宋_GB2312" w:eastAsia="仿宋_GB2312" w:hAnsi="仿宋_GB2312" w:cs="仿宋_GB2312"/>
          <w:sz w:val="32"/>
          <w:szCs w:val="32"/>
        </w:rPr>
      </w:pPr>
    </w:p>
    <w:p w:rsidR="00CC0EE2" w:rsidRDefault="00CC0EE2">
      <w:pPr>
        <w:ind w:firstLineChars="200" w:firstLine="640"/>
        <w:jc w:val="center"/>
        <w:rPr>
          <w:rFonts w:ascii="仿宋_GB2312" w:eastAsia="仿宋_GB2312" w:hAnsi="仿宋_GB2312" w:cs="仿宋_GB2312"/>
          <w:sz w:val="32"/>
          <w:szCs w:val="32"/>
        </w:rPr>
      </w:pPr>
    </w:p>
    <w:p w:rsidR="00CC0EE2" w:rsidRDefault="00C5639B">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（图</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：收入决算结构图）</w:t>
      </w:r>
    </w:p>
    <w:p w:rsidR="00CC0EE2" w:rsidRDefault="00CC0EE2">
      <w:pPr>
        <w:ind w:firstLineChars="200" w:firstLine="640"/>
        <w:rPr>
          <w:rFonts w:ascii="仿宋_GB2312" w:eastAsia="仿宋_GB2312" w:hAnsi="仿宋_GB2312" w:cs="仿宋_GB2312"/>
          <w:sz w:val="32"/>
          <w:szCs w:val="32"/>
        </w:rPr>
      </w:pPr>
    </w:p>
    <w:p w:rsidR="00CC0EE2" w:rsidRDefault="00C5639B">
      <w:pPr>
        <w:pStyle w:val="af4"/>
        <w:spacing w:line="600" w:lineRule="exact"/>
        <w:ind w:firstLine="640"/>
        <w:rPr>
          <w:rFonts w:eastAsia="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60288" behindDoc="1" locked="0" layoutInCell="1" allowOverlap="1">
            <wp:simplePos x="0" y="0"/>
            <wp:positionH relativeFrom="column">
              <wp:posOffset>628650</wp:posOffset>
            </wp:positionH>
            <wp:positionV relativeFrom="paragraph">
              <wp:posOffset>201295</wp:posOffset>
            </wp:positionV>
            <wp:extent cx="3943350" cy="2030095"/>
            <wp:effectExtent l="4445" t="4445" r="14605" b="22860"/>
            <wp:wrapTight wrapText="bothSides">
              <wp:wrapPolygon edited="0">
                <wp:start x="-24" y="-47"/>
                <wp:lineTo x="-24" y="21438"/>
                <wp:lineTo x="21576" y="21438"/>
                <wp:lineTo x="21576" y="-47"/>
                <wp:lineTo x="-24" y="-47"/>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CC0EE2" w:rsidRDefault="00CC0EE2">
      <w:pPr>
        <w:pStyle w:val="af4"/>
        <w:spacing w:line="600" w:lineRule="exact"/>
        <w:ind w:firstLine="640"/>
        <w:rPr>
          <w:rFonts w:eastAsia="仿宋_GB2312" w:cs="仿宋_GB2312"/>
          <w:sz w:val="32"/>
          <w:szCs w:val="32"/>
        </w:rPr>
      </w:pPr>
    </w:p>
    <w:p w:rsidR="00CC0EE2" w:rsidRDefault="00CC0EE2">
      <w:pPr>
        <w:pStyle w:val="af4"/>
        <w:spacing w:line="600" w:lineRule="exact"/>
        <w:ind w:firstLine="640"/>
        <w:rPr>
          <w:rFonts w:eastAsia="仿宋_GB2312" w:cs="仿宋_GB2312"/>
          <w:sz w:val="32"/>
          <w:szCs w:val="32"/>
        </w:rPr>
      </w:pPr>
    </w:p>
    <w:p w:rsidR="00CC0EE2" w:rsidRDefault="00CC0EE2">
      <w:pPr>
        <w:pStyle w:val="af4"/>
        <w:spacing w:line="600" w:lineRule="exact"/>
        <w:ind w:firstLine="640"/>
        <w:rPr>
          <w:rFonts w:eastAsia="仿宋_GB2312" w:cs="仿宋_GB2312"/>
          <w:sz w:val="32"/>
          <w:szCs w:val="32"/>
        </w:rPr>
      </w:pPr>
    </w:p>
    <w:p w:rsidR="00CC0EE2" w:rsidRDefault="00CC0EE2">
      <w:pPr>
        <w:pStyle w:val="af4"/>
        <w:spacing w:line="600" w:lineRule="exact"/>
        <w:ind w:firstLine="640"/>
        <w:rPr>
          <w:rFonts w:eastAsia="仿宋_GB2312" w:cs="仿宋_GB2312"/>
          <w:sz w:val="32"/>
          <w:szCs w:val="32"/>
        </w:rPr>
      </w:pPr>
    </w:p>
    <w:p w:rsidR="00CC0EE2" w:rsidRDefault="00CC0EE2">
      <w:pPr>
        <w:pStyle w:val="af4"/>
        <w:spacing w:line="600" w:lineRule="exact"/>
        <w:ind w:firstLine="640"/>
        <w:rPr>
          <w:rFonts w:eastAsia="仿宋_GB2312" w:cs="仿宋_GB2312"/>
          <w:sz w:val="32"/>
          <w:szCs w:val="32"/>
        </w:rPr>
      </w:pPr>
    </w:p>
    <w:p w:rsidR="00CC0EE2" w:rsidRDefault="00CC0EE2">
      <w:pPr>
        <w:ind w:firstLineChars="250" w:firstLine="800"/>
        <w:rPr>
          <w:rFonts w:eastAsia="仿宋_GB2312" w:cs="仿宋_GB2312"/>
          <w:sz w:val="32"/>
          <w:szCs w:val="32"/>
        </w:rPr>
      </w:pPr>
    </w:p>
    <w:p w:rsidR="00CC0EE2" w:rsidRDefault="00C5639B">
      <w:pPr>
        <w:pStyle w:val="2"/>
        <w:numPr>
          <w:ilvl w:val="0"/>
          <w:numId w:val="3"/>
        </w:numPr>
        <w:ind w:firstLineChars="200" w:firstLine="640"/>
        <w:rPr>
          <w:rFonts w:ascii="黑体" w:eastAsia="黑体" w:hAnsi="黑体" w:cs="黑体"/>
          <w:b w:val="0"/>
          <w:bCs w:val="0"/>
        </w:rPr>
      </w:pPr>
      <w:bookmarkStart w:id="29" w:name="_Toc15396605"/>
      <w:bookmarkStart w:id="30" w:name="_Toc5801"/>
      <w:bookmarkStart w:id="31" w:name="_Toc15377207"/>
      <w:r>
        <w:rPr>
          <w:rFonts w:ascii="黑体" w:eastAsia="黑体" w:hAnsi="黑体" w:cs="黑体" w:hint="eastAsia"/>
          <w:b w:val="0"/>
          <w:bCs w:val="0"/>
        </w:rPr>
        <w:t>支出决算情况说明</w:t>
      </w:r>
      <w:bookmarkEnd w:id="29"/>
      <w:bookmarkEnd w:id="30"/>
      <w:bookmarkEnd w:id="31"/>
    </w:p>
    <w:p w:rsidR="00CC0EE2" w:rsidRDefault="00C563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年度本年支出合计</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元，其中：基本支出</w:t>
      </w:r>
      <w:r>
        <w:rPr>
          <w:rFonts w:ascii="仿宋_GB2312" w:eastAsia="仿宋_GB2312" w:hAnsi="仿宋_GB2312" w:cs="仿宋_GB2312" w:hint="eastAsia"/>
          <w:sz w:val="32"/>
          <w:szCs w:val="32"/>
        </w:rPr>
        <w:t>654.25</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32.</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1353.92</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67.4%</w:t>
      </w:r>
      <w:r>
        <w:rPr>
          <w:rFonts w:ascii="仿宋_GB2312" w:eastAsia="仿宋_GB2312" w:hAnsi="仿宋_GB2312" w:cs="仿宋_GB2312" w:hint="eastAsia"/>
          <w:sz w:val="32"/>
          <w:szCs w:val="32"/>
        </w:rPr>
        <w:t>。</w:t>
      </w:r>
    </w:p>
    <w:p w:rsidR="00CC0EE2" w:rsidRDefault="00C5639B">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（图</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：支出决算结构图）</w:t>
      </w:r>
    </w:p>
    <w:p w:rsidR="00CC0EE2" w:rsidRDefault="00C5639B">
      <w:pPr>
        <w:pStyle w:val="af4"/>
        <w:spacing w:line="600" w:lineRule="exact"/>
        <w:ind w:firstLine="640"/>
        <w:jc w:val="center"/>
        <w:rPr>
          <w:rFonts w:eastAsia="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61312" behindDoc="1" locked="0" layoutInCell="1" allowOverlap="1">
            <wp:simplePos x="0" y="0"/>
            <wp:positionH relativeFrom="column">
              <wp:posOffset>725170</wp:posOffset>
            </wp:positionH>
            <wp:positionV relativeFrom="paragraph">
              <wp:posOffset>281940</wp:posOffset>
            </wp:positionV>
            <wp:extent cx="4331970" cy="2141220"/>
            <wp:effectExtent l="5080" t="5080" r="6350" b="6350"/>
            <wp:wrapTight wrapText="bothSides">
              <wp:wrapPolygon edited="0">
                <wp:start x="-25" y="-51"/>
                <wp:lineTo x="-25" y="21472"/>
                <wp:lineTo x="21537" y="21472"/>
                <wp:lineTo x="21537" y="-51"/>
                <wp:lineTo x="-25" y="-51"/>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CC0EE2" w:rsidRDefault="00CC0EE2">
      <w:pPr>
        <w:pStyle w:val="af4"/>
        <w:spacing w:line="600" w:lineRule="exact"/>
        <w:ind w:firstLine="640"/>
        <w:jc w:val="center"/>
        <w:rPr>
          <w:rFonts w:eastAsia="仿宋_GB2312" w:cs="仿宋_GB2312"/>
          <w:sz w:val="32"/>
          <w:szCs w:val="32"/>
        </w:rPr>
      </w:pPr>
    </w:p>
    <w:p w:rsidR="00CC0EE2" w:rsidRDefault="00CC0EE2">
      <w:pPr>
        <w:pStyle w:val="af4"/>
        <w:spacing w:line="600" w:lineRule="exact"/>
        <w:ind w:firstLine="640"/>
        <w:jc w:val="center"/>
        <w:rPr>
          <w:rFonts w:eastAsia="仿宋_GB2312" w:cs="仿宋_GB2312"/>
          <w:sz w:val="32"/>
          <w:szCs w:val="32"/>
        </w:rPr>
      </w:pPr>
    </w:p>
    <w:p w:rsidR="00CC0EE2" w:rsidRDefault="00CC0EE2">
      <w:pPr>
        <w:pStyle w:val="af4"/>
        <w:spacing w:line="600" w:lineRule="exact"/>
        <w:ind w:firstLine="640"/>
        <w:jc w:val="center"/>
        <w:rPr>
          <w:rFonts w:eastAsia="仿宋_GB2312" w:cs="仿宋_GB2312"/>
          <w:sz w:val="32"/>
          <w:szCs w:val="32"/>
        </w:rPr>
      </w:pPr>
    </w:p>
    <w:p w:rsidR="00CC0EE2" w:rsidRDefault="00CC0EE2">
      <w:pPr>
        <w:pStyle w:val="af4"/>
        <w:spacing w:line="600" w:lineRule="exact"/>
        <w:ind w:firstLine="640"/>
        <w:jc w:val="center"/>
        <w:rPr>
          <w:rFonts w:eastAsia="仿宋_GB2312" w:cs="仿宋_GB2312"/>
          <w:sz w:val="32"/>
          <w:szCs w:val="32"/>
        </w:rPr>
      </w:pPr>
    </w:p>
    <w:p w:rsidR="00CC0EE2" w:rsidRDefault="00CC0EE2">
      <w:pPr>
        <w:pStyle w:val="af4"/>
        <w:spacing w:line="600" w:lineRule="exact"/>
        <w:ind w:firstLine="640"/>
        <w:jc w:val="center"/>
        <w:rPr>
          <w:rFonts w:eastAsia="仿宋_GB2312" w:cs="仿宋_GB2312"/>
          <w:sz w:val="32"/>
          <w:szCs w:val="32"/>
        </w:rPr>
      </w:pPr>
    </w:p>
    <w:p w:rsidR="00CC0EE2" w:rsidRDefault="00CC0EE2">
      <w:pPr>
        <w:pStyle w:val="af4"/>
        <w:spacing w:line="600" w:lineRule="exact"/>
        <w:ind w:firstLine="640"/>
        <w:jc w:val="center"/>
        <w:rPr>
          <w:rFonts w:eastAsia="仿宋_GB2312" w:cs="仿宋_GB2312"/>
          <w:sz w:val="32"/>
          <w:szCs w:val="32"/>
        </w:rPr>
      </w:pPr>
    </w:p>
    <w:p w:rsidR="00CC0EE2" w:rsidRDefault="00CC0EE2">
      <w:pPr>
        <w:ind w:firstLineChars="250" w:firstLine="800"/>
        <w:rPr>
          <w:rFonts w:eastAsia="仿宋_GB2312" w:cs="仿宋_GB2312"/>
          <w:sz w:val="32"/>
          <w:szCs w:val="32"/>
        </w:rPr>
      </w:pPr>
    </w:p>
    <w:p w:rsidR="00CC0EE2" w:rsidRDefault="00C5639B">
      <w:pPr>
        <w:pStyle w:val="2"/>
        <w:numPr>
          <w:ilvl w:val="0"/>
          <w:numId w:val="3"/>
        </w:numPr>
        <w:ind w:firstLineChars="200" w:firstLine="640"/>
        <w:rPr>
          <w:rFonts w:ascii="黑体" w:eastAsia="黑体" w:hAnsi="黑体" w:cs="黑体"/>
          <w:b w:val="0"/>
          <w:bCs w:val="0"/>
        </w:rPr>
      </w:pPr>
      <w:bookmarkStart w:id="32" w:name="_Toc12968"/>
      <w:bookmarkStart w:id="33" w:name="_Toc15377208"/>
      <w:bookmarkStart w:id="34" w:name="_Toc15396606"/>
      <w:r>
        <w:rPr>
          <w:rFonts w:ascii="黑体" w:eastAsia="黑体" w:hAnsi="黑体" w:cs="黑体" w:hint="eastAsia"/>
          <w:b w:val="0"/>
          <w:bCs w:val="0"/>
        </w:rPr>
        <w:t>财政拨款收入支出决算总体情况说明</w:t>
      </w:r>
      <w:bookmarkEnd w:id="32"/>
      <w:bookmarkEnd w:id="33"/>
      <w:bookmarkEnd w:id="34"/>
    </w:p>
    <w:p w:rsidR="00CC0EE2" w:rsidRDefault="00C5639B">
      <w:pPr>
        <w:pStyle w:val="a5"/>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年度财政拨款收入、支出总计均为</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万元。与上年度相比，财政拨款收入、支出总计各增加</w:t>
      </w:r>
      <w:r>
        <w:rPr>
          <w:rFonts w:ascii="仿宋_GB2312" w:eastAsia="仿宋_GB2312" w:hAnsi="仿宋_GB2312" w:cs="仿宋_GB2312" w:hint="eastAsia"/>
          <w:sz w:val="32"/>
          <w:szCs w:val="32"/>
        </w:rPr>
        <w:t>1359.95</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67.7%</w:t>
      </w:r>
      <w:r>
        <w:rPr>
          <w:rFonts w:ascii="仿宋_GB2312" w:eastAsia="仿宋_GB2312" w:hAnsi="仿宋_GB2312" w:cs="仿宋_GB2312" w:hint="eastAsia"/>
          <w:sz w:val="32"/>
          <w:szCs w:val="32"/>
        </w:rPr>
        <w:t>。主要变动原因是</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年新增支付城市交通发展奖励资金以及增加省级物流枢纽承载城市申报方案编制服务</w:t>
      </w:r>
      <w:r>
        <w:rPr>
          <w:rFonts w:ascii="仿宋_GB2312" w:eastAsia="仿宋_GB2312" w:hAnsi="仿宋_GB2312" w:cs="仿宋_GB2312" w:hint="eastAsia"/>
          <w:sz w:val="32"/>
          <w:szCs w:val="32"/>
        </w:rPr>
        <w:t>。</w:t>
      </w:r>
    </w:p>
    <w:p w:rsidR="00CC0EE2" w:rsidRDefault="00C563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（图</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：财政拨款收、支决算总计变动情况）</w:t>
      </w:r>
    </w:p>
    <w:p w:rsidR="00CC0EE2" w:rsidRDefault="00C5639B">
      <w:pPr>
        <w:pStyle w:val="a0"/>
        <w:spacing w:before="93"/>
        <w:rPr>
          <w:rFonts w:cs="仿宋_GB2312"/>
          <w:sz w:val="32"/>
          <w:szCs w:val="32"/>
        </w:rPr>
      </w:pPr>
      <w:r>
        <w:rPr>
          <w:rFonts w:hAnsi="仿宋_GB2312" w:cs="仿宋_GB2312" w:hint="eastAsia"/>
          <w:noProof/>
          <w:sz w:val="32"/>
          <w:szCs w:val="32"/>
        </w:rPr>
        <w:drawing>
          <wp:anchor distT="0" distB="0" distL="114300" distR="114300" simplePos="0" relativeHeight="251663360" behindDoc="1" locked="0" layoutInCell="1" allowOverlap="1">
            <wp:simplePos x="0" y="0"/>
            <wp:positionH relativeFrom="column">
              <wp:posOffset>374650</wp:posOffset>
            </wp:positionH>
            <wp:positionV relativeFrom="paragraph">
              <wp:posOffset>349250</wp:posOffset>
            </wp:positionV>
            <wp:extent cx="4828540" cy="2645410"/>
            <wp:effectExtent l="4445" t="4445" r="5715" b="55245"/>
            <wp:wrapTight wrapText="bothSides">
              <wp:wrapPolygon edited="0">
                <wp:start x="-20" y="-36"/>
                <wp:lineTo x="-20" y="21429"/>
                <wp:lineTo x="21540" y="21429"/>
                <wp:lineTo x="21540" y="-36"/>
                <wp:lineTo x="-20" y="-36"/>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spacing w:line="600" w:lineRule="exact"/>
        <w:ind w:firstLine="640"/>
        <w:rPr>
          <w:rFonts w:eastAsia="仿宋_GB2312" w:cs="仿宋_GB2312"/>
          <w:sz w:val="32"/>
          <w:szCs w:val="32"/>
        </w:rPr>
      </w:pPr>
    </w:p>
    <w:p w:rsidR="00CC0EE2" w:rsidRDefault="00C5639B">
      <w:pPr>
        <w:pStyle w:val="2"/>
        <w:numPr>
          <w:ilvl w:val="0"/>
          <w:numId w:val="3"/>
        </w:numPr>
        <w:ind w:firstLineChars="200" w:firstLine="640"/>
        <w:rPr>
          <w:rFonts w:ascii="黑体" w:eastAsia="黑体" w:hAnsi="黑体" w:cs="黑体"/>
          <w:b w:val="0"/>
          <w:bCs w:val="0"/>
        </w:rPr>
      </w:pPr>
      <w:bookmarkStart w:id="35" w:name="_Toc15396607"/>
      <w:bookmarkStart w:id="36" w:name="_Toc12297"/>
      <w:bookmarkStart w:id="37" w:name="_Toc15377209"/>
      <w:r>
        <w:rPr>
          <w:rFonts w:ascii="黑体" w:eastAsia="黑体" w:hAnsi="黑体" w:cs="黑体" w:hint="eastAsia"/>
          <w:b w:val="0"/>
          <w:bCs w:val="0"/>
        </w:rPr>
        <w:t>一般公共预算财政拨款支出决算情况说明</w:t>
      </w:r>
      <w:bookmarkEnd w:id="35"/>
      <w:bookmarkEnd w:id="36"/>
      <w:bookmarkEnd w:id="37"/>
    </w:p>
    <w:p w:rsidR="00CC0EE2" w:rsidRDefault="00C5639B">
      <w:pPr>
        <w:ind w:firstLineChars="200" w:firstLine="643"/>
        <w:rPr>
          <w:rFonts w:ascii="仿宋_GB2312" w:eastAsia="仿宋_GB2312" w:hAnsi="仿宋_GB2312" w:cs="仿宋_GB2312"/>
          <w:b/>
          <w:bCs/>
          <w:sz w:val="32"/>
          <w:szCs w:val="32"/>
        </w:rPr>
      </w:pPr>
      <w:bookmarkStart w:id="38" w:name="_Toc15377210"/>
      <w:r>
        <w:rPr>
          <w:rFonts w:ascii="仿宋_GB2312" w:eastAsia="仿宋_GB2312" w:hAnsi="仿宋_GB2312" w:cs="仿宋_GB2312" w:hint="eastAsia"/>
          <w:b/>
          <w:bCs/>
          <w:sz w:val="32"/>
          <w:szCs w:val="32"/>
        </w:rPr>
        <w:t>（一）一般公共预算财政拨款支出决算总体情况</w:t>
      </w:r>
      <w:bookmarkEnd w:id="38"/>
    </w:p>
    <w:p w:rsidR="00CC0EE2" w:rsidRDefault="00C5639B">
      <w:pPr>
        <w:pStyle w:val="a5"/>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万元，占本</w:t>
      </w:r>
      <w:r>
        <w:rPr>
          <w:rFonts w:ascii="仿宋_GB2312" w:eastAsia="仿宋_GB2312" w:hAnsi="仿宋_GB2312" w:cs="仿宋_GB2312" w:hint="eastAsia"/>
          <w:sz w:val="32"/>
          <w:szCs w:val="32"/>
        </w:rPr>
        <w:lastRenderedPageBreak/>
        <w:t>年支出合计的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。与上年度相比，一般公共预算财政拨款支出增加</w:t>
      </w:r>
      <w:r>
        <w:rPr>
          <w:rFonts w:ascii="仿宋_GB2312" w:eastAsia="仿宋_GB2312" w:hAnsi="仿宋_GB2312" w:cs="仿宋_GB2312" w:hint="eastAsia"/>
          <w:sz w:val="32"/>
          <w:szCs w:val="32"/>
        </w:rPr>
        <w:t>1359.95</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67.7%</w:t>
      </w:r>
      <w:r>
        <w:rPr>
          <w:rFonts w:ascii="仿宋_GB2312" w:eastAsia="仿宋_GB2312" w:hAnsi="仿宋_GB2312" w:cs="仿宋_GB2312" w:hint="eastAsia"/>
          <w:sz w:val="32"/>
          <w:szCs w:val="32"/>
        </w:rPr>
        <w:t>。主要变动原因是</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年新增支付城市交通发展奖励资金以及增加省级物流枢纽承载城市申报方案编制服务。</w:t>
      </w:r>
    </w:p>
    <w:p w:rsidR="00CC0EE2" w:rsidRDefault="00C5639B">
      <w:pPr>
        <w:ind w:firstLineChars="200" w:firstLine="640"/>
        <w:rPr>
          <w:rFonts w:eastAsia="仿宋_GB2312" w:cs="仿宋_GB2312"/>
          <w:sz w:val="32"/>
          <w:szCs w:val="32"/>
        </w:rPr>
      </w:pPr>
      <w:r>
        <w:rPr>
          <w:rFonts w:ascii="仿宋_GB2312" w:eastAsia="仿宋_GB2312" w:hAnsi="仿宋_GB2312" w:cs="仿宋_GB2312" w:hint="eastAsia"/>
          <w:sz w:val="32"/>
          <w:szCs w:val="32"/>
        </w:rPr>
        <w:t>（图</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：一般公共预算财政拨款支出决算变动情况）</w:t>
      </w:r>
    </w:p>
    <w:p w:rsidR="00CC0EE2" w:rsidRDefault="00C5639B">
      <w:pPr>
        <w:pStyle w:val="a0"/>
        <w:spacing w:before="93"/>
        <w:rPr>
          <w:rFonts w:cs="仿宋_GB2312"/>
          <w:sz w:val="32"/>
          <w:szCs w:val="32"/>
        </w:rPr>
      </w:pPr>
      <w:r>
        <w:rPr>
          <w:rFonts w:hAnsi="仿宋_GB2312" w:cs="仿宋_GB2312" w:hint="eastAsia"/>
          <w:noProof/>
          <w:sz w:val="32"/>
          <w:szCs w:val="32"/>
        </w:rPr>
        <w:drawing>
          <wp:anchor distT="0" distB="0" distL="114300" distR="114300" simplePos="0" relativeHeight="251664384" behindDoc="1" locked="0" layoutInCell="1" allowOverlap="1">
            <wp:simplePos x="0" y="0"/>
            <wp:positionH relativeFrom="column">
              <wp:posOffset>290195</wp:posOffset>
            </wp:positionH>
            <wp:positionV relativeFrom="paragraph">
              <wp:posOffset>94615</wp:posOffset>
            </wp:positionV>
            <wp:extent cx="4834890" cy="2893060"/>
            <wp:effectExtent l="4445" t="4445" r="18415" b="17145"/>
            <wp:wrapTight wrapText="bothSides">
              <wp:wrapPolygon edited="0">
                <wp:start x="-20" y="-33"/>
                <wp:lineTo x="-20" y="21444"/>
                <wp:lineTo x="21512" y="21444"/>
                <wp:lineTo x="21512" y="-33"/>
                <wp:lineTo x="-20" y="-33"/>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5639B">
      <w:pPr>
        <w:ind w:firstLineChars="200" w:firstLine="643"/>
        <w:rPr>
          <w:rFonts w:ascii="仿宋_GB2312" w:eastAsia="仿宋_GB2312" w:hAnsi="仿宋_GB2312" w:cs="仿宋_GB2312"/>
          <w:b/>
          <w:bCs/>
          <w:sz w:val="32"/>
          <w:szCs w:val="32"/>
        </w:rPr>
      </w:pPr>
      <w:bookmarkStart w:id="39" w:name="_Toc15377211"/>
      <w:r>
        <w:rPr>
          <w:rFonts w:ascii="仿宋_GB2312" w:eastAsia="仿宋_GB2312" w:hAnsi="仿宋_GB2312" w:cs="仿宋_GB2312" w:hint="eastAsia"/>
          <w:b/>
          <w:bCs/>
          <w:sz w:val="32"/>
          <w:szCs w:val="32"/>
        </w:rPr>
        <w:t>（二）一般公共预算财政拨款支出决算结构情况</w:t>
      </w:r>
      <w:bookmarkEnd w:id="39"/>
    </w:p>
    <w:p w:rsidR="00CC0EE2" w:rsidRDefault="00C5639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2008.17</w:t>
      </w:r>
      <w:r>
        <w:rPr>
          <w:rFonts w:ascii="仿宋_GB2312" w:eastAsia="仿宋_GB2312" w:hAnsi="仿宋_GB2312" w:cs="仿宋_GB2312" w:hint="eastAsia"/>
          <w:sz w:val="32"/>
          <w:szCs w:val="32"/>
        </w:rPr>
        <w:t>万元，主要用于以下方面：社会保障和就业支出</w:t>
      </w:r>
      <w:r>
        <w:rPr>
          <w:rFonts w:ascii="仿宋_GB2312" w:eastAsia="仿宋_GB2312" w:hAnsi="仿宋_GB2312" w:cs="仿宋_GB2312" w:hint="eastAsia"/>
          <w:sz w:val="32"/>
          <w:szCs w:val="32"/>
        </w:rPr>
        <w:t>171.39</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8.5%</w:t>
      </w:r>
      <w:r>
        <w:rPr>
          <w:rFonts w:ascii="仿宋_GB2312" w:eastAsia="仿宋_GB2312" w:hAnsi="仿宋_GB2312" w:cs="仿宋_GB2312" w:hint="eastAsia"/>
          <w:sz w:val="32"/>
          <w:szCs w:val="32"/>
        </w:rPr>
        <w:t>；卫生健康支出</w:t>
      </w:r>
      <w:r>
        <w:rPr>
          <w:rFonts w:ascii="仿宋_GB2312" w:eastAsia="仿宋_GB2312" w:hAnsi="仿宋_GB2312" w:cs="仿宋_GB2312" w:hint="eastAsia"/>
          <w:sz w:val="32"/>
          <w:szCs w:val="32"/>
        </w:rPr>
        <w:t>27.28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t>；交通运输支出</w:t>
      </w:r>
      <w:r>
        <w:rPr>
          <w:rFonts w:ascii="仿宋_GB2312" w:eastAsia="仿宋_GB2312" w:hAnsi="仿宋_GB2312" w:cs="仿宋_GB2312" w:hint="eastAsia"/>
          <w:sz w:val="32"/>
          <w:szCs w:val="32"/>
        </w:rPr>
        <w:t>1771.81</w:t>
      </w:r>
      <w:r>
        <w:rPr>
          <w:rFonts w:ascii="仿宋_GB2312" w:eastAsia="仿宋_GB2312" w:hAnsi="仿宋_GB2312" w:cs="仿宋_GB2312" w:hint="eastAsia"/>
          <w:sz w:val="32"/>
          <w:szCs w:val="32"/>
        </w:rPr>
        <w:t>，占</w:t>
      </w:r>
      <w:r>
        <w:rPr>
          <w:rFonts w:ascii="仿宋_GB2312" w:eastAsia="仿宋_GB2312" w:hAnsi="仿宋_GB2312" w:cs="仿宋_GB2312" w:hint="eastAsia"/>
          <w:sz w:val="32"/>
          <w:szCs w:val="32"/>
        </w:rPr>
        <w:t>88.2%</w:t>
      </w:r>
      <w:r>
        <w:rPr>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2"/>
        </w:rPr>
        <w:t>37.69</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p>
    <w:p w:rsidR="00CC0EE2" w:rsidRDefault="00C5639B">
      <w:pPr>
        <w:spacing w:line="600" w:lineRule="exact"/>
        <w:ind w:firstLine="640"/>
        <w:rPr>
          <w:rFonts w:eastAsia="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65408" behindDoc="1" locked="0" layoutInCell="1" allowOverlap="1">
            <wp:simplePos x="0" y="0"/>
            <wp:positionH relativeFrom="column">
              <wp:posOffset>300990</wp:posOffset>
            </wp:positionH>
            <wp:positionV relativeFrom="paragraph">
              <wp:posOffset>687705</wp:posOffset>
            </wp:positionV>
            <wp:extent cx="4618355" cy="2562225"/>
            <wp:effectExtent l="4445" t="5080" r="6350" b="4445"/>
            <wp:wrapTight wrapText="bothSides">
              <wp:wrapPolygon edited="0">
                <wp:start x="-21" y="-43"/>
                <wp:lineTo x="-21" y="21477"/>
                <wp:lineTo x="21541" y="21477"/>
                <wp:lineTo x="21541" y="-43"/>
                <wp:lineTo x="-21" y="-43"/>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rsidR="00CC0EE2" w:rsidRDefault="00CC0EE2">
      <w:pPr>
        <w:spacing w:line="600" w:lineRule="exact"/>
        <w:ind w:firstLine="640"/>
        <w:rPr>
          <w:rFonts w:eastAsia="仿宋_GB2312"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5639B">
      <w:pPr>
        <w:spacing w:line="600" w:lineRule="exact"/>
        <w:ind w:firstLineChars="200" w:firstLine="643"/>
        <w:outlineLvl w:val="2"/>
        <w:rPr>
          <w:rFonts w:eastAsia="楷体_GB2312" w:cs="楷体_GB2312"/>
          <w:b/>
          <w:sz w:val="32"/>
          <w:szCs w:val="32"/>
        </w:rPr>
      </w:pPr>
      <w:bookmarkStart w:id="40" w:name="_Toc15377212"/>
      <w:r>
        <w:rPr>
          <w:rFonts w:eastAsia="楷体_GB2312" w:cs="楷体_GB2312" w:hint="eastAsia"/>
          <w:b/>
          <w:sz w:val="32"/>
          <w:szCs w:val="32"/>
        </w:rPr>
        <w:t>（三）一般公共预算财政拨款支出决算具体情况</w:t>
      </w:r>
      <w:bookmarkEnd w:id="40"/>
    </w:p>
    <w:p w:rsidR="00CC0EE2" w:rsidRDefault="00C5639B">
      <w:pPr>
        <w:spacing w:line="600" w:lineRule="exact"/>
        <w:ind w:firstLine="640"/>
        <w:rPr>
          <w:rFonts w:eastAsia="仿宋_GB2312" w:cs="仿宋_GB2312"/>
          <w:sz w:val="32"/>
          <w:szCs w:val="32"/>
        </w:rPr>
      </w:pPr>
      <w:bookmarkStart w:id="41" w:name="_Toc15377444"/>
      <w:bookmarkStart w:id="42" w:name="_Toc15378460"/>
      <w:bookmarkStart w:id="43" w:name="_Toc15377213"/>
      <w:r>
        <w:rPr>
          <w:rFonts w:eastAsia="仿宋_GB2312" w:cs="仿宋_GB2312" w:hint="eastAsia"/>
          <w:sz w:val="32"/>
          <w:szCs w:val="32"/>
        </w:rPr>
        <w:t>2025</w:t>
      </w:r>
      <w:r>
        <w:rPr>
          <w:rFonts w:eastAsia="仿宋_GB2312" w:cs="仿宋_GB2312" w:hint="eastAsia"/>
          <w:sz w:val="32"/>
          <w:szCs w:val="32"/>
        </w:rPr>
        <w:t>年度一般公共预算支出决算数为</w:t>
      </w:r>
      <w:r>
        <w:rPr>
          <w:rFonts w:eastAsia="仿宋_GB2312" w:cs="仿宋_GB2312" w:hint="eastAsia"/>
          <w:sz w:val="32"/>
          <w:szCs w:val="32"/>
        </w:rPr>
        <w:t>2008.17</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bookmarkEnd w:id="41"/>
      <w:bookmarkEnd w:id="42"/>
      <w:bookmarkEnd w:id="43"/>
    </w:p>
    <w:p w:rsidR="00CC0EE2" w:rsidRDefault="00C5639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1.</w:t>
      </w:r>
      <w:r>
        <w:rPr>
          <w:rFonts w:ascii="仿宋_GB2312" w:eastAsia="仿宋_GB2312" w:hAnsi="仿宋_GB2312" w:cs="仿宋_GB2312" w:hint="eastAsia"/>
          <w:b/>
          <w:bCs/>
          <w:sz w:val="32"/>
          <w:szCs w:val="32"/>
        </w:rPr>
        <w:t>社会保障和就业支出（类）行政事业单位养老支出（款）行政单位离退休（项）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94.79</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2.</w:t>
      </w:r>
      <w:r>
        <w:rPr>
          <w:rFonts w:ascii="仿宋_GB2312" w:eastAsia="仿宋_GB2312" w:hAnsi="仿宋_GB2312" w:cs="仿宋_GB2312" w:hint="eastAsia"/>
          <w:b/>
          <w:bCs/>
          <w:sz w:val="32"/>
          <w:szCs w:val="32"/>
        </w:rPr>
        <w:t>社会保障和就业支出（类）行政事业单位养老支出（款）机关事业单位基本养老保险缴费支出（项）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46</w:t>
      </w:r>
      <w:r>
        <w:rPr>
          <w:rFonts w:ascii="仿宋_GB2312" w:eastAsia="仿宋_GB2312" w:hAnsi="仿宋_GB2312" w:cs="仿宋_GB2312" w:hint="eastAsia"/>
          <w:sz w:val="32"/>
          <w:szCs w:val="32"/>
        </w:rPr>
        <w:t>.75</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pPr>
        <w:pStyle w:val="a0"/>
        <w:spacing w:before="93"/>
        <w:ind w:firstLineChars="200" w:firstLine="643"/>
      </w:pPr>
      <w:r>
        <w:rPr>
          <w:rFonts w:hAnsi="仿宋_GB2312" w:cs="仿宋_GB2312" w:hint="eastAsia"/>
          <w:b/>
          <w:bCs/>
          <w:sz w:val="32"/>
          <w:szCs w:val="32"/>
        </w:rPr>
        <w:t>3.</w:t>
      </w:r>
      <w:r>
        <w:rPr>
          <w:rFonts w:hAnsi="仿宋_GB2312" w:cs="仿宋_GB2312" w:hint="eastAsia"/>
          <w:b/>
          <w:bCs/>
          <w:sz w:val="32"/>
          <w:szCs w:val="32"/>
        </w:rPr>
        <w:t>社会保障和就业支出（类）行政事业单位养老支出（款）机关事业单位职业年金缴费支出（项）</w:t>
      </w:r>
      <w:r>
        <w:rPr>
          <w:rFonts w:hAnsi="仿宋_GB2312" w:cs="仿宋_GB2312" w:hint="eastAsia"/>
          <w:sz w:val="32"/>
          <w:szCs w:val="32"/>
        </w:rPr>
        <w:t>:</w:t>
      </w:r>
      <w:r>
        <w:rPr>
          <w:rFonts w:hAnsi="仿宋_GB2312" w:cs="仿宋_GB2312" w:hint="eastAsia"/>
          <w:sz w:val="32"/>
          <w:szCs w:val="32"/>
        </w:rPr>
        <w:t>支出决算为</w:t>
      </w:r>
      <w:r>
        <w:rPr>
          <w:rFonts w:hAnsi="仿宋_GB2312" w:cs="仿宋_GB2312" w:hint="eastAsia"/>
          <w:sz w:val="32"/>
          <w:szCs w:val="32"/>
        </w:rPr>
        <w:t>29.84</w:t>
      </w:r>
      <w:r>
        <w:rPr>
          <w:rFonts w:hAnsi="仿宋_GB2312" w:cs="仿宋_GB2312" w:hint="eastAsia"/>
          <w:sz w:val="32"/>
          <w:szCs w:val="32"/>
        </w:rPr>
        <w:t>万元，完成预算</w:t>
      </w:r>
      <w:r>
        <w:rPr>
          <w:rFonts w:hAnsi="仿宋_GB2312" w:cs="仿宋_GB2312" w:hint="eastAsia"/>
          <w:sz w:val="32"/>
          <w:szCs w:val="32"/>
        </w:rPr>
        <w:t>100%</w:t>
      </w:r>
      <w:r>
        <w:rPr>
          <w:rFonts w:hAnsi="仿宋_GB2312" w:cs="仿宋_GB2312" w:hint="eastAsia"/>
          <w:sz w:val="32"/>
          <w:szCs w:val="32"/>
        </w:rPr>
        <w:t>。</w:t>
      </w:r>
    </w:p>
    <w:p w:rsidR="00CC0EE2" w:rsidRDefault="00C5639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w:t>
      </w:r>
      <w:r>
        <w:rPr>
          <w:rFonts w:ascii="仿宋_GB2312" w:eastAsia="仿宋_GB2312" w:hAnsi="仿宋_GB2312" w:cs="仿宋_GB2312" w:hint="eastAsia"/>
          <w:b/>
          <w:bCs/>
          <w:sz w:val="32"/>
          <w:szCs w:val="32"/>
        </w:rPr>
        <w:t>卫生健康支出（类）行政事业单位医疗（款）行政单位医疗（项）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27.27</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pPr>
        <w:ind w:firstLineChars="200" w:firstLine="643"/>
      </w:pPr>
      <w:r>
        <w:rPr>
          <w:rFonts w:ascii="仿宋_GB2312" w:eastAsia="仿宋_GB2312" w:hAnsi="仿宋_GB2312" w:cs="仿宋_GB2312" w:hint="eastAsia"/>
          <w:b/>
          <w:bCs/>
          <w:sz w:val="32"/>
          <w:szCs w:val="32"/>
        </w:rPr>
        <w:t>5.</w:t>
      </w:r>
      <w:r>
        <w:rPr>
          <w:rFonts w:ascii="仿宋_GB2312" w:eastAsia="仿宋_GB2312" w:hAnsi="仿宋_GB2312" w:cs="仿宋_GB2312" w:hint="eastAsia"/>
          <w:b/>
          <w:bCs/>
          <w:sz w:val="32"/>
          <w:szCs w:val="32"/>
        </w:rPr>
        <w:t>卫生健康支出（类）行政事业单位医疗（款）公务员医疗补助（项）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3.01</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6.</w:t>
      </w:r>
      <w:r>
        <w:rPr>
          <w:rFonts w:ascii="仿宋_GB2312" w:eastAsia="仿宋_GB2312" w:hAnsi="仿宋_GB2312" w:cs="仿宋_GB2312" w:hint="eastAsia"/>
          <w:b/>
          <w:bCs/>
          <w:sz w:val="32"/>
          <w:szCs w:val="32"/>
        </w:rPr>
        <w:t>交通运输支出（类）公路水路运输（款）行政运行（项）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417.89</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7.</w:t>
      </w:r>
      <w:r>
        <w:rPr>
          <w:rFonts w:ascii="仿宋_GB2312" w:eastAsia="仿宋_GB2312" w:hAnsi="仿宋_GB2312" w:cs="仿宋_GB2312" w:hint="eastAsia"/>
          <w:b/>
          <w:bCs/>
          <w:sz w:val="32"/>
          <w:szCs w:val="32"/>
        </w:rPr>
        <w:t>交通运输支出（类）公路水路运输（款）一般行政管理事务（项）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rsidP="006A5DCA">
      <w:pPr>
        <w:pStyle w:val="a0"/>
        <w:spacing w:before="93"/>
        <w:ind w:firstLineChars="200" w:firstLine="643"/>
      </w:pPr>
      <w:r>
        <w:rPr>
          <w:rFonts w:hAnsi="仿宋_GB2312" w:cs="仿宋_GB2312" w:hint="eastAsia"/>
          <w:b/>
          <w:bCs/>
          <w:sz w:val="32"/>
          <w:szCs w:val="32"/>
        </w:rPr>
        <w:t>8.</w:t>
      </w:r>
      <w:r>
        <w:rPr>
          <w:rFonts w:hAnsi="仿宋_GB2312" w:cs="仿宋_GB2312" w:hint="eastAsia"/>
          <w:b/>
          <w:bCs/>
          <w:sz w:val="32"/>
          <w:szCs w:val="32"/>
        </w:rPr>
        <w:t>交通运输支出（类）公路水路运输（款）公路运输管理（项）</w:t>
      </w:r>
      <w:r>
        <w:rPr>
          <w:rFonts w:hAnsi="仿宋_GB2312" w:cs="仿宋_GB2312" w:hint="eastAsia"/>
          <w:sz w:val="32"/>
          <w:szCs w:val="32"/>
        </w:rPr>
        <w:t>:</w:t>
      </w:r>
      <w:r>
        <w:rPr>
          <w:rFonts w:hAnsi="仿宋_GB2312" w:cs="仿宋_GB2312" w:hint="eastAsia"/>
          <w:sz w:val="32"/>
          <w:szCs w:val="32"/>
        </w:rPr>
        <w:t>支出决算为</w:t>
      </w:r>
      <w:r>
        <w:rPr>
          <w:rFonts w:hAnsi="仿宋_GB2312" w:cs="仿宋_GB2312" w:hint="eastAsia"/>
          <w:sz w:val="32"/>
          <w:szCs w:val="32"/>
        </w:rPr>
        <w:t>154.2</w:t>
      </w:r>
      <w:r>
        <w:rPr>
          <w:rFonts w:hAnsi="仿宋_GB2312" w:cs="仿宋_GB2312" w:hint="eastAsia"/>
          <w:sz w:val="32"/>
          <w:szCs w:val="32"/>
        </w:rPr>
        <w:t>万元，完成预算</w:t>
      </w:r>
      <w:r>
        <w:rPr>
          <w:rFonts w:hAnsi="仿宋_GB2312" w:cs="仿宋_GB2312" w:hint="eastAsia"/>
          <w:sz w:val="32"/>
          <w:szCs w:val="32"/>
        </w:rPr>
        <w:t>100%</w:t>
      </w:r>
      <w:r>
        <w:rPr>
          <w:rFonts w:hAnsi="仿宋_GB2312" w:cs="仿宋_GB2312" w:hint="eastAsia"/>
          <w:sz w:val="32"/>
          <w:szCs w:val="32"/>
        </w:rPr>
        <w:t>。</w:t>
      </w:r>
    </w:p>
    <w:p w:rsidR="00CC0EE2" w:rsidRDefault="00C5639B">
      <w:pPr>
        <w:ind w:firstLineChars="200" w:firstLine="643"/>
      </w:pPr>
      <w:r>
        <w:rPr>
          <w:rFonts w:ascii="仿宋_GB2312" w:eastAsia="仿宋_GB2312" w:hAnsi="仿宋_GB2312" w:cs="仿宋_GB2312" w:hint="eastAsia"/>
          <w:b/>
          <w:bCs/>
          <w:sz w:val="32"/>
          <w:szCs w:val="32"/>
        </w:rPr>
        <w:t>9.</w:t>
      </w:r>
      <w:r>
        <w:rPr>
          <w:rFonts w:ascii="仿宋_GB2312" w:eastAsia="仿宋_GB2312" w:hAnsi="仿宋_GB2312" w:cs="仿宋_GB2312" w:hint="eastAsia"/>
          <w:b/>
          <w:bCs/>
          <w:sz w:val="32"/>
          <w:szCs w:val="32"/>
        </w:rPr>
        <w:t>交通运输支出（类）公路水路运输（款）其他公路水路运输支出（项）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1197.72</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5639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10.</w:t>
      </w:r>
      <w:r>
        <w:rPr>
          <w:rFonts w:ascii="仿宋_GB2312" w:eastAsia="仿宋_GB2312" w:hAnsi="仿宋_GB2312" w:cs="仿宋_GB2312" w:hint="eastAsia"/>
          <w:b/>
          <w:bCs/>
          <w:sz w:val="32"/>
          <w:szCs w:val="32"/>
        </w:rPr>
        <w:t>住房保障支出（类）住房改革支出（款）住房公积金（项）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支出决算为</w:t>
      </w:r>
      <w:r>
        <w:rPr>
          <w:rFonts w:ascii="仿宋_GB2312" w:eastAsia="仿宋_GB2312" w:hAnsi="仿宋_GB2312" w:cs="仿宋_GB2312" w:hint="eastAsia"/>
          <w:sz w:val="32"/>
          <w:szCs w:val="32"/>
        </w:rPr>
        <w:t>37.69</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CC0EE2" w:rsidRDefault="00CC0EE2">
      <w:pPr>
        <w:pStyle w:val="a0"/>
        <w:spacing w:before="93"/>
      </w:pPr>
    </w:p>
    <w:p w:rsidR="00CC0EE2" w:rsidRDefault="00C5639B">
      <w:pPr>
        <w:pStyle w:val="2"/>
        <w:numPr>
          <w:ilvl w:val="0"/>
          <w:numId w:val="3"/>
        </w:numPr>
        <w:ind w:firstLineChars="200" w:firstLine="640"/>
        <w:rPr>
          <w:rFonts w:ascii="黑体" w:eastAsia="黑体" w:hAnsi="黑体" w:cs="黑体"/>
          <w:b w:val="0"/>
          <w:bCs w:val="0"/>
        </w:rPr>
      </w:pPr>
      <w:bookmarkStart w:id="44" w:name="_Toc15396608"/>
      <w:bookmarkStart w:id="45" w:name="_Toc31356"/>
      <w:bookmarkStart w:id="46" w:name="_Toc15377214"/>
      <w:r>
        <w:rPr>
          <w:rFonts w:ascii="黑体" w:eastAsia="黑体" w:hAnsi="黑体" w:cs="黑体" w:hint="eastAsia"/>
          <w:b w:val="0"/>
          <w:bCs w:val="0"/>
        </w:rPr>
        <w:t>一般公共预算财政拨款基本支出决算情况说明</w:t>
      </w:r>
      <w:bookmarkEnd w:id="44"/>
      <w:bookmarkEnd w:id="45"/>
      <w:bookmarkEnd w:id="46"/>
      <w:r>
        <w:rPr>
          <w:rFonts w:ascii="黑体" w:eastAsia="黑体" w:hAnsi="黑体" w:cs="黑体" w:hint="eastAsia"/>
          <w:b w:val="0"/>
          <w:bCs w:val="0"/>
        </w:rPr>
        <w:tab/>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w:t>
      </w:r>
      <w:r>
        <w:rPr>
          <w:rFonts w:eastAsia="仿宋_GB2312" w:cs="仿宋_GB2312" w:hint="eastAsia"/>
          <w:sz w:val="32"/>
          <w:szCs w:val="32"/>
        </w:rPr>
        <w:t>本支出</w:t>
      </w:r>
      <w:r>
        <w:rPr>
          <w:rFonts w:eastAsia="仿宋_GB2312" w:cs="仿宋_GB2312" w:hint="eastAsia"/>
          <w:sz w:val="32"/>
          <w:szCs w:val="32"/>
        </w:rPr>
        <w:t>654.25</w:t>
      </w:r>
      <w:r>
        <w:rPr>
          <w:rFonts w:eastAsia="仿宋_GB2312" w:cs="仿宋_GB2312" w:hint="eastAsia"/>
          <w:sz w:val="32"/>
          <w:szCs w:val="32"/>
        </w:rPr>
        <w:t>万元，其中：</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eastAsia="仿宋_GB2312" w:cs="仿宋_GB2312" w:hint="eastAsia"/>
          <w:sz w:val="32"/>
          <w:szCs w:val="32"/>
        </w:rPr>
        <w:t>592.65</w:t>
      </w:r>
      <w:r>
        <w:rPr>
          <w:rFonts w:eastAsia="仿宋_GB2312" w:cs="仿宋_GB2312" w:hint="eastAsia"/>
          <w:sz w:val="32"/>
          <w:szCs w:val="32"/>
        </w:rPr>
        <w:t>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eastAsia="仿宋_GB2312" w:cs="仿宋_GB2312" w:hint="eastAsia"/>
          <w:sz w:val="32"/>
          <w:szCs w:val="32"/>
        </w:rPr>
        <w:t>61.59</w:t>
      </w:r>
      <w:r>
        <w:rPr>
          <w:rFonts w:eastAsia="仿宋_GB2312" w:cs="仿宋_GB2312" w:hint="eastAsia"/>
          <w:sz w:val="32"/>
          <w:szCs w:val="32"/>
        </w:rPr>
        <w:t>万元，主要包括：办公费、水费、电费、邮电费、物业管理费、差旅费、维修（护）费、公务接待费、劳务费、委托业务费、工会经费、福利费、公务用车运行维护费、其他交通费、其他商品和服务支出、办公设备购置、专用设备购</w:t>
      </w:r>
      <w:r>
        <w:rPr>
          <w:rFonts w:eastAsia="仿宋_GB2312" w:cs="仿宋_GB2312" w:hint="eastAsia"/>
          <w:sz w:val="32"/>
          <w:szCs w:val="32"/>
        </w:rPr>
        <w:t>置。</w:t>
      </w:r>
    </w:p>
    <w:p w:rsidR="00CC0EE2" w:rsidRDefault="00CC0EE2">
      <w:pPr>
        <w:spacing w:line="600" w:lineRule="exact"/>
        <w:ind w:firstLine="640"/>
        <w:rPr>
          <w:rFonts w:eastAsia="仿宋_GB2312" w:cs="仿宋_GB2312"/>
          <w:sz w:val="32"/>
          <w:szCs w:val="32"/>
        </w:rPr>
      </w:pPr>
    </w:p>
    <w:p w:rsidR="00CC0EE2" w:rsidRDefault="00C5639B">
      <w:pPr>
        <w:pStyle w:val="2"/>
        <w:numPr>
          <w:ilvl w:val="0"/>
          <w:numId w:val="3"/>
        </w:numPr>
        <w:ind w:firstLineChars="200" w:firstLine="640"/>
        <w:rPr>
          <w:rFonts w:ascii="黑体" w:eastAsia="黑体" w:hAnsi="黑体" w:cs="黑体"/>
          <w:b w:val="0"/>
          <w:bCs w:val="0"/>
        </w:rPr>
      </w:pPr>
      <w:bookmarkStart w:id="47" w:name="_Toc28495"/>
      <w:bookmarkStart w:id="48" w:name="_Toc15396609"/>
      <w:bookmarkStart w:id="49" w:name="_Toc15377215"/>
      <w:r>
        <w:rPr>
          <w:rFonts w:ascii="黑体" w:eastAsia="黑体" w:hAnsi="黑体" w:cs="黑体" w:hint="eastAsia"/>
          <w:b w:val="0"/>
          <w:bCs w:val="0"/>
        </w:rPr>
        <w:t>财政拨款“三公”经费支出决算情况说明</w:t>
      </w:r>
      <w:bookmarkEnd w:id="47"/>
      <w:bookmarkEnd w:id="48"/>
      <w:bookmarkEnd w:id="49"/>
    </w:p>
    <w:p w:rsidR="00CC0EE2" w:rsidRDefault="00C5639B">
      <w:pPr>
        <w:spacing w:line="600" w:lineRule="exact"/>
        <w:ind w:firstLineChars="200" w:firstLine="643"/>
        <w:outlineLvl w:val="2"/>
        <w:rPr>
          <w:rFonts w:eastAsia="楷体_GB2312" w:cs="楷体_GB2312"/>
          <w:b/>
          <w:sz w:val="32"/>
          <w:szCs w:val="32"/>
        </w:rPr>
      </w:pPr>
      <w:bookmarkStart w:id="50" w:name="_Toc15377216"/>
      <w:r>
        <w:rPr>
          <w:rFonts w:eastAsia="楷体_GB2312" w:cs="楷体_GB2312" w:hint="eastAsia"/>
          <w:b/>
          <w:sz w:val="32"/>
          <w:szCs w:val="32"/>
        </w:rPr>
        <w:t>（一）财政拨款“三公”经费支出决算总体情况说明</w:t>
      </w:r>
      <w:bookmarkEnd w:id="50"/>
    </w:p>
    <w:p w:rsidR="00CC0EE2" w:rsidRDefault="00C5639B">
      <w:pPr>
        <w:spacing w:line="600" w:lineRule="exact"/>
        <w:ind w:firstLine="640"/>
        <w:rPr>
          <w:rFonts w:ascii="仿宋" w:eastAsia="仿宋" w:hAnsi="仿宋"/>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Pr>
          <w:rFonts w:eastAsia="仿宋_GB2312" w:cs="仿宋_GB2312" w:hint="eastAsia"/>
          <w:sz w:val="32"/>
          <w:szCs w:val="32"/>
        </w:rPr>
        <w:t>0.52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，较上年度减少</w:t>
      </w:r>
      <w:r>
        <w:rPr>
          <w:rFonts w:eastAsia="仿宋_GB2312" w:cs="仿宋_GB2312" w:hint="eastAsia"/>
          <w:sz w:val="32"/>
          <w:szCs w:val="32"/>
        </w:rPr>
        <w:t>0.57</w:t>
      </w:r>
      <w:r>
        <w:rPr>
          <w:rFonts w:eastAsia="仿宋_GB2312" w:cs="仿宋_GB2312" w:hint="eastAsia"/>
          <w:sz w:val="32"/>
          <w:szCs w:val="32"/>
        </w:rPr>
        <w:t>万元，下降</w:t>
      </w:r>
      <w:r>
        <w:rPr>
          <w:rFonts w:eastAsia="仿宋_GB2312" w:cs="仿宋_GB2312" w:hint="eastAsia"/>
          <w:sz w:val="32"/>
          <w:szCs w:val="32"/>
        </w:rPr>
        <w:t>52.6</w:t>
      </w:r>
      <w:r>
        <w:rPr>
          <w:rFonts w:eastAsia="仿宋_GB2312" w:cs="仿宋_GB2312" w:hint="eastAsia"/>
          <w:sz w:val="32"/>
          <w:szCs w:val="32"/>
        </w:rPr>
        <w:t>%</w:t>
      </w:r>
      <w:r>
        <w:rPr>
          <w:rFonts w:eastAsia="仿宋_GB2312" w:cs="仿宋_GB2312" w:hint="eastAsia"/>
          <w:sz w:val="32"/>
          <w:szCs w:val="32"/>
        </w:rPr>
        <w:t>。</w:t>
      </w:r>
      <w:r>
        <w:rPr>
          <w:rFonts w:ascii="仿宋" w:eastAsia="仿宋" w:hAnsi="仿宋" w:hint="eastAsia"/>
          <w:sz w:val="32"/>
          <w:szCs w:val="32"/>
        </w:rPr>
        <w:t>决</w:t>
      </w:r>
      <w:r>
        <w:rPr>
          <w:rFonts w:eastAsia="仿宋_GB2312" w:cs="仿宋_GB2312" w:hint="eastAsia"/>
          <w:sz w:val="32"/>
          <w:szCs w:val="32"/>
        </w:rPr>
        <w:t>算数小于预算数的主要原因是单位厉</w:t>
      </w:r>
      <w:r>
        <w:rPr>
          <w:rFonts w:eastAsia="仿宋_GB2312" w:hint="eastAsia"/>
          <w:color w:val="000000"/>
          <w:sz w:val="32"/>
          <w:szCs w:val="32"/>
        </w:rPr>
        <w:t>行节约，减少开支。</w:t>
      </w:r>
    </w:p>
    <w:p w:rsidR="00CC0EE2" w:rsidRDefault="00C5639B">
      <w:pPr>
        <w:spacing w:line="600" w:lineRule="exact"/>
        <w:ind w:firstLineChars="200" w:firstLine="643"/>
        <w:outlineLvl w:val="2"/>
        <w:rPr>
          <w:rFonts w:eastAsia="楷体_GB2312" w:cs="楷体_GB2312"/>
          <w:b/>
          <w:sz w:val="32"/>
          <w:szCs w:val="32"/>
        </w:rPr>
      </w:pPr>
      <w:bookmarkStart w:id="51" w:name="_Toc15377217"/>
      <w:r>
        <w:rPr>
          <w:rFonts w:eastAsia="楷体_GB2312" w:cs="楷体_GB2312" w:hint="eastAsia"/>
          <w:b/>
          <w:sz w:val="32"/>
          <w:szCs w:val="32"/>
        </w:rPr>
        <w:t>（二）财政拨款“三公”经费支出决算具体情况说明</w:t>
      </w:r>
      <w:bookmarkEnd w:id="51"/>
    </w:p>
    <w:p w:rsidR="00CC0EE2" w:rsidRDefault="00C5639B">
      <w:pPr>
        <w:spacing w:line="600" w:lineRule="exact"/>
        <w:ind w:firstLine="640"/>
        <w:rPr>
          <w:rFonts w:eastAsia="仿宋_GB2312" w:cs="仿宋_GB2312"/>
          <w:sz w:val="32"/>
          <w:szCs w:val="32"/>
        </w:rPr>
      </w:pPr>
      <w:r>
        <w:rPr>
          <w:rFonts w:ascii="仿宋_GB2312" w:eastAsia="仿宋_GB2312" w:hAnsi="仿宋_GB2312" w:cs="仿宋_GB2312" w:hint="eastAsia"/>
          <w:noProof/>
          <w:sz w:val="32"/>
          <w:szCs w:val="32"/>
        </w:rPr>
        <w:lastRenderedPageBreak/>
        <w:drawing>
          <wp:anchor distT="0" distB="0" distL="114300" distR="114300" simplePos="0" relativeHeight="251666432" behindDoc="1" locked="0" layoutInCell="1" allowOverlap="1">
            <wp:simplePos x="0" y="0"/>
            <wp:positionH relativeFrom="column">
              <wp:posOffset>534035</wp:posOffset>
            </wp:positionH>
            <wp:positionV relativeFrom="paragraph">
              <wp:posOffset>1812925</wp:posOffset>
            </wp:positionV>
            <wp:extent cx="4417695" cy="2644775"/>
            <wp:effectExtent l="4445" t="4445" r="16510" b="17780"/>
            <wp:wrapTight wrapText="bothSides">
              <wp:wrapPolygon edited="0">
                <wp:start x="-22" y="-36"/>
                <wp:lineTo x="-22" y="21434"/>
                <wp:lineTo x="21494" y="21434"/>
                <wp:lineTo x="21494" y="-36"/>
                <wp:lineTo x="-22" y="-36"/>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eastAsia="仿宋_GB2312" w:cs="仿宋_GB2312" w:hint="eastAsia"/>
          <w:sz w:val="32"/>
          <w:szCs w:val="32"/>
        </w:rPr>
        <w:t>2025</w:t>
      </w:r>
      <w:r>
        <w:rPr>
          <w:rFonts w:eastAsia="仿宋_GB2312" w:cs="仿宋_GB2312" w:hint="eastAsia"/>
          <w:sz w:val="32"/>
          <w:szCs w:val="32"/>
        </w:rPr>
        <w:t>年度财政拨款“三公”经费支出决算中，因公出国（境）费支出决算</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；公务用车购置及运行维护费支出决算</w:t>
      </w:r>
      <w:r>
        <w:rPr>
          <w:rFonts w:eastAsia="仿宋_GB2312" w:cs="仿宋_GB2312" w:hint="eastAsia"/>
          <w:sz w:val="32"/>
          <w:szCs w:val="32"/>
        </w:rPr>
        <w:t>0.52</w:t>
      </w:r>
      <w:r>
        <w:rPr>
          <w:rFonts w:eastAsia="仿宋_GB2312" w:cs="仿宋_GB2312" w:hint="eastAsia"/>
          <w:sz w:val="32"/>
          <w:szCs w:val="32"/>
        </w:rPr>
        <w:t>万元，占</w:t>
      </w:r>
      <w:r>
        <w:rPr>
          <w:rFonts w:eastAsia="仿宋_GB2312" w:cs="仿宋_GB2312" w:hint="eastAsia"/>
          <w:sz w:val="32"/>
          <w:szCs w:val="32"/>
        </w:rPr>
        <w:t>100%</w:t>
      </w:r>
      <w:r>
        <w:rPr>
          <w:rFonts w:eastAsia="仿宋_GB2312" w:cs="仿宋_GB2312" w:hint="eastAsia"/>
          <w:sz w:val="32"/>
          <w:szCs w:val="32"/>
        </w:rPr>
        <w:t>；公务接待费支出决算</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。具体情况如下：</w:t>
      </w:r>
    </w:p>
    <w:p w:rsidR="00CC0EE2" w:rsidRDefault="00C5639B">
      <w:pPr>
        <w:spacing w:line="600" w:lineRule="exact"/>
        <w:ind w:firstLine="640"/>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：财政拨款“三公”经费支出结构）</w:t>
      </w:r>
    </w:p>
    <w:p w:rsidR="00CC0EE2" w:rsidRDefault="00C5639B">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全年安排因公出国（境）团组</w:t>
      </w:r>
      <w:r>
        <w:rPr>
          <w:rFonts w:eastAsia="仿宋_GB2312" w:cs="仿宋_GB2312" w:hint="eastAsia"/>
          <w:sz w:val="32"/>
          <w:szCs w:val="32"/>
        </w:rPr>
        <w:t>0</w:t>
      </w:r>
      <w:r>
        <w:rPr>
          <w:rFonts w:eastAsia="仿宋_GB2312" w:cs="仿宋_GB2312" w:hint="eastAsia"/>
          <w:sz w:val="32"/>
          <w:szCs w:val="32"/>
        </w:rPr>
        <w:t>次，出国（境）</w:t>
      </w:r>
      <w:r>
        <w:rPr>
          <w:rFonts w:eastAsia="仿宋_GB2312" w:cs="仿宋_GB2312" w:hint="eastAsia"/>
          <w:sz w:val="32"/>
          <w:szCs w:val="32"/>
        </w:rPr>
        <w:t>0</w:t>
      </w:r>
      <w:r>
        <w:rPr>
          <w:rFonts w:eastAsia="仿宋_GB2312" w:cs="仿宋_GB2312" w:hint="eastAsia"/>
          <w:sz w:val="32"/>
          <w:szCs w:val="32"/>
        </w:rPr>
        <w:t>人。因公出国（境）支出决算比上年度增加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hint="eastAsia"/>
          <w:sz w:val="32"/>
          <w:szCs w:val="32"/>
        </w:rPr>
        <w:t>0%</w:t>
      </w:r>
      <w:r>
        <w:rPr>
          <w:rFonts w:eastAsia="仿宋_GB2312" w:cs="仿宋_GB2312" w:hint="eastAsia"/>
          <w:sz w:val="32"/>
          <w:szCs w:val="32"/>
        </w:rPr>
        <w:t>。</w:t>
      </w:r>
    </w:p>
    <w:p w:rsidR="00CC0EE2" w:rsidRDefault="00C5639B">
      <w:pPr>
        <w:spacing w:line="600" w:lineRule="exact"/>
        <w:ind w:firstLine="640"/>
        <w:rPr>
          <w:rFonts w:eastAsia="仿宋_GB2312"/>
          <w:color w:val="000000"/>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eastAsia="仿宋_GB2312" w:cs="仿宋_GB2312" w:hint="eastAsia"/>
          <w:b/>
          <w:bCs/>
          <w:sz w:val="32"/>
          <w:szCs w:val="32"/>
        </w:rPr>
        <w:t>0.52</w:t>
      </w:r>
      <w:r>
        <w:rPr>
          <w:rFonts w:eastAsia="仿宋_GB2312" w:cs="仿宋_GB2312" w:hint="eastAsia"/>
          <w:b/>
          <w:bCs/>
          <w:sz w:val="32"/>
          <w:szCs w:val="32"/>
        </w:rPr>
        <w:t>万元，完成预算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公务用车购置及运行维护费支出决算比上年度减少</w:t>
      </w:r>
      <w:r>
        <w:rPr>
          <w:rFonts w:eastAsia="仿宋_GB2312" w:cs="仿宋_GB2312" w:hint="eastAsia"/>
          <w:sz w:val="32"/>
          <w:szCs w:val="32"/>
        </w:rPr>
        <w:t>0.33</w:t>
      </w:r>
      <w:r>
        <w:rPr>
          <w:rFonts w:eastAsia="仿宋_GB2312" w:cs="仿宋_GB2312" w:hint="eastAsia"/>
          <w:sz w:val="32"/>
          <w:szCs w:val="32"/>
        </w:rPr>
        <w:t>万元，下降</w:t>
      </w:r>
      <w:r>
        <w:rPr>
          <w:rFonts w:eastAsia="仿宋_GB2312" w:cs="仿宋_GB2312" w:hint="eastAsia"/>
          <w:sz w:val="32"/>
          <w:szCs w:val="32"/>
        </w:rPr>
        <w:t>39</w:t>
      </w:r>
      <w:r>
        <w:rPr>
          <w:rFonts w:eastAsia="仿宋_GB2312" w:cs="仿宋_GB2312" w:hint="eastAsia"/>
          <w:sz w:val="32"/>
          <w:szCs w:val="32"/>
        </w:rPr>
        <w:t>%</w:t>
      </w:r>
      <w:r>
        <w:rPr>
          <w:rFonts w:eastAsia="仿宋_GB2312" w:cs="仿宋_GB2312" w:hint="eastAsia"/>
          <w:sz w:val="32"/>
          <w:szCs w:val="32"/>
        </w:rPr>
        <w:t>。</w:t>
      </w:r>
      <w:r>
        <w:rPr>
          <w:rFonts w:eastAsia="仿宋_GB2312" w:hint="eastAsia"/>
          <w:color w:val="000000"/>
          <w:sz w:val="32"/>
          <w:szCs w:val="32"/>
        </w:rPr>
        <w:t>决算数小于预算数的主要原因是单位厉行节约，减少开支。</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eastAsia="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1</w:t>
      </w:r>
      <w:r>
        <w:rPr>
          <w:rFonts w:eastAsia="仿宋_GB2312" w:cs="仿宋_GB2312" w:hint="eastAsia"/>
          <w:sz w:val="32"/>
          <w:szCs w:val="32"/>
        </w:rPr>
        <w:t>辆，其</w:t>
      </w:r>
      <w:r>
        <w:rPr>
          <w:rFonts w:eastAsia="仿宋_GB2312" w:cs="仿宋_GB2312" w:hint="eastAsia"/>
          <w:sz w:val="32"/>
          <w:szCs w:val="32"/>
        </w:rPr>
        <w:lastRenderedPageBreak/>
        <w:t>中：</w:t>
      </w:r>
      <w:r>
        <w:rPr>
          <w:rFonts w:ascii="仿宋_GB2312" w:eastAsia="仿宋_GB2312" w:hint="eastAsia"/>
          <w:sz w:val="32"/>
          <w:szCs w:val="32"/>
        </w:rPr>
        <w:t>其中：</w:t>
      </w:r>
      <w:r>
        <w:rPr>
          <w:rFonts w:eastAsia="仿宋_GB2312" w:cs="仿宋_GB2312" w:hint="eastAsia"/>
          <w:sz w:val="32"/>
          <w:szCs w:val="32"/>
        </w:rPr>
        <w:t>轿车</w:t>
      </w:r>
      <w:r>
        <w:rPr>
          <w:rFonts w:eastAsia="仿宋_GB2312" w:cs="仿宋_GB2312" w:hint="eastAsia"/>
          <w:sz w:val="32"/>
          <w:szCs w:val="32"/>
        </w:rPr>
        <w:t>1</w:t>
      </w:r>
      <w:r>
        <w:rPr>
          <w:rFonts w:eastAsia="仿宋_GB2312" w:cs="仿宋_GB2312" w:hint="eastAsia"/>
          <w:sz w:val="32"/>
          <w:szCs w:val="32"/>
        </w:rPr>
        <w:t>辆。</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eastAsia="仿宋_GB2312" w:cs="仿宋_GB2312" w:hint="eastAsia"/>
          <w:sz w:val="32"/>
          <w:szCs w:val="32"/>
        </w:rPr>
        <w:t>0.52</w:t>
      </w:r>
      <w:r>
        <w:rPr>
          <w:rFonts w:eastAsia="仿宋_GB2312" w:cs="仿宋_GB2312" w:hint="eastAsia"/>
          <w:sz w:val="32"/>
          <w:szCs w:val="32"/>
        </w:rPr>
        <w:t>万元。主要用于</w:t>
      </w:r>
      <w:r>
        <w:rPr>
          <w:rFonts w:ascii="仿宋_GB2312" w:eastAsia="仿宋_GB2312" w:hint="eastAsia"/>
          <w:sz w:val="32"/>
          <w:szCs w:val="32"/>
        </w:rPr>
        <w:t>日常公路养护巡查所需的公务用车</w:t>
      </w:r>
      <w:r>
        <w:rPr>
          <w:rFonts w:eastAsia="仿宋_GB2312" w:cs="仿宋_GB2312" w:hint="eastAsia"/>
          <w:sz w:val="32"/>
          <w:szCs w:val="32"/>
        </w:rPr>
        <w:t>燃料费、维修费、过路过桥费、保险费等支出。</w:t>
      </w:r>
    </w:p>
    <w:p w:rsidR="00CC0EE2" w:rsidRDefault="00C5639B">
      <w:pPr>
        <w:numPr>
          <w:ilvl w:val="0"/>
          <w:numId w:val="4"/>
        </w:numPr>
        <w:spacing w:line="600" w:lineRule="exact"/>
        <w:ind w:firstLine="640"/>
        <w:rPr>
          <w:rFonts w:ascii="仿宋" w:eastAsia="仿宋" w:hAnsi="仿宋"/>
          <w:sz w:val="32"/>
          <w:szCs w:val="32"/>
        </w:rPr>
      </w:pPr>
      <w:r>
        <w:rPr>
          <w:rFonts w:eastAsia="仿宋_GB2312" w:cs="仿宋_GB2312" w:hint="eastAsia"/>
          <w:b/>
          <w:bCs/>
          <w:sz w:val="32"/>
          <w:szCs w:val="32"/>
        </w:rPr>
        <w:t>公务接待费支出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p>
    <w:p w:rsidR="00CC0EE2" w:rsidRDefault="00C5639B">
      <w:pPr>
        <w:spacing w:line="600" w:lineRule="exact"/>
        <w:ind w:firstLineChars="200" w:firstLine="640"/>
        <w:rPr>
          <w:rFonts w:eastAsia="仿宋_GB2312" w:cs="仿宋_GB2312"/>
          <w:sz w:val="32"/>
          <w:szCs w:val="32"/>
        </w:rPr>
      </w:pPr>
      <w:bookmarkStart w:id="52" w:name="_Toc15377218"/>
      <w:bookmarkStart w:id="53" w:name="_Toc15396610"/>
      <w:r>
        <w:rPr>
          <w:rFonts w:eastAsia="仿宋_GB2312" w:cs="仿宋_GB2312" w:hint="eastAsia"/>
          <w:sz w:val="32"/>
          <w:szCs w:val="32"/>
        </w:rPr>
        <w:t>国内公务接待支出</w:t>
      </w:r>
      <w:r>
        <w:rPr>
          <w:rFonts w:eastAsia="仿宋_GB2312" w:cs="仿宋_GB2312" w:hint="eastAsia"/>
          <w:sz w:val="32"/>
          <w:szCs w:val="32"/>
        </w:rPr>
        <w:t>0</w:t>
      </w:r>
      <w:r>
        <w:rPr>
          <w:rFonts w:eastAsia="仿宋_GB2312" w:cs="仿宋_GB2312" w:hint="eastAsia"/>
          <w:sz w:val="32"/>
          <w:szCs w:val="32"/>
        </w:rPr>
        <w:t>万元，</w:t>
      </w:r>
      <w:r>
        <w:rPr>
          <w:rFonts w:eastAsia="仿宋_GB2312" w:cs="仿宋_GB2312" w:hint="eastAsia"/>
          <w:sz w:val="32"/>
          <w:szCs w:val="32"/>
        </w:rPr>
        <w:t>主要原因为</w:t>
      </w:r>
      <w:r>
        <w:rPr>
          <w:rFonts w:eastAsia="仿宋_GB2312" w:cs="仿宋_GB2312" w:hint="eastAsia"/>
          <w:sz w:val="32"/>
          <w:szCs w:val="32"/>
        </w:rPr>
        <w:t>2025</w:t>
      </w:r>
      <w:r>
        <w:rPr>
          <w:rFonts w:eastAsia="仿宋_GB2312" w:cs="仿宋_GB2312" w:hint="eastAsia"/>
          <w:sz w:val="32"/>
          <w:szCs w:val="32"/>
        </w:rPr>
        <w:t>年因工作安排未发生公务接待。</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外事接待支出</w:t>
      </w:r>
      <w:r>
        <w:rPr>
          <w:rFonts w:eastAsia="仿宋_GB2312" w:cs="仿宋_GB2312" w:hint="eastAsia"/>
          <w:sz w:val="32"/>
          <w:szCs w:val="32"/>
        </w:rPr>
        <w:t>0</w:t>
      </w:r>
      <w:r>
        <w:rPr>
          <w:rFonts w:eastAsia="仿宋_GB2312" w:cs="仿宋_GB2312" w:hint="eastAsia"/>
          <w:sz w:val="32"/>
          <w:szCs w:val="32"/>
        </w:rPr>
        <w:t>万元。</w:t>
      </w:r>
    </w:p>
    <w:p w:rsidR="00CC0EE2" w:rsidRDefault="00CC0EE2">
      <w:pPr>
        <w:pStyle w:val="a0"/>
        <w:spacing w:before="93"/>
      </w:pPr>
    </w:p>
    <w:p w:rsidR="00CC0EE2" w:rsidRDefault="00C5639B">
      <w:pPr>
        <w:pStyle w:val="2"/>
        <w:numPr>
          <w:ilvl w:val="0"/>
          <w:numId w:val="3"/>
        </w:numPr>
        <w:ind w:firstLineChars="200" w:firstLine="640"/>
        <w:rPr>
          <w:rFonts w:ascii="黑体" w:eastAsia="黑体" w:hAnsi="黑体" w:cs="黑体"/>
          <w:b w:val="0"/>
          <w:bCs w:val="0"/>
        </w:rPr>
      </w:pPr>
      <w:bookmarkStart w:id="54" w:name="_Toc128"/>
      <w:r>
        <w:rPr>
          <w:rFonts w:ascii="黑体" w:eastAsia="黑体" w:hAnsi="黑体" w:cs="黑体" w:hint="eastAsia"/>
          <w:b w:val="0"/>
          <w:bCs w:val="0"/>
        </w:rPr>
        <w:t>政府性基金预算支出决算情况说明</w:t>
      </w:r>
      <w:bookmarkEnd w:id="52"/>
      <w:bookmarkEnd w:id="53"/>
      <w:bookmarkEnd w:id="54"/>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Pr>
          <w:rFonts w:eastAsia="仿宋_GB2312" w:cs="仿宋_GB2312" w:hint="eastAsia"/>
          <w:sz w:val="32"/>
          <w:szCs w:val="32"/>
        </w:rPr>
        <w:t>0</w:t>
      </w:r>
      <w:r>
        <w:rPr>
          <w:rFonts w:eastAsia="仿宋_GB2312" w:cs="仿宋_GB2312" w:hint="eastAsia"/>
          <w:sz w:val="32"/>
          <w:szCs w:val="32"/>
        </w:rPr>
        <w:t>万元，占本年支出合计的</w:t>
      </w:r>
      <w:r>
        <w:rPr>
          <w:rFonts w:eastAsia="仿宋_GB2312" w:cs="仿宋_GB2312" w:hint="eastAsia"/>
          <w:sz w:val="32"/>
          <w:szCs w:val="32"/>
        </w:rPr>
        <w:t>0%</w:t>
      </w:r>
      <w:r>
        <w:rPr>
          <w:rFonts w:eastAsia="仿宋_GB2312" w:cs="仿宋_GB2312" w:hint="eastAsia"/>
          <w:sz w:val="32"/>
          <w:szCs w:val="32"/>
        </w:rPr>
        <w:t>。</w:t>
      </w:r>
    </w:p>
    <w:p w:rsidR="00CC0EE2" w:rsidRDefault="00C5639B">
      <w:pPr>
        <w:pStyle w:val="2"/>
        <w:numPr>
          <w:ilvl w:val="0"/>
          <w:numId w:val="3"/>
        </w:numPr>
        <w:ind w:firstLineChars="200" w:firstLine="640"/>
        <w:rPr>
          <w:rFonts w:ascii="黑体" w:eastAsia="黑体" w:hAnsi="黑体" w:cs="黑体"/>
          <w:b w:val="0"/>
          <w:bCs w:val="0"/>
        </w:rPr>
      </w:pPr>
      <w:bookmarkStart w:id="55" w:name="_Toc15377219"/>
      <w:bookmarkStart w:id="56" w:name="_Toc31075"/>
      <w:bookmarkStart w:id="57" w:name="_Toc15396611"/>
      <w:r>
        <w:rPr>
          <w:rFonts w:ascii="黑体" w:eastAsia="黑体" w:hAnsi="黑体" w:cs="黑体" w:hint="eastAsia"/>
          <w:b w:val="0"/>
          <w:bCs w:val="0"/>
        </w:rPr>
        <w:t>国有资本经营预算支出决算情况说明</w:t>
      </w:r>
      <w:bookmarkEnd w:id="55"/>
      <w:bookmarkEnd w:id="56"/>
      <w:bookmarkEnd w:id="57"/>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eastAsia="仿宋_GB2312" w:cs="仿宋_GB2312" w:hint="eastAsia"/>
          <w:sz w:val="32"/>
          <w:szCs w:val="32"/>
        </w:rPr>
        <w:t>0</w:t>
      </w:r>
      <w:r>
        <w:rPr>
          <w:rFonts w:eastAsia="仿宋_GB2312" w:cs="仿宋_GB2312" w:hint="eastAsia"/>
          <w:sz w:val="32"/>
          <w:szCs w:val="32"/>
        </w:rPr>
        <w:t>万元，占本年支出合计的</w:t>
      </w:r>
      <w:r>
        <w:rPr>
          <w:rFonts w:eastAsia="仿宋_GB2312" w:cs="仿宋_GB2312" w:hint="eastAsia"/>
          <w:sz w:val="32"/>
          <w:szCs w:val="32"/>
        </w:rPr>
        <w:t>0%</w:t>
      </w:r>
      <w:r>
        <w:rPr>
          <w:rFonts w:eastAsia="仿宋_GB2312" w:cs="仿宋_GB2312" w:hint="eastAsia"/>
          <w:sz w:val="32"/>
          <w:szCs w:val="32"/>
        </w:rPr>
        <w:t>。</w:t>
      </w:r>
    </w:p>
    <w:p w:rsidR="00CC0EE2" w:rsidRDefault="00C5639B">
      <w:pPr>
        <w:pStyle w:val="2"/>
        <w:numPr>
          <w:ilvl w:val="0"/>
          <w:numId w:val="3"/>
        </w:numPr>
        <w:ind w:firstLineChars="200" w:firstLine="640"/>
        <w:rPr>
          <w:rFonts w:ascii="黑体" w:eastAsia="黑体" w:hAnsi="黑体" w:cs="黑体"/>
          <w:b w:val="0"/>
          <w:bCs w:val="0"/>
        </w:rPr>
      </w:pPr>
      <w:bookmarkStart w:id="58" w:name="_Toc22275"/>
      <w:bookmarkStart w:id="59" w:name="_Toc15377221"/>
      <w:bookmarkStart w:id="60" w:name="_Toc15396612"/>
      <w:r>
        <w:rPr>
          <w:rFonts w:ascii="黑体" w:eastAsia="黑体" w:hAnsi="黑体" w:cs="黑体" w:hint="eastAsia"/>
          <w:b w:val="0"/>
          <w:bCs w:val="0"/>
        </w:rPr>
        <w:t>其他重要事项的情况说明</w:t>
      </w:r>
      <w:bookmarkEnd w:id="58"/>
      <w:bookmarkEnd w:id="59"/>
      <w:bookmarkEnd w:id="60"/>
    </w:p>
    <w:p w:rsidR="00CC0EE2" w:rsidRDefault="00C5639B">
      <w:pPr>
        <w:spacing w:line="600" w:lineRule="exact"/>
        <w:ind w:firstLineChars="200" w:firstLine="643"/>
        <w:outlineLvl w:val="2"/>
        <w:rPr>
          <w:rFonts w:eastAsia="楷体_GB2312" w:cs="楷体_GB2312"/>
          <w:b/>
          <w:sz w:val="32"/>
          <w:szCs w:val="32"/>
        </w:rPr>
      </w:pPr>
      <w:bookmarkStart w:id="61" w:name="_Toc15377222"/>
      <w:r>
        <w:rPr>
          <w:rFonts w:eastAsia="楷体_GB2312" w:cs="楷体_GB2312" w:hint="eastAsia"/>
          <w:b/>
          <w:sz w:val="32"/>
          <w:szCs w:val="32"/>
        </w:rPr>
        <w:t>（一）机关运行经费支出情况</w:t>
      </w:r>
      <w:bookmarkEnd w:id="61"/>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年度，本单位机关运行经费支出</w:t>
      </w:r>
      <w:r>
        <w:rPr>
          <w:rFonts w:eastAsia="仿宋_GB2312" w:cs="仿宋_GB2312" w:hint="eastAsia"/>
          <w:sz w:val="32"/>
          <w:szCs w:val="32"/>
        </w:rPr>
        <w:t>61.59</w:t>
      </w:r>
      <w:r>
        <w:rPr>
          <w:rFonts w:eastAsia="仿宋_GB2312" w:cs="仿宋_GB2312" w:hint="eastAsia"/>
          <w:sz w:val="32"/>
          <w:szCs w:val="32"/>
        </w:rPr>
        <w:t>万元，比上年度减少</w:t>
      </w:r>
      <w:r>
        <w:rPr>
          <w:rFonts w:eastAsia="仿宋_GB2312" w:cs="仿宋_GB2312" w:hint="eastAsia"/>
          <w:sz w:val="32"/>
          <w:szCs w:val="32"/>
        </w:rPr>
        <w:t>4.97</w:t>
      </w:r>
      <w:r>
        <w:rPr>
          <w:rFonts w:eastAsia="仿宋_GB2312" w:cs="仿宋_GB2312" w:hint="eastAsia"/>
          <w:sz w:val="32"/>
          <w:szCs w:val="32"/>
        </w:rPr>
        <w:t>万元，下降</w:t>
      </w:r>
      <w:r>
        <w:rPr>
          <w:rFonts w:eastAsia="仿宋_GB2312" w:cs="仿宋_GB2312" w:hint="eastAsia"/>
          <w:sz w:val="32"/>
          <w:szCs w:val="32"/>
        </w:rPr>
        <w:t>7.5</w:t>
      </w:r>
      <w:r>
        <w:rPr>
          <w:rFonts w:eastAsia="仿宋_GB2312" w:cs="仿宋_GB2312" w:hint="eastAsia"/>
          <w:sz w:val="32"/>
          <w:szCs w:val="32"/>
        </w:rPr>
        <w:t>%</w:t>
      </w:r>
      <w:r>
        <w:rPr>
          <w:rFonts w:eastAsia="仿宋_GB2312" w:cs="仿宋_GB2312" w:hint="eastAsia"/>
          <w:sz w:val="32"/>
          <w:szCs w:val="32"/>
        </w:rPr>
        <w:t>。主要原因是单位缩减公用经费开支。</w:t>
      </w:r>
    </w:p>
    <w:p w:rsidR="00CC0EE2" w:rsidRDefault="00CC0EE2">
      <w:pPr>
        <w:spacing w:line="600" w:lineRule="exact"/>
        <w:ind w:firstLine="640"/>
        <w:rPr>
          <w:rFonts w:eastAsia="仿宋_GB2312" w:cs="仿宋_GB2312"/>
          <w:sz w:val="32"/>
          <w:szCs w:val="32"/>
        </w:rPr>
      </w:pPr>
    </w:p>
    <w:p w:rsidR="00CC0EE2" w:rsidRDefault="00C5639B">
      <w:pPr>
        <w:spacing w:line="600" w:lineRule="exact"/>
        <w:ind w:firstLineChars="200" w:firstLine="643"/>
        <w:outlineLvl w:val="2"/>
        <w:rPr>
          <w:rFonts w:eastAsia="楷体_GB2312" w:cs="楷体_GB2312"/>
          <w:b/>
          <w:sz w:val="32"/>
          <w:szCs w:val="32"/>
        </w:rPr>
      </w:pPr>
      <w:bookmarkStart w:id="62" w:name="_Toc15377223"/>
      <w:r>
        <w:rPr>
          <w:rFonts w:eastAsia="楷体_GB2312" w:cs="楷体_GB2312" w:hint="eastAsia"/>
          <w:b/>
          <w:sz w:val="32"/>
          <w:szCs w:val="32"/>
        </w:rPr>
        <w:t>（二）政府采购支出情况</w:t>
      </w:r>
      <w:bookmarkEnd w:id="62"/>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年度，本单位政府采购支出总额</w:t>
      </w:r>
      <w:r>
        <w:rPr>
          <w:rFonts w:eastAsia="仿宋_GB2312" w:cs="仿宋_GB2312" w:hint="eastAsia"/>
          <w:sz w:val="32"/>
          <w:szCs w:val="32"/>
        </w:rPr>
        <w:t>347.38</w:t>
      </w:r>
      <w:r>
        <w:rPr>
          <w:rFonts w:eastAsia="仿宋_GB2312" w:cs="仿宋_GB2312" w:hint="eastAsia"/>
          <w:sz w:val="32"/>
          <w:szCs w:val="32"/>
        </w:rPr>
        <w:t>万元，其中：政府采购货物支出</w:t>
      </w:r>
      <w:r>
        <w:rPr>
          <w:rFonts w:eastAsia="仿宋_GB2312" w:cs="仿宋_GB2312" w:hint="eastAsia"/>
          <w:sz w:val="32"/>
          <w:szCs w:val="32"/>
        </w:rPr>
        <w:t>0</w:t>
      </w:r>
      <w:r>
        <w:rPr>
          <w:rFonts w:eastAsia="仿宋_GB2312" w:cs="仿宋_GB2312" w:hint="eastAsia"/>
          <w:sz w:val="32"/>
          <w:szCs w:val="32"/>
        </w:rPr>
        <w:t>万元、政府采购工程支出</w:t>
      </w:r>
      <w:r>
        <w:rPr>
          <w:rFonts w:eastAsia="仿宋_GB2312" w:cs="仿宋_GB2312" w:hint="eastAsia"/>
          <w:sz w:val="32"/>
          <w:szCs w:val="32"/>
        </w:rPr>
        <w:t>0</w:t>
      </w:r>
      <w:r>
        <w:rPr>
          <w:rFonts w:eastAsia="仿宋_GB2312" w:cs="仿宋_GB2312" w:hint="eastAsia"/>
          <w:sz w:val="32"/>
          <w:szCs w:val="32"/>
        </w:rPr>
        <w:t>万元、政府采购服务支出</w:t>
      </w:r>
      <w:r>
        <w:rPr>
          <w:rFonts w:eastAsia="仿宋_GB2312" w:cs="仿宋_GB2312" w:hint="eastAsia"/>
          <w:sz w:val="32"/>
          <w:szCs w:val="32"/>
        </w:rPr>
        <w:t>347.38</w:t>
      </w:r>
      <w:r>
        <w:rPr>
          <w:rFonts w:eastAsia="仿宋_GB2312" w:cs="仿宋_GB2312" w:hint="eastAsia"/>
          <w:sz w:val="32"/>
          <w:szCs w:val="32"/>
        </w:rPr>
        <w:t>万元。主要用于车辆运行框架协议采购、省级物流枢纽承载城市申报方案编制服务等工作。授予中小企业合同金额</w:t>
      </w:r>
      <w:r>
        <w:rPr>
          <w:rFonts w:eastAsia="仿宋_GB2312" w:cs="仿宋_GB2312" w:hint="eastAsia"/>
          <w:sz w:val="32"/>
          <w:szCs w:val="32"/>
        </w:rPr>
        <w:t>347</w:t>
      </w:r>
      <w:r>
        <w:rPr>
          <w:rFonts w:eastAsia="仿宋_GB2312" w:cs="仿宋_GB2312" w:hint="eastAsia"/>
          <w:sz w:val="32"/>
          <w:szCs w:val="32"/>
        </w:rPr>
        <w:t>万元，占政府采购支出总额的</w:t>
      </w:r>
      <w:r>
        <w:rPr>
          <w:rFonts w:eastAsia="仿宋_GB2312" w:cs="仿宋_GB2312" w:hint="eastAsia"/>
          <w:sz w:val="32"/>
          <w:szCs w:val="32"/>
        </w:rPr>
        <w:t>99.9</w:t>
      </w:r>
      <w:r>
        <w:rPr>
          <w:rFonts w:eastAsia="仿宋_GB2312" w:cs="仿宋_GB2312" w:hint="eastAsia"/>
          <w:sz w:val="32"/>
          <w:szCs w:val="32"/>
        </w:rPr>
        <w:t>%</w:t>
      </w:r>
      <w:r>
        <w:rPr>
          <w:rFonts w:eastAsia="仿宋_GB2312" w:cs="仿宋_GB2312" w:hint="eastAsia"/>
          <w:sz w:val="32"/>
          <w:szCs w:val="32"/>
        </w:rPr>
        <w:t>，其中：授予小微企业合同金额</w:t>
      </w:r>
      <w:r>
        <w:rPr>
          <w:rFonts w:eastAsia="仿宋_GB2312" w:cs="仿宋_GB2312" w:hint="eastAsia"/>
          <w:sz w:val="32"/>
          <w:szCs w:val="32"/>
        </w:rPr>
        <w:t>0</w:t>
      </w:r>
      <w:r>
        <w:rPr>
          <w:rFonts w:eastAsia="仿宋_GB2312" w:cs="仿宋_GB2312" w:hint="eastAsia"/>
          <w:sz w:val="32"/>
          <w:szCs w:val="32"/>
        </w:rPr>
        <w:t>万元，占政府采购支出总额</w:t>
      </w:r>
      <w:r>
        <w:rPr>
          <w:rFonts w:eastAsia="仿宋_GB2312" w:cs="仿宋_GB2312" w:hint="eastAsia"/>
          <w:sz w:val="32"/>
          <w:szCs w:val="32"/>
        </w:rPr>
        <w:t>的</w:t>
      </w:r>
      <w:r>
        <w:rPr>
          <w:rFonts w:eastAsia="仿宋_GB2312" w:cs="仿宋_GB2312" w:hint="eastAsia"/>
          <w:sz w:val="32"/>
          <w:szCs w:val="32"/>
        </w:rPr>
        <w:t>0%</w:t>
      </w:r>
      <w:r>
        <w:rPr>
          <w:rFonts w:eastAsia="仿宋_GB2312" w:cs="仿宋_GB2312" w:hint="eastAsia"/>
          <w:sz w:val="32"/>
          <w:szCs w:val="32"/>
        </w:rPr>
        <w:t>。</w:t>
      </w:r>
    </w:p>
    <w:p w:rsidR="00CC0EE2" w:rsidRDefault="00CC0EE2">
      <w:pPr>
        <w:spacing w:line="600" w:lineRule="exact"/>
        <w:ind w:firstLine="640"/>
        <w:rPr>
          <w:rFonts w:eastAsia="仿宋_GB2312" w:cs="仿宋_GB2312"/>
          <w:sz w:val="32"/>
          <w:szCs w:val="32"/>
        </w:rPr>
      </w:pPr>
    </w:p>
    <w:p w:rsidR="00CC0EE2" w:rsidRDefault="00C5639B">
      <w:pPr>
        <w:spacing w:line="600" w:lineRule="exact"/>
        <w:ind w:firstLineChars="200" w:firstLine="643"/>
        <w:outlineLvl w:val="2"/>
        <w:rPr>
          <w:rFonts w:eastAsia="楷体_GB2312" w:cs="楷体_GB2312"/>
          <w:b/>
          <w:sz w:val="32"/>
          <w:szCs w:val="32"/>
        </w:rPr>
      </w:pPr>
      <w:bookmarkStart w:id="63" w:name="_Toc15377224"/>
      <w:r>
        <w:rPr>
          <w:rFonts w:eastAsia="楷体_GB2312" w:cs="楷体_GB2312" w:hint="eastAsia"/>
          <w:b/>
          <w:sz w:val="32"/>
          <w:szCs w:val="32"/>
        </w:rPr>
        <w:t>（三）国有资产占有使用情况</w:t>
      </w:r>
      <w:bookmarkEnd w:id="63"/>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日，本单位共有车辆</w:t>
      </w:r>
      <w:r>
        <w:rPr>
          <w:rFonts w:eastAsia="仿宋_GB2312" w:cs="仿宋_GB2312" w:hint="eastAsia"/>
          <w:sz w:val="32"/>
          <w:szCs w:val="32"/>
        </w:rPr>
        <w:t>1</w:t>
      </w:r>
      <w:r>
        <w:rPr>
          <w:rFonts w:eastAsia="仿宋_GB2312" w:cs="仿宋_GB2312" w:hint="eastAsia"/>
          <w:sz w:val="32"/>
          <w:szCs w:val="32"/>
        </w:rPr>
        <w:t>辆，其中：轿车</w:t>
      </w:r>
      <w:r>
        <w:rPr>
          <w:rFonts w:eastAsia="仿宋_GB2312" w:cs="仿宋_GB2312" w:hint="eastAsia"/>
          <w:sz w:val="32"/>
          <w:szCs w:val="32"/>
        </w:rPr>
        <w:t>1</w:t>
      </w:r>
      <w:r>
        <w:rPr>
          <w:rFonts w:eastAsia="仿宋_GB2312" w:cs="仿宋_GB2312" w:hint="eastAsia"/>
          <w:sz w:val="32"/>
          <w:szCs w:val="32"/>
        </w:rPr>
        <w:t>辆。单价</w:t>
      </w:r>
      <w:r>
        <w:rPr>
          <w:rFonts w:eastAsia="仿宋_GB2312" w:cs="仿宋_GB2312" w:hint="eastAsia"/>
          <w:sz w:val="32"/>
          <w:szCs w:val="32"/>
        </w:rPr>
        <w:t>100</w:t>
      </w:r>
      <w:r>
        <w:rPr>
          <w:rFonts w:eastAsia="仿宋_GB2312" w:cs="仿宋_GB2312" w:hint="eastAsia"/>
          <w:sz w:val="32"/>
          <w:szCs w:val="32"/>
        </w:rPr>
        <w:t>万元（含）以上设备（不含车辆）</w:t>
      </w:r>
      <w:r>
        <w:rPr>
          <w:rFonts w:eastAsia="仿宋_GB2312" w:cs="仿宋_GB2312" w:hint="eastAsia"/>
          <w:sz w:val="32"/>
          <w:szCs w:val="32"/>
        </w:rPr>
        <w:t>0</w:t>
      </w:r>
      <w:r>
        <w:rPr>
          <w:rFonts w:eastAsia="仿宋_GB2312" w:cs="仿宋_GB2312" w:hint="eastAsia"/>
          <w:sz w:val="32"/>
          <w:szCs w:val="32"/>
        </w:rPr>
        <w:t>台（套）。</w:t>
      </w:r>
    </w:p>
    <w:p w:rsidR="00CC0EE2" w:rsidRDefault="00CC0EE2">
      <w:pPr>
        <w:spacing w:line="600" w:lineRule="exact"/>
        <w:ind w:firstLine="640"/>
        <w:rPr>
          <w:rFonts w:eastAsia="仿宋_GB2312" w:cs="仿宋_GB2312"/>
          <w:sz w:val="32"/>
          <w:szCs w:val="32"/>
        </w:rPr>
      </w:pPr>
    </w:p>
    <w:p w:rsidR="00CC0EE2" w:rsidRDefault="00C5639B">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t>根据预算绩效管理要求，本单位在</w:t>
      </w:r>
      <w:r>
        <w:rPr>
          <w:rFonts w:eastAsia="仿宋_GB2312" w:cs="仿宋_GB2312" w:hint="eastAsia"/>
          <w:sz w:val="32"/>
          <w:szCs w:val="32"/>
        </w:rPr>
        <w:t>2025</w:t>
      </w:r>
      <w:r>
        <w:rPr>
          <w:rFonts w:eastAsia="仿宋_GB2312" w:cs="仿宋_GB2312" w:hint="eastAsia"/>
          <w:sz w:val="32"/>
          <w:szCs w:val="32"/>
        </w:rPr>
        <w:t>年度，组织对道路运输业务运行费、营运性道路客货从业资格考试考务费成本支出、省级物流枢纽承载城市申报方案编制服务、道路运输安全环保经费、班线客运车辆通行费优惠和城市交通发展奖励资金等</w:t>
      </w:r>
      <w:r>
        <w:rPr>
          <w:rFonts w:eastAsia="仿宋_GB2312" w:cs="仿宋_GB2312" w:hint="eastAsia"/>
          <w:sz w:val="32"/>
          <w:szCs w:val="32"/>
        </w:rPr>
        <w:t>6</w:t>
      </w:r>
      <w:r>
        <w:rPr>
          <w:rFonts w:eastAsia="仿宋_GB2312" w:cs="仿宋_GB2312" w:hint="eastAsia"/>
          <w:sz w:val="32"/>
          <w:szCs w:val="32"/>
        </w:rPr>
        <w:t>个项目涉及金额</w:t>
      </w:r>
      <w:r>
        <w:rPr>
          <w:rFonts w:eastAsia="仿宋_GB2312" w:cs="仿宋_GB2312" w:hint="eastAsia"/>
          <w:sz w:val="32"/>
          <w:szCs w:val="32"/>
        </w:rPr>
        <w:t>1353.92</w:t>
      </w:r>
      <w:r>
        <w:rPr>
          <w:rFonts w:eastAsia="仿宋_GB2312" w:cs="仿宋_GB2312" w:hint="eastAsia"/>
          <w:sz w:val="32"/>
          <w:szCs w:val="32"/>
        </w:rPr>
        <w:t>万元开展了事前绩效评估，对</w:t>
      </w:r>
      <w:r>
        <w:rPr>
          <w:rFonts w:eastAsia="仿宋_GB2312" w:cs="仿宋_GB2312" w:hint="eastAsia"/>
          <w:sz w:val="32"/>
          <w:szCs w:val="32"/>
        </w:rPr>
        <w:t>6</w:t>
      </w:r>
      <w:r>
        <w:rPr>
          <w:rFonts w:eastAsia="仿宋_GB2312" w:cs="仿宋_GB2312" w:hint="eastAsia"/>
          <w:sz w:val="32"/>
          <w:szCs w:val="32"/>
        </w:rPr>
        <w:t>个项目编制了绩效目标，预算执行过程中，选取</w:t>
      </w:r>
      <w:r>
        <w:rPr>
          <w:rFonts w:eastAsia="仿宋_GB2312" w:cs="仿宋_GB2312" w:hint="eastAsia"/>
          <w:sz w:val="32"/>
          <w:szCs w:val="32"/>
        </w:rPr>
        <w:t>6</w:t>
      </w:r>
      <w:r>
        <w:rPr>
          <w:rFonts w:eastAsia="仿宋_GB2312" w:cs="仿宋_GB2312" w:hint="eastAsia"/>
          <w:sz w:val="32"/>
          <w:szCs w:val="32"/>
        </w:rPr>
        <w:t>个项目开</w:t>
      </w:r>
      <w:r>
        <w:rPr>
          <w:rFonts w:eastAsia="仿宋_GB2312" w:cs="仿宋_GB2312" w:hint="eastAsia"/>
          <w:sz w:val="32"/>
          <w:szCs w:val="32"/>
        </w:rPr>
        <w:t>展绩效监控。</w:t>
      </w:r>
    </w:p>
    <w:p w:rsidR="00CC0EE2" w:rsidRDefault="00C5639B">
      <w:pPr>
        <w:spacing w:line="600" w:lineRule="exact"/>
        <w:ind w:firstLine="640"/>
        <w:rPr>
          <w:rFonts w:eastAsia="仿宋_GB2312" w:cs="仿宋_GB2312"/>
          <w:sz w:val="32"/>
          <w:szCs w:val="32"/>
        </w:rPr>
      </w:pPr>
      <w:r>
        <w:rPr>
          <w:rFonts w:eastAsia="仿宋_GB2312" w:cs="仿宋_GB2312" w:hint="eastAsia"/>
          <w:sz w:val="32"/>
          <w:szCs w:val="32"/>
        </w:rPr>
        <w:lastRenderedPageBreak/>
        <w:t>绩效自评报告详见附件。</w:t>
      </w: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C0EE2">
      <w:pPr>
        <w:pStyle w:val="a0"/>
        <w:spacing w:before="93"/>
        <w:rPr>
          <w:rFonts w:cs="仿宋_GB2312"/>
          <w:sz w:val="32"/>
          <w:szCs w:val="32"/>
        </w:rPr>
      </w:pPr>
    </w:p>
    <w:p w:rsidR="00CC0EE2" w:rsidRDefault="00C5639B">
      <w:pPr>
        <w:pStyle w:val="1"/>
        <w:jc w:val="center"/>
        <w:rPr>
          <w:rFonts w:ascii="方正小标宋简体" w:eastAsia="方正小标宋简体" w:hAnsi="方正小标宋简体" w:cs="方正小标宋简体"/>
          <w:b w:val="0"/>
          <w:bCs w:val="0"/>
        </w:rPr>
      </w:pPr>
      <w:bookmarkStart w:id="64" w:name="_Toc15377225"/>
      <w:bookmarkStart w:id="65" w:name="_Toc15396613"/>
      <w:bookmarkStart w:id="66" w:name="_Toc15417"/>
      <w:r>
        <w:rPr>
          <w:rFonts w:ascii="方正小标宋简体" w:eastAsia="方正小标宋简体" w:hAnsi="方正小标宋简体" w:cs="方正小标宋简体" w:hint="eastAsia"/>
          <w:b w:val="0"/>
          <w:bCs w:val="0"/>
        </w:rPr>
        <w:t>第三部分</w:t>
      </w:r>
      <w:r>
        <w:rPr>
          <w:rFonts w:ascii="方正小标宋简体" w:eastAsia="方正小标宋简体" w:hAnsi="方正小标宋简体" w:cs="方正小标宋简体" w:hint="eastAsia"/>
          <w:b w:val="0"/>
          <w:bCs w:val="0"/>
        </w:rPr>
        <w:t xml:space="preserve">  </w:t>
      </w:r>
      <w:r>
        <w:rPr>
          <w:rFonts w:ascii="方正小标宋简体" w:eastAsia="方正小标宋简体" w:hAnsi="方正小标宋简体" w:cs="方正小标宋简体" w:hint="eastAsia"/>
          <w:b w:val="0"/>
          <w:bCs w:val="0"/>
        </w:rPr>
        <w:t>名词解释</w:t>
      </w:r>
      <w:bookmarkEnd w:id="64"/>
      <w:bookmarkEnd w:id="65"/>
      <w:bookmarkEnd w:id="66"/>
    </w:p>
    <w:p w:rsidR="00CC0EE2" w:rsidRDefault="00CC0EE2">
      <w:pPr>
        <w:spacing w:line="600" w:lineRule="exact"/>
        <w:jc w:val="left"/>
        <w:rPr>
          <w:b/>
          <w:sz w:val="44"/>
          <w:szCs w:val="44"/>
        </w:rPr>
      </w:pPr>
    </w:p>
    <w:p w:rsidR="00CC0EE2" w:rsidRDefault="00C5639B">
      <w:pPr>
        <w:pStyle w:val="Default"/>
        <w:spacing w:line="560" w:lineRule="exact"/>
        <w:ind w:firstLineChars="200" w:firstLine="640"/>
        <w:rPr>
          <w:rFonts w:ascii="仿宋_GB2312" w:eastAsia="仿宋_GB2312"/>
          <w:color w:val="auto"/>
          <w:sz w:val="32"/>
          <w:szCs w:val="32"/>
        </w:rPr>
      </w:pPr>
      <w:bookmarkStart w:id="67" w:name="_Toc15377226"/>
      <w:r>
        <w:rPr>
          <w:rFonts w:ascii="仿宋_GB2312" w:eastAsia="仿宋_GB2312"/>
          <w:color w:val="auto"/>
          <w:sz w:val="32"/>
          <w:szCs w:val="32"/>
        </w:rPr>
        <w:t>1.</w:t>
      </w:r>
      <w:r>
        <w:rPr>
          <w:rFonts w:ascii="仿宋_GB2312" w:eastAsia="仿宋_GB2312" w:hint="eastAsia"/>
          <w:color w:val="auto"/>
          <w:sz w:val="32"/>
          <w:szCs w:val="32"/>
        </w:rPr>
        <w:t>财政拨款收入：指单位从同级财政</w:t>
      </w:r>
      <w:r>
        <w:rPr>
          <w:rFonts w:ascii="仿宋_GB2312" w:eastAsia="仿宋_GB2312" w:hint="eastAsia"/>
          <w:color w:val="auto"/>
          <w:sz w:val="32"/>
          <w:szCs w:val="32"/>
        </w:rPr>
        <w:t>单位</w:t>
      </w:r>
      <w:r>
        <w:rPr>
          <w:rFonts w:ascii="仿宋_GB2312" w:eastAsia="仿宋_GB2312" w:hint="eastAsia"/>
          <w:color w:val="auto"/>
          <w:sz w:val="32"/>
          <w:szCs w:val="32"/>
        </w:rPr>
        <w:t>取得的财政预算资金。</w:t>
      </w:r>
    </w:p>
    <w:p w:rsidR="00CC0EE2" w:rsidRDefault="00C5639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rsidR="00CC0EE2" w:rsidRDefault="00C5639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rsidR="00CC0EE2" w:rsidRDefault="00C5639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4.</w:t>
      </w:r>
      <w:r>
        <w:rPr>
          <w:rFonts w:ascii="仿宋_GB2312" w:eastAsia="仿宋_GB2312" w:hint="eastAsia"/>
          <w:color w:val="auto"/>
          <w:sz w:val="32"/>
          <w:szCs w:val="32"/>
        </w:rPr>
        <w:t>年末结转和结余：指单位按有关规定结转到下年或以后年度继续使用的资金。</w:t>
      </w:r>
    </w:p>
    <w:p w:rsidR="00CC0EE2" w:rsidRDefault="00C5639B">
      <w:pPr>
        <w:ind w:firstLineChars="200" w:firstLine="640"/>
        <w:rPr>
          <w:rFonts w:ascii="仿宋_GB2312" w:eastAsia="仿宋_GB2312"/>
          <w:sz w:val="32"/>
          <w:szCs w:val="32"/>
        </w:rPr>
      </w:pPr>
      <w:r>
        <w:rPr>
          <w:rFonts w:ascii="仿宋_GB2312" w:eastAsia="仿宋_GB2312" w:hint="eastAsia"/>
          <w:sz w:val="32"/>
          <w:szCs w:val="32"/>
        </w:rPr>
        <w:lastRenderedPageBreak/>
        <w:t>5</w:t>
      </w:r>
      <w:r>
        <w:rPr>
          <w:rFonts w:ascii="仿宋_GB2312" w:eastAsia="仿宋_GB2312"/>
          <w:sz w:val="32"/>
          <w:szCs w:val="32"/>
        </w:rPr>
        <w:t>.</w:t>
      </w:r>
      <w:r>
        <w:rPr>
          <w:rFonts w:ascii="仿宋_GB2312" w:eastAsia="仿宋_GB2312" w:hint="eastAsia"/>
          <w:sz w:val="32"/>
          <w:szCs w:val="32"/>
        </w:rPr>
        <w:t>社会保障和就业（类）人力资源和社会保障管理事务（款）其他人力资源和社会保障管理事务支出（项）：指反映其他用于人力资源和社会保障管理事务方面的支出。</w:t>
      </w:r>
    </w:p>
    <w:p w:rsidR="00CC0EE2" w:rsidRDefault="00C5639B">
      <w:pPr>
        <w:ind w:firstLineChars="200" w:firstLine="640"/>
        <w:rPr>
          <w:rFonts w:eastAsia="仿宋_GB2312"/>
          <w:color w:val="000000"/>
          <w:sz w:val="32"/>
          <w:szCs w:val="32"/>
        </w:rPr>
      </w:pPr>
      <w:r>
        <w:rPr>
          <w:rFonts w:eastAsia="仿宋_GB2312" w:hint="eastAsia"/>
          <w:color w:val="000000"/>
          <w:sz w:val="32"/>
          <w:szCs w:val="32"/>
        </w:rPr>
        <w:t>6</w:t>
      </w:r>
      <w:r>
        <w:rPr>
          <w:rFonts w:eastAsia="仿宋_GB2312"/>
          <w:color w:val="000000"/>
          <w:sz w:val="32"/>
          <w:szCs w:val="32"/>
        </w:rPr>
        <w:t>.</w:t>
      </w:r>
      <w:r>
        <w:rPr>
          <w:rFonts w:eastAsia="仿宋_GB2312" w:hint="eastAsia"/>
          <w:color w:val="000000"/>
          <w:sz w:val="32"/>
          <w:szCs w:val="32"/>
        </w:rPr>
        <w:t>社会保障和就业支出（类）行政事业单位养老支出（款）行政单位离退休（项）：</w:t>
      </w:r>
      <w:r>
        <w:rPr>
          <w:rFonts w:eastAsia="仿宋_GB2312" w:hint="eastAsia"/>
          <w:color w:val="0D0D0D" w:themeColor="text1" w:themeTint="F2"/>
          <w:sz w:val="32"/>
          <w:szCs w:val="32"/>
        </w:rPr>
        <w:t>指行政单位（包括实行公务员法管理的事业单位）开支的离退休经费。</w:t>
      </w:r>
    </w:p>
    <w:p w:rsidR="00CC0EE2" w:rsidRDefault="00C5639B">
      <w:pPr>
        <w:ind w:firstLineChars="200" w:firstLine="640"/>
        <w:rPr>
          <w:rFonts w:eastAsia="仿宋_GB2312"/>
          <w:color w:val="000000"/>
          <w:sz w:val="32"/>
          <w:szCs w:val="32"/>
        </w:rPr>
      </w:pPr>
      <w:r>
        <w:rPr>
          <w:rFonts w:eastAsia="仿宋_GB2312" w:hint="eastAsia"/>
          <w:color w:val="000000"/>
          <w:sz w:val="32"/>
          <w:szCs w:val="32"/>
        </w:rPr>
        <w:t>7</w:t>
      </w:r>
      <w:r>
        <w:rPr>
          <w:rFonts w:eastAsia="仿宋_GB2312"/>
          <w:color w:val="000000"/>
          <w:sz w:val="32"/>
          <w:szCs w:val="32"/>
        </w:rPr>
        <w:t>.</w:t>
      </w:r>
      <w:r>
        <w:rPr>
          <w:rFonts w:eastAsia="仿宋_GB2312" w:hint="eastAsia"/>
          <w:color w:val="000000"/>
          <w:sz w:val="32"/>
          <w:szCs w:val="32"/>
        </w:rPr>
        <w:t>社会保障和就业支出（类）行政事业单位养老支出（款）事业单位离退休（项）：</w:t>
      </w:r>
      <w:r>
        <w:rPr>
          <w:rFonts w:eastAsia="仿宋_GB2312" w:hint="eastAsia"/>
          <w:sz w:val="32"/>
          <w:szCs w:val="32"/>
        </w:rPr>
        <w:t>指事业单位开支的离退休经费。</w:t>
      </w:r>
    </w:p>
    <w:p w:rsidR="00CC0EE2" w:rsidRDefault="00C5639B">
      <w:pPr>
        <w:pStyle w:val="a0"/>
        <w:spacing w:before="93"/>
        <w:ind w:firstLineChars="200" w:firstLine="640"/>
      </w:pPr>
      <w:r>
        <w:rPr>
          <w:rFonts w:hint="eastAsia"/>
          <w:color w:val="000000"/>
          <w:sz w:val="32"/>
          <w:szCs w:val="32"/>
        </w:rPr>
        <w:t>8</w:t>
      </w:r>
      <w:r>
        <w:rPr>
          <w:color w:val="000000"/>
          <w:sz w:val="32"/>
          <w:szCs w:val="32"/>
        </w:rPr>
        <w:t>.</w:t>
      </w:r>
      <w:r>
        <w:rPr>
          <w:rFonts w:hint="eastAsia"/>
          <w:color w:val="000000"/>
          <w:sz w:val="32"/>
          <w:szCs w:val="32"/>
        </w:rPr>
        <w:t>社会保障和就业支出（类）行政事业单位养老支出（款）机关职业单位基本养老保险缴费支出（项）：指机关职工单位开支的基本养老保险缴费。</w:t>
      </w:r>
    </w:p>
    <w:p w:rsidR="00CC0EE2" w:rsidRDefault="00C5639B">
      <w:pPr>
        <w:ind w:firstLineChars="200" w:firstLine="640"/>
      </w:pPr>
      <w:r>
        <w:rPr>
          <w:rFonts w:ascii="仿宋_GB2312" w:eastAsia="仿宋_GB2312" w:hint="eastAsia"/>
          <w:sz w:val="32"/>
          <w:szCs w:val="32"/>
        </w:rPr>
        <w:t>9</w:t>
      </w:r>
      <w:r>
        <w:rPr>
          <w:rFonts w:ascii="仿宋_GB2312" w:eastAsia="仿宋_GB2312"/>
          <w:sz w:val="32"/>
          <w:szCs w:val="32"/>
        </w:rPr>
        <w:t>.</w:t>
      </w:r>
      <w:r>
        <w:rPr>
          <w:rFonts w:ascii="仿宋_GB2312" w:eastAsia="仿宋_GB2312" w:hint="eastAsia"/>
          <w:sz w:val="32"/>
          <w:szCs w:val="32"/>
        </w:rPr>
        <w:t>社会保障和就业（类）行政事业单位养老支出（款）机关事业单位职业年金缴费支出（项）：反映机关事业单位实施养老保险制度由单位实际缴纳的职业年金支出（含职业年金补记支出）。</w:t>
      </w:r>
    </w:p>
    <w:p w:rsidR="00CC0EE2" w:rsidRDefault="00C5639B">
      <w:pPr>
        <w:ind w:firstLineChars="200" w:firstLine="640"/>
        <w:rPr>
          <w:rFonts w:ascii="仿宋_GB2312" w:eastAsia="仿宋_GB2312"/>
          <w:sz w:val="32"/>
          <w:szCs w:val="32"/>
        </w:rPr>
      </w:pPr>
      <w:r>
        <w:rPr>
          <w:rFonts w:ascii="仿宋_GB2312" w:eastAsia="仿宋_GB2312" w:hint="eastAsia"/>
          <w:sz w:val="32"/>
          <w:szCs w:val="32"/>
        </w:rPr>
        <w:t>10.</w:t>
      </w:r>
      <w:r>
        <w:rPr>
          <w:rFonts w:ascii="仿宋_GB2312" w:eastAsia="仿宋_GB2312" w:hint="eastAsia"/>
          <w:sz w:val="32"/>
          <w:szCs w:val="32"/>
        </w:rPr>
        <w:t>卫生健康支出（类）行政事业单位医疗（款）行政单位医疗（项）：指反映财政</w:t>
      </w:r>
      <w:r>
        <w:rPr>
          <w:rFonts w:ascii="仿宋_GB2312" w:eastAsia="仿宋_GB2312" w:hint="eastAsia"/>
          <w:sz w:val="32"/>
          <w:szCs w:val="32"/>
        </w:rPr>
        <w:t>单位</w:t>
      </w:r>
      <w:r>
        <w:rPr>
          <w:rFonts w:ascii="仿宋_GB2312" w:eastAsia="仿宋_GB2312" w:hint="eastAsia"/>
          <w:sz w:val="32"/>
          <w:szCs w:val="32"/>
        </w:rPr>
        <w:t>安排的行政单位（包括实行公务员管理的事业单位）基本医疗保险缴费经费，未参加医疗保险的行政单位的公费医疗经费，按国家规定享受离休人员</w:t>
      </w:r>
      <w:r>
        <w:rPr>
          <w:rFonts w:ascii="仿宋_GB2312" w:eastAsia="仿宋_GB2312" w:hint="eastAsia"/>
          <w:sz w:val="32"/>
          <w:szCs w:val="32"/>
        </w:rPr>
        <w:t>、红军老战士待遇人员的医疗经费。</w:t>
      </w:r>
    </w:p>
    <w:p w:rsidR="00CC0EE2" w:rsidRDefault="00C5639B">
      <w:pPr>
        <w:pStyle w:val="a0"/>
        <w:spacing w:before="93"/>
        <w:ind w:firstLineChars="200" w:firstLine="640"/>
      </w:pPr>
      <w:r>
        <w:rPr>
          <w:sz w:val="32"/>
          <w:szCs w:val="32"/>
        </w:rPr>
        <w:t>1</w:t>
      </w:r>
      <w:r>
        <w:rPr>
          <w:rFonts w:hint="eastAsia"/>
          <w:sz w:val="32"/>
          <w:szCs w:val="32"/>
        </w:rPr>
        <w:t>1</w:t>
      </w:r>
      <w:r>
        <w:rPr>
          <w:sz w:val="32"/>
          <w:szCs w:val="32"/>
        </w:rPr>
        <w:t>.</w:t>
      </w:r>
      <w:r>
        <w:rPr>
          <w:rFonts w:hint="eastAsia"/>
          <w:sz w:val="32"/>
          <w:szCs w:val="32"/>
        </w:rPr>
        <w:t>卫生健康支出（类）行政事业单位医疗（款）事业单位医疗（项）：指反映财政</w:t>
      </w:r>
      <w:r>
        <w:rPr>
          <w:rFonts w:hint="eastAsia"/>
          <w:sz w:val="32"/>
          <w:szCs w:val="32"/>
        </w:rPr>
        <w:t>单位</w:t>
      </w:r>
      <w:r>
        <w:rPr>
          <w:rFonts w:hint="eastAsia"/>
          <w:sz w:val="32"/>
          <w:szCs w:val="32"/>
        </w:rPr>
        <w:t>安排的事业单位基本医疗保</w:t>
      </w:r>
      <w:r>
        <w:rPr>
          <w:rFonts w:hint="eastAsia"/>
          <w:sz w:val="32"/>
          <w:szCs w:val="32"/>
        </w:rPr>
        <w:lastRenderedPageBreak/>
        <w:t>险缴费经费，未参加医疗保险的事业单位的公费医疗经费，按国家规定享受离休人员待遇人员的医疗经费。</w:t>
      </w:r>
    </w:p>
    <w:p w:rsidR="00CC0EE2" w:rsidRDefault="00C5639B">
      <w:pPr>
        <w:pStyle w:val="a0"/>
        <w:spacing w:before="93"/>
        <w:ind w:firstLineChars="200" w:firstLine="640"/>
        <w:rPr>
          <w:sz w:val="32"/>
          <w:szCs w:val="32"/>
        </w:rPr>
      </w:pPr>
      <w:r>
        <w:rPr>
          <w:rFonts w:hint="eastAsia"/>
          <w:sz w:val="32"/>
          <w:szCs w:val="32"/>
        </w:rPr>
        <w:t>12.</w:t>
      </w:r>
      <w:r>
        <w:rPr>
          <w:rFonts w:hint="eastAsia"/>
          <w:sz w:val="32"/>
          <w:szCs w:val="32"/>
        </w:rPr>
        <w:t>卫生健康支出（类）行政事业单位医疗（款）公务员医疗补助（项）：指反映财政</w:t>
      </w:r>
      <w:r>
        <w:rPr>
          <w:rFonts w:hint="eastAsia"/>
          <w:sz w:val="32"/>
          <w:szCs w:val="32"/>
        </w:rPr>
        <w:t>单位</w:t>
      </w:r>
      <w:r>
        <w:rPr>
          <w:rFonts w:hint="eastAsia"/>
          <w:sz w:val="32"/>
          <w:szCs w:val="32"/>
        </w:rPr>
        <w:t>安排的公务员医疗补助经费。</w:t>
      </w:r>
    </w:p>
    <w:p w:rsidR="00CC0EE2" w:rsidRDefault="00C5639B">
      <w:pPr>
        <w:pStyle w:val="a0"/>
        <w:spacing w:before="93"/>
        <w:ind w:firstLineChars="200" w:firstLine="640"/>
        <w:rPr>
          <w:sz w:val="32"/>
          <w:szCs w:val="32"/>
        </w:rPr>
      </w:pPr>
      <w:r>
        <w:rPr>
          <w:rFonts w:hint="eastAsia"/>
          <w:sz w:val="32"/>
          <w:szCs w:val="32"/>
        </w:rPr>
        <w:t>13.</w:t>
      </w:r>
      <w:r>
        <w:rPr>
          <w:rFonts w:hint="eastAsia"/>
          <w:sz w:val="32"/>
          <w:szCs w:val="32"/>
        </w:rPr>
        <w:t>卫生健康支出（类）行政事业单位医疗（款）其他行政事业单位医疗支出（项）：指反映其他用于行政事业单位医疗方面的支出。</w:t>
      </w:r>
    </w:p>
    <w:p w:rsidR="00CC0EE2" w:rsidRDefault="00C5639B">
      <w:pPr>
        <w:ind w:firstLineChars="200" w:firstLine="640"/>
        <w:rPr>
          <w:rFonts w:eastAsia="仿宋_GB2312"/>
          <w:color w:val="000000"/>
          <w:sz w:val="32"/>
          <w:szCs w:val="32"/>
        </w:rPr>
      </w:pPr>
      <w:r>
        <w:rPr>
          <w:rFonts w:eastAsia="仿宋_GB2312" w:hint="eastAsia"/>
          <w:color w:val="000000"/>
          <w:sz w:val="32"/>
          <w:szCs w:val="32"/>
        </w:rPr>
        <w:t>14</w:t>
      </w:r>
      <w:r>
        <w:rPr>
          <w:rFonts w:eastAsia="仿宋_GB2312"/>
          <w:color w:val="000000"/>
          <w:sz w:val="32"/>
          <w:szCs w:val="32"/>
        </w:rPr>
        <w:t>.</w:t>
      </w:r>
      <w:r>
        <w:rPr>
          <w:rFonts w:eastAsia="仿宋_GB2312" w:hint="eastAsia"/>
          <w:color w:val="000000"/>
          <w:sz w:val="32"/>
          <w:szCs w:val="32"/>
        </w:rPr>
        <w:t>交通运输支出（类）公路水路运输（款）行政</w:t>
      </w:r>
      <w:r>
        <w:rPr>
          <w:rFonts w:eastAsia="仿宋_GB2312" w:hint="eastAsia"/>
          <w:color w:val="000000"/>
          <w:sz w:val="32"/>
          <w:szCs w:val="32"/>
        </w:rPr>
        <w:t>运行（项）：指行政单位（包括实行公务员法管理的事业单位）的基本支出。</w:t>
      </w:r>
    </w:p>
    <w:p w:rsidR="00CC0EE2" w:rsidRDefault="00C5639B">
      <w:pPr>
        <w:pStyle w:val="a0"/>
        <w:spacing w:before="93"/>
        <w:ind w:firstLineChars="200" w:firstLine="640"/>
        <w:rPr>
          <w:sz w:val="32"/>
          <w:szCs w:val="32"/>
        </w:rPr>
      </w:pPr>
      <w:r>
        <w:rPr>
          <w:rFonts w:hint="eastAsia"/>
          <w:sz w:val="32"/>
          <w:szCs w:val="32"/>
        </w:rPr>
        <w:t>15</w:t>
      </w:r>
      <w:r>
        <w:rPr>
          <w:sz w:val="32"/>
          <w:szCs w:val="32"/>
        </w:rPr>
        <w:t>.</w:t>
      </w:r>
      <w:r>
        <w:rPr>
          <w:rFonts w:hint="eastAsia"/>
          <w:sz w:val="32"/>
          <w:szCs w:val="32"/>
        </w:rPr>
        <w:t>交通运输支出（类）公路水路运输（款）机关服务（项）：指行政单位（包括实行公务员法管理的事业单位）提供后勤服务的各类后勤服务中心、医务室等附属事业单位的支出。</w:t>
      </w:r>
    </w:p>
    <w:p w:rsidR="00CC0EE2" w:rsidRDefault="00C5639B">
      <w:pPr>
        <w:pStyle w:val="a0"/>
        <w:spacing w:before="93"/>
        <w:ind w:firstLineChars="200" w:firstLine="640"/>
        <w:rPr>
          <w:sz w:val="32"/>
          <w:szCs w:val="32"/>
        </w:rPr>
      </w:pPr>
      <w:r>
        <w:rPr>
          <w:rFonts w:hint="eastAsia"/>
          <w:sz w:val="32"/>
          <w:szCs w:val="32"/>
        </w:rPr>
        <w:t>16</w:t>
      </w:r>
      <w:r>
        <w:rPr>
          <w:sz w:val="32"/>
          <w:szCs w:val="32"/>
        </w:rPr>
        <w:t>.</w:t>
      </w:r>
      <w:r>
        <w:rPr>
          <w:rFonts w:hint="eastAsia"/>
          <w:sz w:val="32"/>
          <w:szCs w:val="32"/>
        </w:rPr>
        <w:t>交通运输支出（类）公路水路运输（款）公路养护（项）：指公路养护支出。</w:t>
      </w:r>
    </w:p>
    <w:p w:rsidR="00CC0EE2" w:rsidRDefault="00C5639B">
      <w:pPr>
        <w:ind w:firstLineChars="200" w:firstLine="640"/>
        <w:rPr>
          <w:rFonts w:eastAsia="仿宋_GB2312"/>
          <w:color w:val="000000"/>
          <w:sz w:val="32"/>
          <w:szCs w:val="32"/>
        </w:rPr>
      </w:pPr>
      <w:r>
        <w:rPr>
          <w:rFonts w:eastAsia="仿宋_GB2312" w:hint="eastAsia"/>
          <w:sz w:val="32"/>
          <w:szCs w:val="32"/>
        </w:rPr>
        <w:t>17.</w:t>
      </w:r>
      <w:r>
        <w:rPr>
          <w:rFonts w:eastAsia="仿宋_GB2312" w:hint="eastAsia"/>
          <w:sz w:val="32"/>
          <w:szCs w:val="32"/>
        </w:rPr>
        <w:t>交通运输支出</w:t>
      </w:r>
      <w:r>
        <w:rPr>
          <w:rFonts w:eastAsia="仿宋_GB2312" w:hint="eastAsia"/>
          <w:color w:val="000000"/>
          <w:sz w:val="32"/>
          <w:szCs w:val="32"/>
        </w:rPr>
        <w:t>（类）其他交通运输支出（款）其他公路水路运输支出（项）：指其他用于公路水路运输方面的支出。</w:t>
      </w:r>
    </w:p>
    <w:p w:rsidR="00CC0EE2" w:rsidRDefault="00C5639B">
      <w:pPr>
        <w:ind w:firstLineChars="200" w:firstLine="640"/>
        <w:rPr>
          <w:rFonts w:eastAsia="仿宋_GB2312"/>
          <w:color w:val="000000"/>
          <w:sz w:val="32"/>
          <w:szCs w:val="32"/>
        </w:rPr>
      </w:pPr>
      <w:r>
        <w:rPr>
          <w:rFonts w:eastAsia="仿宋_GB2312" w:hint="eastAsia"/>
          <w:color w:val="000000"/>
          <w:sz w:val="32"/>
          <w:szCs w:val="32"/>
        </w:rPr>
        <w:t>18.</w:t>
      </w:r>
      <w:r>
        <w:rPr>
          <w:rFonts w:eastAsia="仿宋_GB2312" w:hint="eastAsia"/>
          <w:color w:val="000000"/>
          <w:sz w:val="32"/>
          <w:szCs w:val="32"/>
        </w:rPr>
        <w:t>住房保障支出（类）住房改革支出（款）住房公积金（项）：指行政事业单位按人力资源和社会保障部、财政部规定的基本工资和津贴补贴以及规定比例为职工缴纳的住房</w:t>
      </w:r>
      <w:r>
        <w:rPr>
          <w:rFonts w:eastAsia="仿宋_GB2312" w:hint="eastAsia"/>
          <w:color w:val="000000"/>
          <w:sz w:val="32"/>
          <w:szCs w:val="32"/>
        </w:rPr>
        <w:lastRenderedPageBreak/>
        <w:t>公积金。</w:t>
      </w:r>
    </w:p>
    <w:p w:rsidR="00CC0EE2" w:rsidRDefault="00C5639B">
      <w:pPr>
        <w:ind w:firstLineChars="200" w:firstLine="640"/>
        <w:rPr>
          <w:rFonts w:ascii="仿宋_GB2312" w:eastAsia="仿宋_GB2312"/>
          <w:sz w:val="32"/>
          <w:szCs w:val="32"/>
        </w:rPr>
      </w:pPr>
      <w:r>
        <w:rPr>
          <w:rFonts w:ascii="仿宋_GB2312" w:eastAsia="仿宋_GB2312" w:hint="eastAsia"/>
          <w:sz w:val="32"/>
          <w:szCs w:val="32"/>
        </w:rPr>
        <w:t>19</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rsidR="00CC0EE2" w:rsidRDefault="00C5639B">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rsidR="00CC0EE2" w:rsidRDefault="00C5639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21</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w:t>
      </w:r>
      <w:r>
        <w:rPr>
          <w:rFonts w:ascii="仿宋_GB2312" w:eastAsia="仿宋_GB2312" w:hint="eastAsia"/>
          <w:color w:val="auto"/>
          <w:sz w:val="32"/>
          <w:szCs w:val="32"/>
        </w:rPr>
        <w:t>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CC0EE2" w:rsidRDefault="00C5639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22</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CC0EE2" w:rsidRDefault="00C5639B">
      <w:pPr>
        <w:spacing w:line="600" w:lineRule="exact"/>
        <w:jc w:val="center"/>
        <w:outlineLvl w:val="0"/>
        <w:rPr>
          <w:rStyle w:val="10"/>
          <w:rFonts w:eastAsia="黑体"/>
          <w:b w:val="0"/>
        </w:rPr>
      </w:pPr>
      <w:r>
        <w:rPr>
          <w:rFonts w:eastAsia="仿宋_GB2312" w:cs="仿宋_GB2312" w:hint="eastAsia"/>
          <w:sz w:val="32"/>
          <w:szCs w:val="32"/>
        </w:rPr>
        <w:br w:type="page"/>
      </w:r>
      <w:bookmarkStart w:id="68" w:name="_Toc19847"/>
      <w:bookmarkStart w:id="69" w:name="_Toc15396614"/>
      <w:r>
        <w:rPr>
          <w:rFonts w:ascii="方正小标宋简体" w:eastAsia="方正小标宋简体" w:hAnsi="方正小标宋简体" w:cs="方正小标宋简体" w:hint="eastAsia"/>
          <w:kern w:val="44"/>
          <w:sz w:val="44"/>
          <w:szCs w:val="44"/>
        </w:rPr>
        <w:lastRenderedPageBreak/>
        <w:t>第四部分</w:t>
      </w:r>
      <w:r>
        <w:rPr>
          <w:rFonts w:ascii="方正小标宋简体" w:eastAsia="方正小标宋简体" w:hAnsi="方正小标宋简体" w:cs="方正小标宋简体" w:hint="eastAsia"/>
          <w:kern w:val="44"/>
          <w:sz w:val="44"/>
          <w:szCs w:val="44"/>
        </w:rPr>
        <w:t xml:space="preserve">  </w:t>
      </w:r>
      <w:r>
        <w:rPr>
          <w:rFonts w:ascii="方正小标宋简体" w:eastAsia="方正小标宋简体" w:hAnsi="方正小标宋简体" w:cs="方正小标宋简体" w:hint="eastAsia"/>
          <w:kern w:val="44"/>
          <w:sz w:val="44"/>
          <w:szCs w:val="44"/>
        </w:rPr>
        <w:t>附件</w:t>
      </w:r>
      <w:bookmarkEnd w:id="68"/>
      <w:bookmarkEnd w:id="69"/>
    </w:p>
    <w:p w:rsidR="00CC0EE2" w:rsidRDefault="00CC0EE2">
      <w:pPr>
        <w:pStyle w:val="21"/>
        <w:spacing w:line="560" w:lineRule="exact"/>
        <w:ind w:leftChars="0" w:left="0" w:firstLine="640"/>
        <w:rPr>
          <w:rFonts w:ascii="Times New Roman" w:eastAsia="仿宋_GB2312" w:cs="仿宋_GB2312"/>
          <w:bCs/>
          <w:kern w:val="0"/>
          <w:sz w:val="32"/>
        </w:rPr>
      </w:pPr>
    </w:p>
    <w:p w:rsidR="00CC0EE2" w:rsidRDefault="00C5639B">
      <w:pPr>
        <w:pStyle w:val="21"/>
        <w:spacing w:line="560" w:lineRule="exact"/>
        <w:ind w:leftChars="0" w:left="0" w:firstLine="640"/>
        <w:rPr>
          <w:rFonts w:ascii="Times New Roman" w:eastAsia="仿宋_GB2312" w:cs="仿宋_GB2312"/>
          <w:bCs/>
          <w:kern w:val="0"/>
          <w:sz w:val="32"/>
        </w:rPr>
      </w:pPr>
      <w:r>
        <w:rPr>
          <w:rFonts w:ascii="Times New Roman" w:eastAsia="仿宋_GB2312" w:cs="仿宋_GB2312" w:hint="eastAsia"/>
          <w:bCs/>
          <w:kern w:val="0"/>
          <w:sz w:val="32"/>
        </w:rPr>
        <w:t>单位</w:t>
      </w:r>
      <w:r>
        <w:rPr>
          <w:rFonts w:ascii="Times New Roman" w:eastAsia="仿宋_GB2312" w:cs="仿宋_GB2312" w:hint="eastAsia"/>
          <w:bCs/>
          <w:kern w:val="0"/>
          <w:sz w:val="32"/>
        </w:rPr>
        <w:t>预算项目支出绩效自评表（</w:t>
      </w:r>
      <w:r>
        <w:rPr>
          <w:rFonts w:ascii="Times New Roman" w:eastAsia="仿宋_GB2312" w:cs="仿宋_GB2312" w:hint="eastAsia"/>
          <w:bCs/>
          <w:kern w:val="0"/>
          <w:sz w:val="32"/>
        </w:rPr>
        <w:t>2025</w:t>
      </w:r>
      <w:r>
        <w:rPr>
          <w:rFonts w:ascii="Times New Roman" w:eastAsia="仿宋_GB2312" w:cs="仿宋_GB2312" w:hint="eastAsia"/>
          <w:bCs/>
          <w:kern w:val="0"/>
          <w:sz w:val="32"/>
        </w:rPr>
        <w:t>年度）详见附件</w:t>
      </w:r>
      <w:r>
        <w:rPr>
          <w:rFonts w:ascii="Times New Roman" w:eastAsia="仿宋_GB2312" w:cs="仿宋_GB2312" w:hint="eastAsia"/>
          <w:bCs/>
          <w:kern w:val="0"/>
          <w:sz w:val="32"/>
        </w:rPr>
        <w:t>1</w:t>
      </w:r>
      <w:r>
        <w:rPr>
          <w:rFonts w:ascii="Times New Roman" w:eastAsia="仿宋_GB2312" w:cs="仿宋_GB2312" w:hint="eastAsia"/>
          <w:bCs/>
          <w:kern w:val="0"/>
          <w:sz w:val="32"/>
        </w:rPr>
        <w:t>。</w:t>
      </w:r>
    </w:p>
    <w:p w:rsidR="00CC0EE2" w:rsidRDefault="00CC0EE2">
      <w:pPr>
        <w:spacing w:line="572" w:lineRule="exact"/>
        <w:jc w:val="left"/>
        <w:rPr>
          <w:rFonts w:eastAsia="黑体" w:cs="黑体"/>
          <w:color w:val="FF0000"/>
          <w:sz w:val="32"/>
          <w:szCs w:val="32"/>
        </w:rPr>
      </w:pPr>
    </w:p>
    <w:p w:rsidR="00CC0EE2" w:rsidRDefault="00CC0EE2">
      <w:pPr>
        <w:pStyle w:val="ae"/>
      </w:pPr>
    </w:p>
    <w:p w:rsidR="00CC0EE2" w:rsidRDefault="00C5639B">
      <w:pPr>
        <w:spacing w:line="578" w:lineRule="exact"/>
        <w:ind w:firstLine="640"/>
        <w:rPr>
          <w:rFonts w:eastAsia="仿宋_GB2312" w:cs="仿宋_GB2312"/>
          <w:kern w:val="0"/>
          <w:sz w:val="32"/>
          <w:szCs w:val="32"/>
        </w:rPr>
      </w:pPr>
      <w:bookmarkStart w:id="70" w:name="_Toc15396618"/>
      <w:r>
        <w:rPr>
          <w:rFonts w:eastAsia="仿宋_GB2312" w:cs="仿宋_GB2312" w:hint="eastAsia"/>
          <w:kern w:val="0"/>
          <w:sz w:val="32"/>
          <w:szCs w:val="32"/>
        </w:rPr>
        <w:br w:type="page"/>
      </w:r>
    </w:p>
    <w:p w:rsidR="00CC0EE2" w:rsidRDefault="00C5639B">
      <w:pPr>
        <w:pStyle w:val="1"/>
        <w:jc w:val="center"/>
        <w:rPr>
          <w:rFonts w:ascii="方正小标宋简体" w:eastAsia="方正小标宋简体" w:hAnsi="方正小标宋简体" w:cs="方正小标宋简体"/>
          <w:b w:val="0"/>
          <w:bCs w:val="0"/>
        </w:rPr>
      </w:pPr>
      <w:bookmarkStart w:id="71" w:name="_Toc25916"/>
      <w:r>
        <w:rPr>
          <w:rFonts w:ascii="方正小标宋简体" w:eastAsia="方正小标宋简体" w:hAnsi="方正小标宋简体" w:cs="方正小标宋简体" w:hint="eastAsia"/>
          <w:b w:val="0"/>
          <w:bCs w:val="0"/>
        </w:rPr>
        <w:lastRenderedPageBreak/>
        <w:t>第五部分</w:t>
      </w:r>
      <w:r>
        <w:rPr>
          <w:rFonts w:ascii="方正小标宋简体" w:eastAsia="方正小标宋简体" w:hAnsi="方正小标宋简体" w:cs="方正小标宋简体" w:hint="eastAsia"/>
          <w:b w:val="0"/>
          <w:bCs w:val="0"/>
        </w:rPr>
        <w:t xml:space="preserve"> </w:t>
      </w:r>
      <w:r>
        <w:rPr>
          <w:rFonts w:ascii="方正小标宋简体" w:eastAsia="方正小标宋简体" w:hAnsi="方正小标宋简体" w:cs="方正小标宋简体" w:hint="eastAsia"/>
          <w:b w:val="0"/>
          <w:bCs w:val="0"/>
        </w:rPr>
        <w:t>附表</w:t>
      </w:r>
      <w:bookmarkStart w:id="72" w:name="_Toc15396619"/>
      <w:bookmarkEnd w:id="67"/>
      <w:bookmarkEnd w:id="70"/>
      <w:bookmarkEnd w:id="71"/>
    </w:p>
    <w:p w:rsidR="00CC0EE2" w:rsidRDefault="00CC0EE2">
      <w:pPr>
        <w:pStyle w:val="23"/>
        <w:adjustRightInd w:val="0"/>
        <w:snapToGrid w:val="0"/>
        <w:spacing w:line="560" w:lineRule="exact"/>
        <w:jc w:val="left"/>
        <w:rPr>
          <w:rFonts w:eastAsia="仿宋_GB2312" w:cs="仿宋_GB2312"/>
          <w:szCs w:val="32"/>
        </w:rPr>
      </w:pPr>
    </w:p>
    <w:p w:rsidR="00CC0EE2" w:rsidRDefault="00C5639B">
      <w:pPr>
        <w:pStyle w:val="2"/>
        <w:numPr>
          <w:ilvl w:val="0"/>
          <w:numId w:val="5"/>
        </w:numPr>
        <w:ind w:firstLineChars="200" w:firstLine="640"/>
        <w:rPr>
          <w:rFonts w:ascii="黑体" w:eastAsia="黑体" w:hAnsi="黑体" w:cs="黑体"/>
          <w:b w:val="0"/>
          <w:bCs w:val="0"/>
        </w:rPr>
      </w:pPr>
      <w:bookmarkStart w:id="73" w:name="_Toc20469"/>
      <w:r>
        <w:rPr>
          <w:rFonts w:ascii="黑体" w:eastAsia="黑体" w:hAnsi="黑体" w:cs="黑体" w:hint="eastAsia"/>
          <w:b w:val="0"/>
          <w:bCs w:val="0"/>
        </w:rPr>
        <w:t>收入支出决算总表</w:t>
      </w:r>
      <w:bookmarkEnd w:id="72"/>
      <w:bookmarkEnd w:id="73"/>
    </w:p>
    <w:p w:rsidR="00CC0EE2" w:rsidRDefault="00C5639B">
      <w:pPr>
        <w:pStyle w:val="2"/>
        <w:numPr>
          <w:ilvl w:val="0"/>
          <w:numId w:val="5"/>
        </w:numPr>
        <w:ind w:firstLineChars="200" w:firstLine="640"/>
        <w:rPr>
          <w:rFonts w:ascii="黑体" w:eastAsia="黑体" w:hAnsi="黑体" w:cs="黑体"/>
          <w:b w:val="0"/>
          <w:bCs w:val="0"/>
        </w:rPr>
      </w:pPr>
      <w:bookmarkStart w:id="74" w:name="_Toc31793"/>
      <w:bookmarkStart w:id="75" w:name="_Toc15396620"/>
      <w:r>
        <w:rPr>
          <w:rFonts w:ascii="黑体" w:eastAsia="黑体" w:hAnsi="黑体" w:cs="黑体" w:hint="eastAsia"/>
          <w:b w:val="0"/>
          <w:bCs w:val="0"/>
        </w:rPr>
        <w:t>收入决算表</w:t>
      </w:r>
      <w:bookmarkEnd w:id="74"/>
      <w:bookmarkEnd w:id="75"/>
    </w:p>
    <w:p w:rsidR="00CC0EE2" w:rsidRDefault="00C5639B">
      <w:pPr>
        <w:pStyle w:val="2"/>
        <w:numPr>
          <w:ilvl w:val="0"/>
          <w:numId w:val="5"/>
        </w:numPr>
        <w:ind w:firstLineChars="200" w:firstLine="640"/>
        <w:rPr>
          <w:rFonts w:ascii="黑体" w:eastAsia="黑体" w:hAnsi="黑体" w:cs="黑体"/>
          <w:b w:val="0"/>
          <w:bCs w:val="0"/>
        </w:rPr>
      </w:pPr>
      <w:bookmarkStart w:id="76" w:name="_Toc27762"/>
      <w:bookmarkStart w:id="77" w:name="_Toc15396621"/>
      <w:r>
        <w:rPr>
          <w:rFonts w:ascii="黑体" w:eastAsia="黑体" w:hAnsi="黑体" w:cs="黑体" w:hint="eastAsia"/>
          <w:b w:val="0"/>
          <w:bCs w:val="0"/>
        </w:rPr>
        <w:t>支出决算表</w:t>
      </w:r>
      <w:bookmarkEnd w:id="76"/>
      <w:bookmarkEnd w:id="77"/>
    </w:p>
    <w:p w:rsidR="00CC0EE2" w:rsidRDefault="00C5639B">
      <w:pPr>
        <w:pStyle w:val="2"/>
        <w:numPr>
          <w:ilvl w:val="0"/>
          <w:numId w:val="5"/>
        </w:numPr>
        <w:ind w:firstLineChars="200" w:firstLine="640"/>
        <w:rPr>
          <w:rFonts w:ascii="黑体" w:eastAsia="黑体" w:hAnsi="黑体" w:cs="黑体"/>
          <w:b w:val="0"/>
          <w:bCs w:val="0"/>
        </w:rPr>
      </w:pPr>
      <w:bookmarkStart w:id="78" w:name="_Toc15396622"/>
      <w:bookmarkStart w:id="79" w:name="_Toc20030"/>
      <w:r>
        <w:rPr>
          <w:rFonts w:ascii="黑体" w:eastAsia="黑体" w:hAnsi="黑体" w:cs="黑体" w:hint="eastAsia"/>
          <w:b w:val="0"/>
          <w:bCs w:val="0"/>
        </w:rPr>
        <w:t>财政拨款收入支出决算总表</w:t>
      </w:r>
      <w:bookmarkEnd w:id="78"/>
      <w:bookmarkEnd w:id="79"/>
    </w:p>
    <w:p w:rsidR="00CC0EE2" w:rsidRDefault="00C5639B">
      <w:pPr>
        <w:pStyle w:val="2"/>
        <w:numPr>
          <w:ilvl w:val="0"/>
          <w:numId w:val="5"/>
        </w:numPr>
        <w:ind w:firstLineChars="200" w:firstLine="640"/>
        <w:rPr>
          <w:rFonts w:ascii="黑体" w:eastAsia="黑体" w:hAnsi="黑体" w:cs="黑体"/>
          <w:b w:val="0"/>
          <w:bCs w:val="0"/>
        </w:rPr>
      </w:pPr>
      <w:bookmarkStart w:id="80" w:name="_Toc7389"/>
      <w:bookmarkStart w:id="81" w:name="_Toc15396623"/>
      <w:r>
        <w:rPr>
          <w:rFonts w:ascii="黑体" w:eastAsia="黑体" w:hAnsi="黑体" w:cs="黑体" w:hint="eastAsia"/>
          <w:b w:val="0"/>
          <w:bCs w:val="0"/>
        </w:rPr>
        <w:t>财政拨款支出决算明细表</w:t>
      </w:r>
      <w:bookmarkStart w:id="82" w:name="_Toc15396624"/>
      <w:bookmarkEnd w:id="80"/>
      <w:bookmarkEnd w:id="81"/>
    </w:p>
    <w:p w:rsidR="00CC0EE2" w:rsidRDefault="00C5639B">
      <w:pPr>
        <w:pStyle w:val="2"/>
        <w:numPr>
          <w:ilvl w:val="0"/>
          <w:numId w:val="5"/>
        </w:numPr>
        <w:ind w:firstLineChars="200" w:firstLine="640"/>
        <w:rPr>
          <w:rFonts w:ascii="黑体" w:eastAsia="黑体" w:hAnsi="黑体" w:cs="黑体"/>
          <w:b w:val="0"/>
          <w:bCs w:val="0"/>
        </w:rPr>
      </w:pPr>
      <w:bookmarkStart w:id="83" w:name="_Toc29160"/>
      <w:r>
        <w:rPr>
          <w:rFonts w:ascii="黑体" w:eastAsia="黑体" w:hAnsi="黑体" w:cs="黑体" w:hint="eastAsia"/>
          <w:b w:val="0"/>
          <w:bCs w:val="0"/>
        </w:rPr>
        <w:t>一般公共预算财政拨款支出决算表</w:t>
      </w:r>
      <w:bookmarkEnd w:id="82"/>
      <w:bookmarkEnd w:id="83"/>
    </w:p>
    <w:p w:rsidR="00CC0EE2" w:rsidRDefault="00C5639B">
      <w:pPr>
        <w:pStyle w:val="2"/>
        <w:numPr>
          <w:ilvl w:val="0"/>
          <w:numId w:val="5"/>
        </w:numPr>
        <w:ind w:firstLineChars="200" w:firstLine="640"/>
        <w:rPr>
          <w:rFonts w:ascii="黑体" w:eastAsia="黑体" w:hAnsi="黑体" w:cs="黑体"/>
          <w:b w:val="0"/>
          <w:bCs w:val="0"/>
        </w:rPr>
      </w:pPr>
      <w:bookmarkStart w:id="84" w:name="_Toc15396625"/>
      <w:bookmarkStart w:id="85" w:name="_Toc6462"/>
      <w:r>
        <w:rPr>
          <w:rFonts w:ascii="黑体" w:eastAsia="黑体" w:hAnsi="黑体" w:cs="黑体" w:hint="eastAsia"/>
          <w:b w:val="0"/>
          <w:bCs w:val="0"/>
        </w:rPr>
        <w:t>一般公共预算财政拨款支出决算明细表</w:t>
      </w:r>
      <w:bookmarkEnd w:id="84"/>
      <w:bookmarkEnd w:id="85"/>
    </w:p>
    <w:p w:rsidR="00CC0EE2" w:rsidRDefault="00C5639B">
      <w:pPr>
        <w:pStyle w:val="2"/>
        <w:numPr>
          <w:ilvl w:val="0"/>
          <w:numId w:val="5"/>
        </w:numPr>
        <w:ind w:firstLineChars="200" w:firstLine="640"/>
        <w:rPr>
          <w:rFonts w:ascii="黑体" w:eastAsia="黑体" w:hAnsi="黑体" w:cs="黑体"/>
          <w:b w:val="0"/>
          <w:bCs w:val="0"/>
        </w:rPr>
      </w:pPr>
      <w:bookmarkStart w:id="86" w:name="_Toc15396626"/>
      <w:bookmarkStart w:id="87" w:name="_Toc13387"/>
      <w:r>
        <w:rPr>
          <w:rFonts w:ascii="黑体" w:eastAsia="黑体" w:hAnsi="黑体" w:cs="黑体" w:hint="eastAsia"/>
          <w:b w:val="0"/>
          <w:bCs w:val="0"/>
        </w:rPr>
        <w:t>一般公共预算财政拨款基本支出决算表</w:t>
      </w:r>
      <w:bookmarkEnd w:id="86"/>
      <w:bookmarkEnd w:id="87"/>
    </w:p>
    <w:p w:rsidR="00CC0EE2" w:rsidRDefault="00C5639B">
      <w:pPr>
        <w:pStyle w:val="2"/>
        <w:numPr>
          <w:ilvl w:val="0"/>
          <w:numId w:val="5"/>
        </w:numPr>
        <w:ind w:firstLineChars="200" w:firstLine="640"/>
        <w:rPr>
          <w:rFonts w:ascii="黑体" w:eastAsia="黑体" w:hAnsi="黑体" w:cs="黑体"/>
          <w:b w:val="0"/>
          <w:bCs w:val="0"/>
        </w:rPr>
      </w:pPr>
      <w:bookmarkStart w:id="88" w:name="_Toc15396627"/>
      <w:bookmarkStart w:id="89" w:name="_Toc25260"/>
      <w:r>
        <w:rPr>
          <w:rFonts w:ascii="黑体" w:eastAsia="黑体" w:hAnsi="黑体" w:cs="黑体" w:hint="eastAsia"/>
          <w:b w:val="0"/>
          <w:bCs w:val="0"/>
        </w:rPr>
        <w:t>一般公共预算财政拨款项目支出决算表</w:t>
      </w:r>
      <w:bookmarkEnd w:id="88"/>
      <w:bookmarkEnd w:id="89"/>
    </w:p>
    <w:p w:rsidR="00CC0EE2" w:rsidRDefault="00C5639B">
      <w:pPr>
        <w:pStyle w:val="2"/>
        <w:numPr>
          <w:ilvl w:val="0"/>
          <w:numId w:val="5"/>
        </w:numPr>
        <w:ind w:firstLineChars="200" w:firstLine="640"/>
        <w:rPr>
          <w:rFonts w:ascii="黑体" w:eastAsia="黑体" w:hAnsi="黑体" w:cs="黑体"/>
          <w:b w:val="0"/>
          <w:bCs w:val="0"/>
        </w:rPr>
      </w:pPr>
      <w:bookmarkStart w:id="90" w:name="_Toc222"/>
      <w:r>
        <w:rPr>
          <w:rFonts w:ascii="黑体" w:eastAsia="黑体" w:hAnsi="黑体" w:cs="黑体" w:hint="eastAsia"/>
          <w:b w:val="0"/>
          <w:bCs w:val="0"/>
        </w:rPr>
        <w:t>政府性基金预算财政拨款收入支出决算表</w:t>
      </w:r>
      <w:bookmarkEnd w:id="90"/>
    </w:p>
    <w:p w:rsidR="00CC0EE2" w:rsidRDefault="00C5639B">
      <w:pPr>
        <w:pStyle w:val="2"/>
        <w:numPr>
          <w:ilvl w:val="0"/>
          <w:numId w:val="5"/>
        </w:numPr>
        <w:ind w:firstLineChars="200" w:firstLine="640"/>
        <w:rPr>
          <w:rFonts w:ascii="黑体" w:eastAsia="黑体" w:hAnsi="黑体" w:cs="黑体"/>
          <w:b w:val="0"/>
          <w:bCs w:val="0"/>
        </w:rPr>
      </w:pPr>
      <w:bookmarkStart w:id="91" w:name="_Toc29307"/>
      <w:r>
        <w:rPr>
          <w:rFonts w:ascii="黑体" w:eastAsia="黑体" w:hAnsi="黑体" w:cs="黑体" w:hint="eastAsia"/>
          <w:b w:val="0"/>
          <w:bCs w:val="0"/>
        </w:rPr>
        <w:t>国有资本经营预算财政拨款收入支出决算表</w:t>
      </w:r>
      <w:bookmarkEnd w:id="91"/>
    </w:p>
    <w:p w:rsidR="00CC0EE2" w:rsidRDefault="00C5639B">
      <w:pPr>
        <w:pStyle w:val="2"/>
        <w:numPr>
          <w:ilvl w:val="0"/>
          <w:numId w:val="5"/>
        </w:numPr>
        <w:ind w:firstLineChars="200" w:firstLine="640"/>
        <w:rPr>
          <w:rFonts w:ascii="黑体" w:eastAsia="黑体" w:hAnsi="黑体" w:cs="黑体"/>
          <w:b w:val="0"/>
          <w:bCs w:val="0"/>
        </w:rPr>
      </w:pPr>
      <w:bookmarkStart w:id="92" w:name="_Toc8313"/>
      <w:r>
        <w:rPr>
          <w:rFonts w:ascii="黑体" w:eastAsia="黑体" w:hAnsi="黑体" w:cs="黑体" w:hint="eastAsia"/>
          <w:b w:val="0"/>
          <w:bCs w:val="0"/>
        </w:rPr>
        <w:t>国有资本经营预算财政拨款支出决算表</w:t>
      </w:r>
      <w:bookmarkEnd w:id="92"/>
    </w:p>
    <w:p w:rsidR="00CC0EE2" w:rsidRDefault="00C5639B">
      <w:pPr>
        <w:pStyle w:val="2"/>
        <w:numPr>
          <w:ilvl w:val="0"/>
          <w:numId w:val="5"/>
        </w:numPr>
        <w:ind w:firstLineChars="200" w:firstLine="640"/>
        <w:rPr>
          <w:rFonts w:ascii="黑体" w:eastAsia="黑体" w:hAnsi="黑体" w:cs="黑体"/>
          <w:b w:val="0"/>
          <w:bCs w:val="0"/>
        </w:rPr>
      </w:pPr>
      <w:bookmarkStart w:id="93" w:name="_Toc6059"/>
      <w:r>
        <w:rPr>
          <w:rFonts w:ascii="黑体" w:eastAsia="黑体" w:hAnsi="黑体" w:cs="黑体" w:hint="eastAsia"/>
          <w:b w:val="0"/>
          <w:bCs w:val="0"/>
        </w:rPr>
        <w:t>财政拨款“三公”经费支出决算表</w:t>
      </w:r>
      <w:bookmarkEnd w:id="93"/>
    </w:p>
    <w:p w:rsidR="00CC0EE2" w:rsidRDefault="00CC0EE2"/>
    <w:sectPr w:rsidR="00CC0EE2">
      <w:footerReference w:type="default" r:id="rId19"/>
      <w:footerReference w:type="first" r:id="rId2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39B" w:rsidRDefault="00C5639B">
      <w:r>
        <w:separator/>
      </w:r>
    </w:p>
  </w:endnote>
  <w:endnote w:type="continuationSeparator" w:id="0">
    <w:p w:rsidR="00C5639B" w:rsidRDefault="00C56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EE2" w:rsidRDefault="00CC0EE2">
    <w:pPr>
      <w:pStyle w:val="aa"/>
      <w:jc w:val="center"/>
    </w:pPr>
  </w:p>
  <w:p w:rsidR="00CC0EE2" w:rsidRDefault="00CC0E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EE2" w:rsidRDefault="00CC0E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EE2" w:rsidRDefault="00CC0EE2">
    <w:pPr>
      <w:pStyle w:val="aa"/>
      <w:jc w:val="center"/>
    </w:pPr>
  </w:p>
  <w:p w:rsidR="00CC0EE2" w:rsidRDefault="00CC0EE2">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EE2" w:rsidRDefault="00C5639B">
    <w:pPr>
      <w:pStyle w:val="aa"/>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C0EE2" w:rsidRDefault="00C5639B">
                          <w:pPr>
                            <w:pStyle w:val="aa"/>
                          </w:pPr>
                          <w:r>
                            <w:rPr>
                              <w:rFonts w:hint="eastAsia"/>
                            </w:rPr>
                            <w:fldChar w:fldCharType="begin"/>
                          </w:r>
                          <w:r>
                            <w:rPr>
                              <w:rFonts w:hint="eastAsia"/>
                            </w:rPr>
                            <w:instrText xml:space="preserve"> PAGE  \* MERGEFORMAT </w:instrText>
                          </w:r>
                          <w:r>
                            <w:rPr>
                              <w:rFonts w:hint="eastAsia"/>
                            </w:rPr>
                            <w:fldChar w:fldCharType="separate"/>
                          </w:r>
                          <w:r>
                            <w:rPr>
                              <w:rFonts w:hint="eastAsia"/>
                            </w:rPr>
                            <w:t xml:space="preserve">- </w:t>
                          </w:r>
                          <w:r>
                            <w:rPr>
                              <w:rFonts w:hint="eastAsia"/>
                            </w:rPr>
                            <w:t>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F1B528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39B" w:rsidRDefault="00C5639B">
      <w:r>
        <w:separator/>
      </w:r>
    </w:p>
  </w:footnote>
  <w:footnote w:type="continuationSeparator" w:id="0">
    <w:p w:rsidR="00C5639B" w:rsidRDefault="00C56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EE2" w:rsidRDefault="00CC0EE2">
    <w:pPr>
      <w:pStyle w:val="ac"/>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A63DE3E"/>
    <w:multiLevelType w:val="singleLevel"/>
    <w:tmpl w:val="CA63DE3E"/>
    <w:lvl w:ilvl="0">
      <w:start w:val="3"/>
      <w:numFmt w:val="decimal"/>
      <w:lvlText w:val="%1."/>
      <w:lvlJc w:val="left"/>
      <w:pPr>
        <w:tabs>
          <w:tab w:val="left" w:pos="312"/>
        </w:tabs>
      </w:pPr>
    </w:lvl>
  </w:abstractNum>
  <w:abstractNum w:abstractNumId="1" w15:restartNumberingAfterBreak="0">
    <w:nsid w:val="F7FCD2BF"/>
    <w:multiLevelType w:val="singleLevel"/>
    <w:tmpl w:val="F7FCD2BF"/>
    <w:lvl w:ilvl="0">
      <w:start w:val="1"/>
      <w:numFmt w:val="chineseCounting"/>
      <w:suff w:val="nothing"/>
      <w:lvlText w:val="%1、"/>
      <w:lvlJc w:val="left"/>
      <w:rPr>
        <w:rFonts w:hint="eastAsia"/>
      </w:rPr>
    </w:lvl>
  </w:abstractNum>
  <w:abstractNum w:abstractNumId="2" w15:restartNumberingAfterBreak="0">
    <w:nsid w:val="0E11A18C"/>
    <w:multiLevelType w:val="singleLevel"/>
    <w:tmpl w:val="0E11A18C"/>
    <w:lvl w:ilvl="0">
      <w:start w:val="1"/>
      <w:numFmt w:val="chineseCounting"/>
      <w:suff w:val="nothing"/>
      <w:lvlText w:val="%1、"/>
      <w:lvlJc w:val="left"/>
      <w:rPr>
        <w:rFonts w:hint="eastAsia"/>
      </w:rPr>
    </w:lvl>
  </w:abstractNum>
  <w:abstractNum w:abstractNumId="3" w15:restartNumberingAfterBreak="0">
    <w:nsid w:val="1CCFF076"/>
    <w:multiLevelType w:val="singleLevel"/>
    <w:tmpl w:val="1CCFF076"/>
    <w:lvl w:ilvl="0">
      <w:start w:val="1"/>
      <w:numFmt w:val="chineseCounting"/>
      <w:suff w:val="nothing"/>
      <w:lvlText w:val="%1、"/>
      <w:lvlJc w:val="left"/>
      <w:rPr>
        <w:rFonts w:hint="eastAsia"/>
      </w:rPr>
    </w:lvl>
  </w:abstractNum>
  <w:abstractNum w:abstractNumId="4" w15:restartNumberingAfterBreak="0">
    <w:nsid w:val="256406D6"/>
    <w:multiLevelType w:val="singleLevel"/>
    <w:tmpl w:val="256406D6"/>
    <w:lvl w:ilvl="0">
      <w:start w:val="1"/>
      <w:numFmt w:val="decimal"/>
      <w:suff w:val="nothing"/>
      <w:lvlText w:val="%1、"/>
      <w:lvlJc w:val="left"/>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2EC"/>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2ACD"/>
    <w:rsid w:val="00220536"/>
    <w:rsid w:val="00235629"/>
    <w:rsid w:val="0023734B"/>
    <w:rsid w:val="00260C38"/>
    <w:rsid w:val="002616C0"/>
    <w:rsid w:val="00265372"/>
    <w:rsid w:val="002662AA"/>
    <w:rsid w:val="00280496"/>
    <w:rsid w:val="00284933"/>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85D51"/>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DCA"/>
    <w:rsid w:val="006A5E34"/>
    <w:rsid w:val="006B2422"/>
    <w:rsid w:val="006B2B9A"/>
    <w:rsid w:val="006C1937"/>
    <w:rsid w:val="006F020C"/>
    <w:rsid w:val="007127B7"/>
    <w:rsid w:val="0071798E"/>
    <w:rsid w:val="007416B6"/>
    <w:rsid w:val="00746F48"/>
    <w:rsid w:val="0075404D"/>
    <w:rsid w:val="007604D7"/>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1981"/>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639B"/>
    <w:rsid w:val="00C5751C"/>
    <w:rsid w:val="00C61BFC"/>
    <w:rsid w:val="00C62B85"/>
    <w:rsid w:val="00C65438"/>
    <w:rsid w:val="00C87FD8"/>
    <w:rsid w:val="00C91381"/>
    <w:rsid w:val="00C91CBB"/>
    <w:rsid w:val="00CA0C99"/>
    <w:rsid w:val="00CB4E70"/>
    <w:rsid w:val="00CC09B6"/>
    <w:rsid w:val="00CC0EE2"/>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342F9"/>
    <w:rsid w:val="00E472B1"/>
    <w:rsid w:val="00E50624"/>
    <w:rsid w:val="00E54633"/>
    <w:rsid w:val="00E568DF"/>
    <w:rsid w:val="00E64269"/>
    <w:rsid w:val="00E82267"/>
    <w:rsid w:val="00E853CE"/>
    <w:rsid w:val="00E867B6"/>
    <w:rsid w:val="00EA010F"/>
    <w:rsid w:val="00EA1882"/>
    <w:rsid w:val="00ED1B63"/>
    <w:rsid w:val="00ED3C1F"/>
    <w:rsid w:val="00ED4085"/>
    <w:rsid w:val="00ED420E"/>
    <w:rsid w:val="00ED6FBE"/>
    <w:rsid w:val="00EE2F57"/>
    <w:rsid w:val="00EF4C34"/>
    <w:rsid w:val="00EF53D1"/>
    <w:rsid w:val="00EF77C6"/>
    <w:rsid w:val="00F05438"/>
    <w:rsid w:val="00F1361C"/>
    <w:rsid w:val="00F156F0"/>
    <w:rsid w:val="00F160C7"/>
    <w:rsid w:val="00F2408F"/>
    <w:rsid w:val="00F240E9"/>
    <w:rsid w:val="00F36D8F"/>
    <w:rsid w:val="00F36E70"/>
    <w:rsid w:val="00F417B1"/>
    <w:rsid w:val="00F45853"/>
    <w:rsid w:val="00F602DF"/>
    <w:rsid w:val="00F754A1"/>
    <w:rsid w:val="00F81FD9"/>
    <w:rsid w:val="00F841AA"/>
    <w:rsid w:val="00F84A94"/>
    <w:rsid w:val="00F87E96"/>
    <w:rsid w:val="00FA23E8"/>
    <w:rsid w:val="00FD3CC1"/>
    <w:rsid w:val="00FF1E02"/>
    <w:rsid w:val="00FF30B4"/>
    <w:rsid w:val="015975B8"/>
    <w:rsid w:val="02090159"/>
    <w:rsid w:val="02317B1B"/>
    <w:rsid w:val="02FEBE30"/>
    <w:rsid w:val="061E35DE"/>
    <w:rsid w:val="066E0107"/>
    <w:rsid w:val="07996F6E"/>
    <w:rsid w:val="07DFD8BA"/>
    <w:rsid w:val="086C0520"/>
    <w:rsid w:val="08DB07E4"/>
    <w:rsid w:val="09310F40"/>
    <w:rsid w:val="09867E8F"/>
    <w:rsid w:val="09BC239E"/>
    <w:rsid w:val="0A2032A3"/>
    <w:rsid w:val="0C692D33"/>
    <w:rsid w:val="0C6C4794"/>
    <w:rsid w:val="0CA8290A"/>
    <w:rsid w:val="0D35B1ED"/>
    <w:rsid w:val="0DE07E2B"/>
    <w:rsid w:val="0F2611C4"/>
    <w:rsid w:val="0F98263C"/>
    <w:rsid w:val="0FBF64FF"/>
    <w:rsid w:val="101860EC"/>
    <w:rsid w:val="101D54DC"/>
    <w:rsid w:val="1060792C"/>
    <w:rsid w:val="10C055FF"/>
    <w:rsid w:val="1174706F"/>
    <w:rsid w:val="11772AA4"/>
    <w:rsid w:val="118107EC"/>
    <w:rsid w:val="13A3476B"/>
    <w:rsid w:val="13D50BC4"/>
    <w:rsid w:val="14022904"/>
    <w:rsid w:val="152F2A07"/>
    <w:rsid w:val="15732B3D"/>
    <w:rsid w:val="165E0673"/>
    <w:rsid w:val="16BB723D"/>
    <w:rsid w:val="186504BB"/>
    <w:rsid w:val="1938089F"/>
    <w:rsid w:val="19A445FC"/>
    <w:rsid w:val="19C16A3D"/>
    <w:rsid w:val="19D5052A"/>
    <w:rsid w:val="1B1E4963"/>
    <w:rsid w:val="1B7D550C"/>
    <w:rsid w:val="1B9143C5"/>
    <w:rsid w:val="1BE8440E"/>
    <w:rsid w:val="1CA82F6C"/>
    <w:rsid w:val="1D155CEE"/>
    <w:rsid w:val="1E416E26"/>
    <w:rsid w:val="1E740ACF"/>
    <w:rsid w:val="1FF35744"/>
    <w:rsid w:val="1FF6BC77"/>
    <w:rsid w:val="20387569"/>
    <w:rsid w:val="20CD6F91"/>
    <w:rsid w:val="217104F7"/>
    <w:rsid w:val="21962A9E"/>
    <w:rsid w:val="21AE7C77"/>
    <w:rsid w:val="22747CA6"/>
    <w:rsid w:val="229D4CDD"/>
    <w:rsid w:val="22BC3C41"/>
    <w:rsid w:val="23860B96"/>
    <w:rsid w:val="240371BF"/>
    <w:rsid w:val="25A53853"/>
    <w:rsid w:val="260F557C"/>
    <w:rsid w:val="26665286"/>
    <w:rsid w:val="26CE39DD"/>
    <w:rsid w:val="272D4EA3"/>
    <w:rsid w:val="281408E2"/>
    <w:rsid w:val="2843650E"/>
    <w:rsid w:val="29D020ED"/>
    <w:rsid w:val="29FD04D3"/>
    <w:rsid w:val="2AD51ED6"/>
    <w:rsid w:val="2BC2085A"/>
    <w:rsid w:val="2BFF7BC6"/>
    <w:rsid w:val="2C8A61B5"/>
    <w:rsid w:val="2D2E01CF"/>
    <w:rsid w:val="2DF04E50"/>
    <w:rsid w:val="2E130E82"/>
    <w:rsid w:val="2E9545B0"/>
    <w:rsid w:val="2F040D46"/>
    <w:rsid w:val="2F9D0015"/>
    <w:rsid w:val="2FAE5751"/>
    <w:rsid w:val="2FB1A395"/>
    <w:rsid w:val="2FD9A7D8"/>
    <w:rsid w:val="2FFD7E81"/>
    <w:rsid w:val="319F7F4E"/>
    <w:rsid w:val="321B2544"/>
    <w:rsid w:val="325D2496"/>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98222A3"/>
    <w:rsid w:val="3AB79AF3"/>
    <w:rsid w:val="3B7EF35A"/>
    <w:rsid w:val="3B9FDB6C"/>
    <w:rsid w:val="3BB13F7E"/>
    <w:rsid w:val="3BEB1F35"/>
    <w:rsid w:val="3BF5BC2F"/>
    <w:rsid w:val="3C457927"/>
    <w:rsid w:val="3CEBA265"/>
    <w:rsid w:val="3D98207C"/>
    <w:rsid w:val="3D9B0D99"/>
    <w:rsid w:val="3DEE7CF3"/>
    <w:rsid w:val="3DF02244"/>
    <w:rsid w:val="3DF33233"/>
    <w:rsid w:val="3E78745D"/>
    <w:rsid w:val="3FF4CAE0"/>
    <w:rsid w:val="3FF7B227"/>
    <w:rsid w:val="40E54C45"/>
    <w:rsid w:val="412907F7"/>
    <w:rsid w:val="41852B3D"/>
    <w:rsid w:val="428A7250"/>
    <w:rsid w:val="43A407DF"/>
    <w:rsid w:val="440C5FB1"/>
    <w:rsid w:val="44515BEA"/>
    <w:rsid w:val="44E268DA"/>
    <w:rsid w:val="453F7E5B"/>
    <w:rsid w:val="4589206F"/>
    <w:rsid w:val="461C3D26"/>
    <w:rsid w:val="486A6C7A"/>
    <w:rsid w:val="49176D9B"/>
    <w:rsid w:val="494979FB"/>
    <w:rsid w:val="4A627F82"/>
    <w:rsid w:val="4ACF2BD1"/>
    <w:rsid w:val="4B0E749A"/>
    <w:rsid w:val="4B4F25DA"/>
    <w:rsid w:val="4B730840"/>
    <w:rsid w:val="4BDA0CFB"/>
    <w:rsid w:val="4BE068DB"/>
    <w:rsid w:val="4D382228"/>
    <w:rsid w:val="4D3C0CCC"/>
    <w:rsid w:val="4D577224"/>
    <w:rsid w:val="4DBF1CEB"/>
    <w:rsid w:val="4EAB630A"/>
    <w:rsid w:val="4EBD1B3D"/>
    <w:rsid w:val="4ECE2238"/>
    <w:rsid w:val="4F833267"/>
    <w:rsid w:val="4FA84049"/>
    <w:rsid w:val="4FE9BD67"/>
    <w:rsid w:val="4FFB052F"/>
    <w:rsid w:val="53083A92"/>
    <w:rsid w:val="53104095"/>
    <w:rsid w:val="537E6D0A"/>
    <w:rsid w:val="53AF27A2"/>
    <w:rsid w:val="53F74C96"/>
    <w:rsid w:val="560913F8"/>
    <w:rsid w:val="56E47B74"/>
    <w:rsid w:val="57BD3DD4"/>
    <w:rsid w:val="59B234B4"/>
    <w:rsid w:val="5AF92295"/>
    <w:rsid w:val="5BDD79E6"/>
    <w:rsid w:val="5BF561CA"/>
    <w:rsid w:val="5BFF5DFC"/>
    <w:rsid w:val="5CD71FC4"/>
    <w:rsid w:val="5D1F11B5"/>
    <w:rsid w:val="5DAE1B18"/>
    <w:rsid w:val="5DE7D9E5"/>
    <w:rsid w:val="5ECEC941"/>
    <w:rsid w:val="5F4937DE"/>
    <w:rsid w:val="5F493CB7"/>
    <w:rsid w:val="5FBF9FF3"/>
    <w:rsid w:val="5FCD4E2C"/>
    <w:rsid w:val="5FD15F49"/>
    <w:rsid w:val="5FEF394A"/>
    <w:rsid w:val="5FF67715"/>
    <w:rsid w:val="62BF3928"/>
    <w:rsid w:val="64142A6F"/>
    <w:rsid w:val="647F5392"/>
    <w:rsid w:val="664B1D71"/>
    <w:rsid w:val="67AA3209"/>
    <w:rsid w:val="681C4F0D"/>
    <w:rsid w:val="69046D0F"/>
    <w:rsid w:val="698D0931"/>
    <w:rsid w:val="6A993CED"/>
    <w:rsid w:val="6A9F107A"/>
    <w:rsid w:val="6ABF246F"/>
    <w:rsid w:val="6AC5005C"/>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B71E1F"/>
    <w:rsid w:val="79086DAD"/>
    <w:rsid w:val="7973332C"/>
    <w:rsid w:val="79974F09"/>
    <w:rsid w:val="79D7FD79"/>
    <w:rsid w:val="79EE5BA4"/>
    <w:rsid w:val="7A894339"/>
    <w:rsid w:val="7AFF7572"/>
    <w:rsid w:val="7B6C7DFB"/>
    <w:rsid w:val="7BBFBED0"/>
    <w:rsid w:val="7BC3E394"/>
    <w:rsid w:val="7C1F3737"/>
    <w:rsid w:val="7C377426"/>
    <w:rsid w:val="7CBFC87B"/>
    <w:rsid w:val="7CFE0F48"/>
    <w:rsid w:val="7D7EC23E"/>
    <w:rsid w:val="7D916348"/>
    <w:rsid w:val="7DE45B1A"/>
    <w:rsid w:val="7E204621"/>
    <w:rsid w:val="7E8ADEBF"/>
    <w:rsid w:val="7EC44784"/>
    <w:rsid w:val="7ED35081"/>
    <w:rsid w:val="7EEF11D3"/>
    <w:rsid w:val="7F0971A6"/>
    <w:rsid w:val="7F3F679B"/>
    <w:rsid w:val="7F4FC4EF"/>
    <w:rsid w:val="7F5E4D54"/>
    <w:rsid w:val="7F6E0135"/>
    <w:rsid w:val="7F815F4B"/>
    <w:rsid w:val="7FA30C79"/>
    <w:rsid w:val="7FAF8ABF"/>
    <w:rsid w:val="7FB7269E"/>
    <w:rsid w:val="7FC32D26"/>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26DDBC1A"/>
  <w15:docId w15:val="{BFC34836-B7A9-4393-97F4-C100B7817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beforeLines="30"/>
    </w:pPr>
    <w:rPr>
      <w:rFonts w:ascii="仿宋_GB2312" w:eastAsia="仿宋_GB2312"/>
      <w:kern w:val="0"/>
      <w:sz w:val="30"/>
    </w:rPr>
  </w:style>
  <w:style w:type="paragraph" w:styleId="a5">
    <w:name w:val="annotation text"/>
    <w:basedOn w:val="a"/>
    <w:link w:val="a6"/>
    <w:uiPriority w:val="99"/>
    <w:unhideWhenUsed/>
    <w:pPr>
      <w:jc w:val="left"/>
    </w:pPr>
  </w:style>
  <w:style w:type="paragraph" w:styleId="a7">
    <w:name w:val="Body Text Indent"/>
    <w:basedOn w:val="a"/>
    <w:next w:val="21"/>
    <w:qFormat/>
    <w:pPr>
      <w:spacing w:after="120"/>
      <w:ind w:leftChars="200" w:left="200"/>
    </w:pPr>
    <w:rPr>
      <w:rFonts w:ascii="仿宋_GB2312"/>
      <w:szCs w:val="32"/>
    </w:rPr>
  </w:style>
  <w:style w:type="paragraph" w:styleId="21">
    <w:name w:val="Body Text First Indent 2"/>
    <w:basedOn w:val="a7"/>
    <w:next w:val="a"/>
    <w:link w:val="22"/>
    <w:uiPriority w:val="99"/>
    <w:unhideWhenUsed/>
    <w:qFormat/>
    <w:pPr>
      <w:ind w:firstLineChars="200" w:firstLine="420"/>
    </w:pPr>
  </w:style>
  <w:style w:type="paragraph" w:styleId="31">
    <w:name w:val="toc 3"/>
    <w:basedOn w:val="a"/>
    <w:next w:val="a"/>
    <w:uiPriority w:val="39"/>
    <w:unhideWhenUsed/>
    <w:qFormat/>
    <w:pPr>
      <w:tabs>
        <w:tab w:val="right" w:leader="dot" w:pos="8296"/>
      </w:tabs>
      <w:ind w:leftChars="400" w:left="840"/>
    </w:p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qFormat/>
    <w:pPr>
      <w:tabs>
        <w:tab w:val="center" w:pos="4153"/>
        <w:tab w:val="right" w:pos="8306"/>
      </w:tabs>
      <w:snapToGrid w:val="0"/>
      <w:jc w:val="left"/>
    </w:pPr>
    <w:rPr>
      <w:rFonts w:ascii="Calibri" w:hAnsi="Calibri"/>
      <w:kern w:val="0"/>
      <w:sz w:val="18"/>
      <w:szCs w:val="18"/>
    </w:rPr>
  </w:style>
  <w:style w:type="paragraph" w:styleId="ac">
    <w:name w:val="header"/>
    <w:basedOn w:val="a"/>
    <w:link w:val="ad"/>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1">
    <w:name w:val="toc 1"/>
    <w:basedOn w:val="a"/>
    <w:next w:val="a"/>
    <w:uiPriority w:val="39"/>
    <w:unhideWhenUsed/>
    <w:qFormat/>
    <w:pPr>
      <w:tabs>
        <w:tab w:val="right" w:leader="dot" w:pos="8296"/>
      </w:tabs>
      <w:spacing w:before="93"/>
      <w:jc w:val="center"/>
    </w:pPr>
    <w:rPr>
      <w:rFonts w:eastAsia="仿宋"/>
      <w:sz w:val="32"/>
      <w:szCs w:val="28"/>
    </w:rPr>
  </w:style>
  <w:style w:type="paragraph" w:styleId="ae">
    <w:name w:val="footnote text"/>
    <w:basedOn w:val="a"/>
    <w:next w:val="21"/>
    <w:semiHidden/>
    <w:qFormat/>
    <w:pPr>
      <w:snapToGrid w:val="0"/>
      <w:jc w:val="left"/>
    </w:pPr>
    <w:rPr>
      <w:sz w:val="18"/>
      <w:szCs w:val="18"/>
    </w:rPr>
  </w:style>
  <w:style w:type="paragraph" w:styleId="23">
    <w:name w:val="toc 2"/>
    <w:basedOn w:val="a"/>
    <w:next w:val="a"/>
    <w:uiPriority w:val="39"/>
    <w:unhideWhenUsed/>
    <w:qFormat/>
    <w:pPr>
      <w:tabs>
        <w:tab w:val="right" w:leader="dot" w:pos="8296"/>
      </w:tabs>
      <w:ind w:leftChars="200" w:left="420"/>
    </w:pPr>
    <w:rPr>
      <w:rFonts w:eastAsia="仿宋"/>
      <w:sz w:val="32"/>
    </w:rPr>
  </w:style>
  <w:style w:type="paragraph" w:styleId="af">
    <w:name w:val="annotation subject"/>
    <w:basedOn w:val="a5"/>
    <w:next w:val="a5"/>
    <w:link w:val="af0"/>
    <w:uiPriority w:val="99"/>
    <w:semiHidden/>
    <w:unhideWhenUsed/>
    <w:rPr>
      <w:b/>
      <w:bCs/>
    </w:rPr>
  </w:style>
  <w:style w:type="character" w:styleId="af1">
    <w:name w:val="Strong"/>
    <w:basedOn w:val="a1"/>
    <w:uiPriority w:val="99"/>
    <w:qFormat/>
    <w:rPr>
      <w:b/>
    </w:rPr>
  </w:style>
  <w:style w:type="character" w:styleId="af2">
    <w:name w:val="Hyperlink"/>
    <w:basedOn w:val="a1"/>
    <w:uiPriority w:val="99"/>
    <w:unhideWhenUsed/>
    <w:qFormat/>
    <w:rPr>
      <w:color w:val="0000FF" w:themeColor="hyperlink"/>
      <w:u w:val="single"/>
    </w:rPr>
  </w:style>
  <w:style w:type="character" w:styleId="af3">
    <w:name w:val="annotation reference"/>
    <w:basedOn w:val="a1"/>
    <w:uiPriority w:val="99"/>
    <w:semiHidden/>
    <w:unhideWhenUsed/>
    <w:rPr>
      <w:sz w:val="21"/>
      <w:szCs w:val="21"/>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ad">
    <w:name w:val="页眉 字符"/>
    <w:link w:val="ac"/>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ab">
    <w:name w:val="页脚 字符"/>
    <w:link w:val="aa"/>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a4">
    <w:name w:val="正文文本 字符"/>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f4">
    <w:name w:val="List Paragraph"/>
    <w:basedOn w:val="a"/>
    <w:uiPriority w:val="34"/>
    <w:qFormat/>
    <w:pPr>
      <w:ind w:firstLineChars="200" w:firstLine="420"/>
    </w:pPr>
  </w:style>
  <w:style w:type="character" w:customStyle="1" w:styleId="10">
    <w:name w:val="标题 1 字符"/>
    <w:basedOn w:val="a1"/>
    <w:link w:val="1"/>
    <w:uiPriority w:val="9"/>
    <w:qFormat/>
    <w:rPr>
      <w:rFonts w:ascii="Times New Roman" w:hAnsi="Times New Roman"/>
      <w:b/>
      <w:bCs/>
      <w:kern w:val="44"/>
      <w:sz w:val="44"/>
      <w:szCs w:val="44"/>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9">
    <w:name w:val="批注框文本 字符"/>
    <w:basedOn w:val="a1"/>
    <w:link w:val="a8"/>
    <w:uiPriority w:val="99"/>
    <w:semiHidden/>
    <w:qFormat/>
    <w:rPr>
      <w:rFonts w:ascii="Times New Roman" w:hAnsi="Times New Roman"/>
      <w:kern w:val="2"/>
      <w:sz w:val="18"/>
      <w:szCs w:val="18"/>
    </w:rPr>
  </w:style>
  <w:style w:type="character" w:customStyle="1" w:styleId="30">
    <w:name w:val="标题 3 字符"/>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5">
    <w:name w:val="四号正文"/>
    <w:basedOn w:val="a"/>
    <w:qFormat/>
    <w:pPr>
      <w:spacing w:line="360" w:lineRule="auto"/>
    </w:pPr>
    <w:rPr>
      <w:rFonts w:ascii="??" w:hAnsi="??"/>
      <w:color w:val="000000"/>
      <w:kern w:val="0"/>
      <w:sz w:val="28"/>
      <w:szCs w:val="21"/>
      <w:lang w:val="zh-CN"/>
    </w:rPr>
  </w:style>
  <w:style w:type="character" w:customStyle="1" w:styleId="22">
    <w:name w:val="正文首行缩进 2 字符"/>
    <w:basedOn w:val="a1"/>
    <w:link w:val="21"/>
    <w:uiPriority w:val="99"/>
    <w:qFormat/>
    <w:rPr>
      <w:rFonts w:ascii="仿宋_GB2312"/>
      <w:kern w:val="2"/>
      <w:sz w:val="21"/>
      <w:szCs w:val="32"/>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a6">
    <w:name w:val="批注文字 字符"/>
    <w:basedOn w:val="a1"/>
    <w:link w:val="a5"/>
    <w:uiPriority w:val="99"/>
    <w:rPr>
      <w:kern w:val="2"/>
      <w:sz w:val="21"/>
      <w:szCs w:val="24"/>
    </w:rPr>
  </w:style>
  <w:style w:type="character" w:customStyle="1" w:styleId="af0">
    <w:name w:val="批注主题 字符"/>
    <w:basedOn w:val="a6"/>
    <w:link w:val="af"/>
    <w:uiPriority w:val="99"/>
    <w:semiHidden/>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__3.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__4.xlsx"/><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0" i="0" u="none" strike="noStrike" kern="1200" cap="none" spc="50" normalizeH="0" baseline="0">
                <a:solidFill>
                  <a:schemeClr val="tx1">
                    <a:lumMod val="65000"/>
                    <a:lumOff val="35000"/>
                  </a:schemeClr>
                </a:solidFill>
                <a:latin typeface="+mj-lt"/>
                <a:ea typeface="+mj-ea"/>
                <a:cs typeface="+mj-cs"/>
              </a:defRPr>
            </a:pPr>
            <a:r>
              <a:rPr lang="zh-CN" altLang="en-US"/>
              <a:t>收入支出对比</a:t>
            </a:r>
          </a:p>
        </c:rich>
      </c:tx>
      <c:layout>
        <c:manualLayout>
          <c:xMode val="edge"/>
          <c:yMode val="edge"/>
          <c:x val="0.34795321637426901"/>
          <c:y val="7.2498791686805199E-3"/>
        </c:manualLayout>
      </c:layout>
      <c:overlay val="0"/>
      <c:spPr>
        <a:noFill/>
        <a:ln>
          <a:noFill/>
        </a:ln>
        <a:effectLst/>
      </c:spPr>
      <c:txPr>
        <a:bodyPr rot="0" spcFirstLastPara="0" vertOverflow="ellipsis" vert="horz" wrap="square" anchor="ctr" anchorCtr="1"/>
        <a:lstStyle/>
        <a:p>
          <a:pPr defTabSz="914400">
            <a:defRPr lang="zh-CN" sz="1600" b="0" i="0" u="none" strike="noStrike" kern="1200" cap="none" spc="50" normalizeH="0" baseline="0">
              <a:solidFill>
                <a:schemeClr val="tx1">
                  <a:lumMod val="65000"/>
                  <a:lumOff val="35000"/>
                </a:schemeClr>
              </a:solidFill>
              <a:latin typeface="+mj-lt"/>
              <a:ea typeface="+mj-ea"/>
              <a:cs typeface="+mj-cs"/>
            </a:defRPr>
          </a:pPr>
          <a:endParaRPr lang="zh-CN"/>
        </a:p>
      </c:txPr>
    </c:title>
    <c:autoTitleDeleted val="0"/>
    <c:plotArea>
      <c:layout/>
      <c:barChart>
        <c:barDir val="col"/>
        <c:grouping val="clustered"/>
        <c:varyColors val="0"/>
        <c:ser>
          <c:idx val="0"/>
          <c:order val="0"/>
          <c:tx>
            <c:strRef>
              <c:f>Sheet1!$B$1</c:f>
              <c:strCache>
                <c:ptCount val="1"/>
                <c:pt idx="0">
                  <c:v>2025年度</c:v>
                </c:pt>
              </c:strCache>
            </c:strRef>
          </c:tx>
          <c:spPr>
            <a:solidFill>
              <a:schemeClr val="accent6">
                <a:alpha val="7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2008.17</c:v>
                </c:pt>
                <c:pt idx="1">
                  <c:v>2008.17</c:v>
                </c:pt>
              </c:numCache>
            </c:numRef>
          </c:val>
          <c:extLst>
            <c:ext xmlns:c16="http://schemas.microsoft.com/office/drawing/2014/chart" uri="{C3380CC4-5D6E-409C-BE32-E72D297353CC}">
              <c16:uniqueId val="{00000000-E214-4B1F-8323-30D1FC495AE5}"/>
            </c:ext>
          </c:extLst>
        </c:ser>
        <c:ser>
          <c:idx val="1"/>
          <c:order val="1"/>
          <c:tx>
            <c:strRef>
              <c:f>Sheet1!$C$1</c:f>
              <c:strCache>
                <c:ptCount val="1"/>
                <c:pt idx="0">
                  <c:v>2024年度</c:v>
                </c:pt>
              </c:strCache>
            </c:strRef>
          </c:tx>
          <c:spPr>
            <a:solidFill>
              <a:schemeClr val="accent5">
                <a:alpha val="7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648.22</c:v>
                </c:pt>
                <c:pt idx="1">
                  <c:v>648.22</c:v>
                </c:pt>
              </c:numCache>
            </c:numRef>
          </c:val>
          <c:extLst>
            <c:ext xmlns:c16="http://schemas.microsoft.com/office/drawing/2014/chart" uri="{C3380CC4-5D6E-409C-BE32-E72D297353CC}">
              <c16:uniqueId val="{00000001-E214-4B1F-8323-30D1FC495AE5}"/>
            </c:ext>
          </c:extLst>
        </c:ser>
        <c:dLbls>
          <c:showLegendKey val="0"/>
          <c:showVal val="1"/>
          <c:showCatName val="0"/>
          <c:showSerName val="0"/>
          <c:showPercent val="0"/>
          <c:showBubbleSize val="0"/>
        </c:dLbls>
        <c:gapWidth val="80"/>
        <c:overlap val="25"/>
        <c:axId val="645858728"/>
        <c:axId val="829565038"/>
      </c:barChart>
      <c:catAx>
        <c:axId val="645858728"/>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cap="none" spc="20" normalizeH="0" baseline="0">
                <a:solidFill>
                  <a:schemeClr val="tx1">
                    <a:lumMod val="65000"/>
                    <a:lumOff val="35000"/>
                  </a:schemeClr>
                </a:solidFill>
                <a:latin typeface="+mn-lt"/>
                <a:ea typeface="+mn-ea"/>
                <a:cs typeface="+mn-cs"/>
              </a:defRPr>
            </a:pPr>
            <a:endParaRPr lang="zh-CN"/>
          </a:p>
        </c:txPr>
        <c:crossAx val="829565038"/>
        <c:crosses val="autoZero"/>
        <c:auto val="1"/>
        <c:lblAlgn val="ctr"/>
        <c:lblOffset val="100"/>
        <c:noMultiLvlLbl val="0"/>
      </c:catAx>
      <c:valAx>
        <c:axId val="82956503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spc="20" baseline="0">
                <a:solidFill>
                  <a:schemeClr val="tx1">
                    <a:lumMod val="65000"/>
                    <a:lumOff val="35000"/>
                  </a:schemeClr>
                </a:solidFill>
                <a:latin typeface="+mn-lt"/>
                <a:ea typeface="+mn-ea"/>
                <a:cs typeface="+mn-cs"/>
              </a:defRPr>
            </a:pPr>
            <a:endParaRPr lang="zh-CN"/>
          </a:p>
        </c:txPr>
        <c:crossAx val="64585872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收入决算结构</a:t>
            </a:r>
          </a:p>
        </c:rich>
      </c:tx>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收入</c:v>
                </c:pt>
              </c:strCache>
            </c:strRef>
          </c:tx>
          <c:spPr>
            <a:scene3d>
              <a:camera prst="orthographicFront"/>
              <a:lightRig rig="threePt" dir="t"/>
            </a:scene3d>
            <a:sp3d contourW="9525"/>
          </c:spPr>
          <c:dPt>
            <c:idx val="0"/>
            <c:bubble3D val="0"/>
            <c:spPr>
              <a:solidFill>
                <a:schemeClr val="accent1"/>
              </a:solidFill>
              <a:ln>
                <a:solidFill>
                  <a:schemeClr val="bg1"/>
                </a:solidFill>
              </a:ln>
              <a:effectLst/>
            </c:spPr>
            <c:extLst>
              <c:ext xmlns:c16="http://schemas.microsoft.com/office/drawing/2014/chart" uri="{C3380CC4-5D6E-409C-BE32-E72D297353CC}">
                <c16:uniqueId val="{00000001-9389-4149-9BF5-11552793E71A}"/>
              </c:ext>
            </c:extLst>
          </c:dPt>
          <c:dPt>
            <c:idx val="1"/>
            <c:bubble3D val="0"/>
            <c:spPr>
              <a:solidFill>
                <a:schemeClr val="accent3"/>
              </a:solidFill>
              <a:ln>
                <a:solidFill>
                  <a:schemeClr val="bg1"/>
                </a:solidFill>
              </a:ln>
              <a:effectLst/>
              <a:scene3d>
                <a:camera prst="orthographicFront"/>
                <a:lightRig rig="threePt" dir="t"/>
              </a:scene3d>
              <a:sp3d contourW="9525"/>
            </c:spPr>
            <c:extLst>
              <c:ext xmlns:c16="http://schemas.microsoft.com/office/drawing/2014/chart" uri="{C3380CC4-5D6E-409C-BE32-E72D297353CC}">
                <c16:uniqueId val="{00000003-9389-4149-9BF5-11552793E71A}"/>
              </c:ext>
            </c:extLst>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Sheet1!$A$2:$A$3</c:f>
              <c:strCache>
                <c:ptCount val="2"/>
                <c:pt idx="0">
                  <c:v>一般公共预算</c:v>
                </c:pt>
                <c:pt idx="1">
                  <c:v>政府性基金预算</c:v>
                </c:pt>
              </c:strCache>
            </c:strRef>
          </c:cat>
          <c:val>
            <c:numRef>
              <c:f>Sheet1!$B$2:$B$3</c:f>
              <c:numCache>
                <c:formatCode>General</c:formatCode>
                <c:ptCount val="2"/>
                <c:pt idx="0">
                  <c:v>2008.17</c:v>
                </c:pt>
                <c:pt idx="1">
                  <c:v>0</c:v>
                </c:pt>
              </c:numCache>
            </c:numRef>
          </c:val>
          <c:extLst>
            <c:ext xmlns:c16="http://schemas.microsoft.com/office/drawing/2014/chart" uri="{C3380CC4-5D6E-409C-BE32-E72D297353CC}">
              <c16:uniqueId val="{00000004-9389-4149-9BF5-11552793E71A}"/>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rPr lang="zh-CN" altLang="en-US"/>
              <a:t>支出决算结构图</a:t>
            </a:r>
          </a:p>
        </c:rich>
      </c:tx>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6.7538496897265002E-2"/>
          <c:y val="0.21090652225100001"/>
          <c:w val="0.83550448172833802"/>
          <c:h val="0.58266070167176798"/>
        </c:manualLayout>
      </c:layout>
      <c:pie3DChart>
        <c:varyColors val="1"/>
        <c:ser>
          <c:idx val="0"/>
          <c:order val="0"/>
          <c:tx>
            <c:strRef>
              <c:f>Sheet1!$B$1</c:f>
              <c:strCache>
                <c:ptCount val="1"/>
                <c:pt idx="0">
                  <c:v>支出</c:v>
                </c:pt>
              </c:strCache>
            </c:strRef>
          </c:tx>
          <c:spPr>
            <a:scene3d>
              <a:camera prst="orthographicFront"/>
              <a:lightRig rig="threePt" dir="t"/>
            </a:scene3d>
            <a:sp3d contourW="9525"/>
          </c:spPr>
          <c:dPt>
            <c:idx val="0"/>
            <c:bubble3D val="0"/>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a:noFill/>
              </a:ln>
              <a:effectLst>
                <a:outerShdw blurRad="40000" dist="20000" dir="5400000" rotWithShape="0">
                  <a:srgbClr val="000000">
                    <a:alpha val="38000"/>
                  </a:srgbClr>
                </a:outerShdw>
              </a:effectLst>
            </c:spPr>
            <c:extLst>
              <c:ext xmlns:c16="http://schemas.microsoft.com/office/drawing/2014/chart" uri="{C3380CC4-5D6E-409C-BE32-E72D297353CC}">
                <c16:uniqueId val="{00000001-956D-4631-9369-D2575C4048CA}"/>
              </c:ext>
            </c:extLst>
          </c:dPt>
          <c:dPt>
            <c:idx val="1"/>
            <c:bubble3D val="0"/>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a:noFill/>
              </a:ln>
              <a:effectLst>
                <a:outerShdw blurRad="40000" dist="20000" dir="5400000" rotWithShape="0">
                  <a:srgbClr val="000000">
                    <a:alpha val="38000"/>
                  </a:srgbClr>
                </a:outerShdw>
              </a:effectLst>
            </c:spPr>
            <c:extLst>
              <c:ext xmlns:c16="http://schemas.microsoft.com/office/drawing/2014/chart" uri="{C3380CC4-5D6E-409C-BE32-E72D297353CC}">
                <c16:uniqueId val="{00000003-956D-4631-9369-D2575C4048CA}"/>
              </c:ext>
            </c:extLst>
          </c:dPt>
          <c:dLbls>
            <c:dLbl>
              <c:idx val="0"/>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56D-4631-9369-D2575C4048CA}"/>
                </c:ext>
              </c:extLst>
            </c:dLbl>
            <c:dLbl>
              <c:idx val="1"/>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56D-4631-9369-D2575C4048CA}"/>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Sheet1!$A$2:$A$3</c:f>
              <c:strCache>
                <c:ptCount val="2"/>
                <c:pt idx="0">
                  <c:v>基本支出</c:v>
                </c:pt>
                <c:pt idx="1">
                  <c:v>项目支出</c:v>
                </c:pt>
              </c:strCache>
            </c:strRef>
          </c:cat>
          <c:val>
            <c:numRef>
              <c:f>Sheet1!$B$2:$B$3</c:f>
              <c:numCache>
                <c:formatCode>General</c:formatCode>
                <c:ptCount val="2"/>
                <c:pt idx="0">
                  <c:v>654.25</c:v>
                </c:pt>
                <c:pt idx="1">
                  <c:v>1353.92</c:v>
                </c:pt>
              </c:numCache>
            </c:numRef>
          </c:val>
          <c:extLst>
            <c:ext xmlns:c16="http://schemas.microsoft.com/office/drawing/2014/chart" uri="{C3380CC4-5D6E-409C-BE32-E72D297353CC}">
              <c16:uniqueId val="{00000004-956D-4631-9369-D2575C4048C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solidFill>
                  <a:schemeClr val="tx1">
                    <a:lumMod val="50000"/>
                  </a:schemeClr>
                </a:solidFill>
              </a:rPr>
              <a:t>财政拨款</a:t>
            </a:r>
            <a:r>
              <a:rPr lang="zh-CN" altLang="en-US" b="1">
                <a:solidFill>
                  <a:schemeClr val="tx1">
                    <a:lumMod val="50000"/>
                  </a:schemeClr>
                </a:solidFill>
                <a:uFillTx/>
              </a:rPr>
              <a:t>收支</a:t>
            </a:r>
            <a:r>
              <a:rPr lang="zh-CN" altLang="en-US" b="1">
                <a:solidFill>
                  <a:schemeClr val="tx1">
                    <a:lumMod val="50000"/>
                  </a:schemeClr>
                </a:solidFill>
              </a:rPr>
              <a:t>对比表</a:t>
            </a:r>
          </a:p>
        </c:rich>
      </c:tx>
      <c:layout>
        <c:manualLayout>
          <c:xMode val="edge"/>
          <c:yMode val="edge"/>
          <c:x val="0.30856859831599798"/>
          <c:y val="1.5735051700884101E-2"/>
        </c:manualLayout>
      </c:layout>
      <c:overlay val="0"/>
      <c:spPr>
        <a:noFill/>
        <a:ln>
          <a:noFill/>
        </a:ln>
        <a:effectLst/>
      </c:spPr>
      <c:txPr>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0.105916360425998"/>
          <c:y val="8.2851648351648405E-2"/>
          <c:w val="0.87555000000000005"/>
          <c:h val="0.76049999999999995"/>
        </c:manualLayout>
      </c:layout>
      <c:barChart>
        <c:barDir val="col"/>
        <c:grouping val="clustered"/>
        <c:varyColors val="0"/>
        <c:ser>
          <c:idx val="0"/>
          <c:order val="0"/>
          <c:tx>
            <c:strRef>
              <c:f>Sheet1!$B$1</c:f>
              <c:strCache>
                <c:ptCount val="1"/>
                <c:pt idx="0">
                  <c:v>2025年度</c:v>
                </c:pt>
              </c:strCache>
            </c:strRef>
          </c:tx>
          <c:spPr>
            <a:solidFill>
              <a:schemeClr val="tx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2008.17</c:v>
                </c:pt>
                <c:pt idx="1">
                  <c:v>2008.17</c:v>
                </c:pt>
              </c:numCache>
            </c:numRef>
          </c:val>
          <c:extLst>
            <c:ext xmlns:c16="http://schemas.microsoft.com/office/drawing/2014/chart" uri="{C3380CC4-5D6E-409C-BE32-E72D297353CC}">
              <c16:uniqueId val="{00000000-8178-42FD-BA70-A9EECED755BE}"/>
            </c:ext>
          </c:extLst>
        </c:ser>
        <c:ser>
          <c:idx val="1"/>
          <c:order val="1"/>
          <c:tx>
            <c:strRef>
              <c:f>Sheet1!$C$1</c:f>
              <c:strCache>
                <c:ptCount val="1"/>
                <c:pt idx="0">
                  <c:v>2024年度</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648.22</c:v>
                </c:pt>
                <c:pt idx="1">
                  <c:v>648.22</c:v>
                </c:pt>
              </c:numCache>
            </c:numRef>
          </c:val>
          <c:extLst>
            <c:ext xmlns:c16="http://schemas.microsoft.com/office/drawing/2014/chart" uri="{C3380CC4-5D6E-409C-BE32-E72D297353CC}">
              <c16:uniqueId val="{00000001-8178-42FD-BA70-A9EECED755BE}"/>
            </c:ext>
          </c:extLst>
        </c:ser>
        <c:ser>
          <c:idx val="2"/>
          <c:order val="2"/>
          <c:tx>
            <c:strRef>
              <c:f>Sheet1!$D$1</c:f>
              <c:strCache>
                <c:ptCount val="1"/>
                <c:pt idx="0">
                  <c:v>增幅</c:v>
                </c:pt>
              </c:strCache>
            </c:strRef>
          </c:tx>
          <c:spPr>
            <a:solidFill>
              <a:schemeClr val="accent3"/>
            </a:solidFill>
            <a:ln>
              <a:noFill/>
            </a:ln>
            <a:effectLst/>
          </c:spPr>
          <c:invertIfNegative val="0"/>
          <c:dLbls>
            <c:dLbl>
              <c:idx val="0"/>
              <c:layout>
                <c:manualLayout>
                  <c:x val="8.4436007428065497E-3"/>
                  <c:y val="9.4407840024503704E-3"/>
                </c:manualLayout>
              </c:layout>
              <c:tx>
                <c:rich>
                  <a:bodyPr/>
                  <a:lstStyle/>
                  <a:p>
                    <a:r>
                      <a:rPr lang="en-US" altLang="zh-CN"/>
                      <a:t>1359.95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178-42FD-BA70-A9EECED755BE}"/>
                </c:ext>
              </c:extLst>
            </c:dLbl>
            <c:dLbl>
              <c:idx val="1"/>
              <c:layout>
                <c:manualLayout>
                  <c:x val="1.1144130757800901E-2"/>
                  <c:y val="4.4957290573954698E-3"/>
                </c:manualLayout>
              </c:layout>
              <c:tx>
                <c:rich>
                  <a:bodyPr/>
                  <a:lstStyle/>
                  <a:p>
                    <a:r>
                      <a:rPr lang="en-US" altLang="zh-CN"/>
                      <a:t>1359.95 </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178-42FD-BA70-A9EECED755BE}"/>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Sheet1!$D$2:$D$3</c:f>
              <c:numCache>
                <c:formatCode>General</c:formatCode>
                <c:ptCount val="2"/>
                <c:pt idx="0">
                  <c:v>1359.95</c:v>
                </c:pt>
                <c:pt idx="1">
                  <c:v>1359.95</c:v>
                </c:pt>
              </c:numCache>
            </c:numRef>
          </c:val>
          <c:extLst>
            <c:ext xmlns:c16="http://schemas.microsoft.com/office/drawing/2014/chart" uri="{C3380CC4-5D6E-409C-BE32-E72D297353CC}">
              <c16:uniqueId val="{00000004-8178-42FD-BA70-A9EECED755BE}"/>
            </c:ext>
          </c:extLst>
        </c:ser>
        <c:dLbls>
          <c:showLegendKey val="0"/>
          <c:showVal val="0"/>
          <c:showCatName val="0"/>
          <c:showSerName val="0"/>
          <c:showPercent val="0"/>
          <c:showBubbleSize val="0"/>
        </c:dLbls>
        <c:gapWidth val="219"/>
        <c:overlap val="-27"/>
        <c:axId val="406143146"/>
        <c:axId val="185996679"/>
      </c:barChart>
      <c:catAx>
        <c:axId val="40614314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85996679"/>
        <c:crosses val="autoZero"/>
        <c:auto val="1"/>
        <c:lblAlgn val="ctr"/>
        <c:lblOffset val="100"/>
        <c:noMultiLvlLbl val="0"/>
      </c:catAx>
      <c:valAx>
        <c:axId val="1859966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06143146"/>
        <c:crosses val="autoZero"/>
        <c:crossBetween val="between"/>
      </c:valAx>
      <c:spPr>
        <a:noFill/>
        <a:ln>
          <a:noFill/>
        </a:ln>
        <a:effectLst/>
      </c:spPr>
    </c:plotArea>
    <c:legend>
      <c:legendPos val="b"/>
      <c:layout>
        <c:manualLayout>
          <c:xMode val="edge"/>
          <c:yMode val="edge"/>
          <c:x val="0.34076275383853399"/>
          <c:y val="0.9295669114341380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sz="1400"/>
              <a:t>一般公共预算财政拨款支出决算变动情况</a:t>
            </a:r>
          </a:p>
        </c:rich>
      </c:tx>
      <c:overlay val="0"/>
      <c:spPr>
        <a:noFill/>
        <a:ln>
          <a:noFill/>
        </a:ln>
        <a:effectLst/>
      </c:spPr>
      <c:txPr>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8.2074752097635401E-2"/>
          <c:y val="0.18349724154473501"/>
          <c:w val="0.88995677599796597"/>
          <c:h val="0.64379947229551404"/>
        </c:manualLayout>
      </c:layout>
      <c:barChart>
        <c:barDir val="col"/>
        <c:grouping val="clustered"/>
        <c:varyColors val="0"/>
        <c:ser>
          <c:idx val="0"/>
          <c:order val="0"/>
          <c:tx>
            <c:strRef>
              <c:f>Sheet1!$B$1</c:f>
              <c:strCache>
                <c:ptCount val="1"/>
                <c:pt idx="0">
                  <c:v>2025年度</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Sheet1!$B$2</c:f>
              <c:numCache>
                <c:formatCode>General</c:formatCode>
                <c:ptCount val="1"/>
                <c:pt idx="0">
                  <c:v>2008.17</c:v>
                </c:pt>
              </c:numCache>
            </c:numRef>
          </c:val>
          <c:extLst>
            <c:ext xmlns:c16="http://schemas.microsoft.com/office/drawing/2014/chart" uri="{C3380CC4-5D6E-409C-BE32-E72D297353CC}">
              <c16:uniqueId val="{00000000-481A-41B0-816A-606691303518}"/>
            </c:ext>
          </c:extLst>
        </c:ser>
        <c:ser>
          <c:idx val="1"/>
          <c:order val="1"/>
          <c:tx>
            <c:strRef>
              <c:f>Sheet1!$C$1</c:f>
              <c:strCache>
                <c:ptCount val="1"/>
                <c:pt idx="0">
                  <c:v>2024年度</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Sheet1!$C$2</c:f>
              <c:numCache>
                <c:formatCode>General</c:formatCode>
                <c:ptCount val="1"/>
                <c:pt idx="0">
                  <c:v>648.22</c:v>
                </c:pt>
              </c:numCache>
            </c:numRef>
          </c:val>
          <c:extLst>
            <c:ext xmlns:c16="http://schemas.microsoft.com/office/drawing/2014/chart" uri="{C3380CC4-5D6E-409C-BE32-E72D297353CC}">
              <c16:uniqueId val="{00000001-481A-41B0-816A-606691303518}"/>
            </c:ext>
          </c:extLst>
        </c:ser>
        <c:ser>
          <c:idx val="2"/>
          <c:order val="2"/>
          <c:tx>
            <c:strRef>
              <c:f>Sheet1!$D$1</c:f>
              <c:strCache>
                <c:ptCount val="1"/>
                <c:pt idx="0">
                  <c:v>增幅</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支出</c:v>
                </c:pt>
              </c:strCache>
            </c:strRef>
          </c:cat>
          <c:val>
            <c:numRef>
              <c:f>Sheet1!$D$2</c:f>
              <c:numCache>
                <c:formatCode>General</c:formatCode>
                <c:ptCount val="1"/>
                <c:pt idx="0">
                  <c:v>1359.95</c:v>
                </c:pt>
              </c:numCache>
            </c:numRef>
          </c:val>
          <c:extLst>
            <c:ext xmlns:c16="http://schemas.microsoft.com/office/drawing/2014/chart" uri="{C3380CC4-5D6E-409C-BE32-E72D297353CC}">
              <c16:uniqueId val="{00000002-481A-41B0-816A-606691303518}"/>
            </c:ext>
          </c:extLst>
        </c:ser>
        <c:dLbls>
          <c:showLegendKey val="0"/>
          <c:showVal val="1"/>
          <c:showCatName val="0"/>
          <c:showSerName val="0"/>
          <c:showPercent val="0"/>
          <c:showBubbleSize val="0"/>
        </c:dLbls>
        <c:gapWidth val="355"/>
        <c:overlap val="-70"/>
        <c:axId val="645858728"/>
        <c:axId val="829565038"/>
      </c:barChart>
      <c:catAx>
        <c:axId val="645858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829565038"/>
        <c:crosses val="autoZero"/>
        <c:auto val="1"/>
        <c:lblAlgn val="ctr"/>
        <c:lblOffset val="100"/>
        <c:noMultiLvlLbl val="0"/>
      </c:catAx>
      <c:valAx>
        <c:axId val="829565038"/>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4585872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40" b="0" i="0" u="none" strike="noStrike" kern="1200" spc="0" baseline="0">
                <a:solidFill>
                  <a:schemeClr val="tx1">
                    <a:lumMod val="65000"/>
                    <a:lumOff val="35000"/>
                  </a:schemeClr>
                </a:solidFill>
                <a:latin typeface="+mn-lt"/>
                <a:ea typeface="+mn-ea"/>
                <a:cs typeface="+mn-cs"/>
              </a:defRPr>
            </a:pPr>
            <a:r>
              <a:rPr lang="zh-CN" altLang="en-US" sz="1400">
                <a:solidFill>
                  <a:schemeClr val="tx1"/>
                </a:solidFill>
                <a:uFillTx/>
              </a:rPr>
              <a:t>一般公共预算财政拨款支出</a:t>
            </a:r>
          </a:p>
        </c:rich>
      </c:tx>
      <c:overlay val="0"/>
      <c:spPr>
        <a:noFill/>
        <a:ln>
          <a:noFill/>
        </a:ln>
        <a:effectLst/>
      </c:spPr>
    </c:title>
    <c:autoTitleDeleted val="0"/>
    <c:view3D>
      <c:rotX val="50"/>
      <c:rotY val="43"/>
      <c:depthPercent val="100"/>
      <c:rAngAx val="0"/>
      <c:perspective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3.14830157415079E-2"/>
          <c:y val="0.195201968423211"/>
          <c:w val="0.70718428216356999"/>
          <c:h val="0.79864670904244395"/>
        </c:manualLayout>
      </c:layout>
      <c:pie3DChart>
        <c:varyColors val="1"/>
        <c:ser>
          <c:idx val="0"/>
          <c:order val="0"/>
          <c:tx>
            <c:strRef>
              <c:f>Sheet1!$B$1</c:f>
              <c:strCache>
                <c:ptCount val="1"/>
                <c:pt idx="0">
                  <c:v>金额</c:v>
                </c:pt>
              </c:strCache>
            </c:strRef>
          </c:tx>
          <c:explosion val="24"/>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F24-499D-876C-A348E594131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F24-499D-876C-A348E594131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F24-499D-876C-A348E5941316}"/>
              </c:ext>
            </c:extLst>
          </c:dPt>
          <c:dPt>
            <c:idx val="3"/>
            <c:bubble3D val="0"/>
            <c:extLst>
              <c:ext xmlns:c16="http://schemas.microsoft.com/office/drawing/2014/chart" uri="{C3380CC4-5D6E-409C-BE32-E72D297353CC}">
                <c16:uniqueId val="{00000006-6F24-499D-876C-A348E5941316}"/>
              </c:ext>
            </c:extLst>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inEnd"/>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社会保障和就业支出</c:v>
                </c:pt>
                <c:pt idx="1">
                  <c:v>交通运输支出</c:v>
                </c:pt>
                <c:pt idx="2">
                  <c:v>住房保障支出</c:v>
                </c:pt>
                <c:pt idx="3">
                  <c:v>卫生健康支出</c:v>
                </c:pt>
              </c:strCache>
            </c:strRef>
          </c:cat>
          <c:val>
            <c:numRef>
              <c:f>Sheet1!$B$2:$B$5</c:f>
              <c:numCache>
                <c:formatCode>General</c:formatCode>
                <c:ptCount val="4"/>
                <c:pt idx="0">
                  <c:v>171.39</c:v>
                </c:pt>
                <c:pt idx="1">
                  <c:v>1771.81</c:v>
                </c:pt>
                <c:pt idx="2">
                  <c:v>37.69</c:v>
                </c:pt>
                <c:pt idx="3">
                  <c:v>27.28</c:v>
                </c:pt>
              </c:numCache>
            </c:numRef>
          </c:val>
          <c:extLst>
            <c:ext xmlns:c16="http://schemas.microsoft.com/office/drawing/2014/chart" uri="{C3380CC4-5D6E-409C-BE32-E72D297353CC}">
              <c16:uniqueId val="{00000007-6F24-499D-876C-A348E5941316}"/>
            </c:ext>
          </c:extLst>
        </c:ser>
        <c:dLbls>
          <c:showLegendKey val="0"/>
          <c:showVal val="1"/>
          <c:showCatName val="0"/>
          <c:showSerName val="0"/>
          <c:showPercent val="0"/>
          <c:showBubbleSize val="0"/>
          <c:showLeaderLines val="1"/>
        </c:dLbls>
      </c:pie3DChart>
      <c:spPr>
        <a:noFill/>
        <a:ln>
          <a:noFill/>
        </a:ln>
        <a:effectLst/>
      </c:spPr>
    </c:plotArea>
    <c:legend>
      <c:legendPos val="r"/>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三公经费结构图</a:t>
            </a:r>
          </a:p>
        </c:rich>
      </c:tx>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三公经费结构图</c:v>
                </c:pt>
              </c:strCache>
            </c:strRef>
          </c:tx>
          <c:spPr>
            <a:scene3d>
              <a:camera prst="orthographicFront"/>
              <a:lightRig rig="threePt" dir="t"/>
            </a:scene3d>
            <a:sp3d contourW="9525"/>
          </c:spPr>
          <c:dPt>
            <c:idx val="0"/>
            <c:bubble3D val="0"/>
            <c:spPr>
              <a:solidFill>
                <a:schemeClr val="accent6">
                  <a:tint val="76667"/>
                </a:schemeClr>
              </a:solidFill>
              <a:ln>
                <a:solidFill>
                  <a:schemeClr val="bg1"/>
                </a:solidFill>
              </a:ln>
              <a:effectLst/>
            </c:spPr>
            <c:extLst>
              <c:ext xmlns:c16="http://schemas.microsoft.com/office/drawing/2014/chart" uri="{C3380CC4-5D6E-409C-BE32-E72D297353CC}">
                <c16:uniqueId val="{00000001-315C-41D9-8BE4-56F8B1C9A9FA}"/>
              </c:ext>
            </c:extLst>
          </c:dPt>
          <c:dPt>
            <c:idx val="1"/>
            <c:bubble3D val="0"/>
            <c:spPr>
              <a:solidFill>
                <a:schemeClr val="accent6">
                  <a:shade val="76667"/>
                </a:schemeClr>
              </a:solidFill>
              <a:ln>
                <a:solidFill>
                  <a:schemeClr val="bg1"/>
                </a:solidFill>
              </a:ln>
              <a:effectLst/>
            </c:spPr>
            <c:extLst>
              <c:ext xmlns:c16="http://schemas.microsoft.com/office/drawing/2014/chart" uri="{C3380CC4-5D6E-409C-BE32-E72D297353CC}">
                <c16:uniqueId val="{00000003-315C-41D9-8BE4-56F8B1C9A9FA}"/>
              </c:ext>
            </c:extLst>
          </c:dPt>
          <c:dLbls>
            <c:dLbl>
              <c:idx val="0"/>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zh-CN" altLang="en-US"/>
                      <a:t>公务用车购置及运行维护费</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100%</a:t>
                    </a:r>
                  </a:p>
                </c:rich>
              </c:tx>
              <c:spPr>
                <a:noFill/>
                <a:ln>
                  <a:noFill/>
                </a:ln>
                <a:effectLst/>
              </c:spPr>
              <c:dLblPos val="outEnd"/>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315C-41D9-8BE4-56F8B1C9A9FA}"/>
                </c:ext>
              </c:extLst>
            </c:dLbl>
            <c:dLbl>
              <c:idx val="1"/>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zh-CN" altLang="en-US"/>
                      <a:t>公务接待费</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0%</a:t>
                    </a:r>
                  </a:p>
                </c:rich>
              </c:tx>
              <c:spPr>
                <a:noFill/>
                <a:ln>
                  <a:noFill/>
                </a:ln>
                <a:effectLst/>
              </c:spPr>
              <c:dLblPos val="outEnd"/>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315C-41D9-8BE4-56F8B1C9A9FA}"/>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Sheet1!$A$2:$A$3</c:f>
              <c:strCache>
                <c:ptCount val="2"/>
                <c:pt idx="0">
                  <c:v>公务用车购置及运行维护费</c:v>
                </c:pt>
                <c:pt idx="1">
                  <c:v>公务接待费</c:v>
                </c:pt>
              </c:strCache>
            </c:strRef>
          </c:cat>
          <c:val>
            <c:numRef>
              <c:f>Sheet1!$B$2:$B$3</c:f>
              <c:numCache>
                <c:formatCode>General</c:formatCode>
                <c:ptCount val="2"/>
                <c:pt idx="0">
                  <c:v>0.52</c:v>
                </c:pt>
                <c:pt idx="1">
                  <c:v>0</c:v>
                </c:pt>
              </c:numCache>
            </c:numRef>
          </c:val>
          <c:extLst>
            <c:ext xmlns:c16="http://schemas.microsoft.com/office/drawing/2014/chart" uri="{C3380CC4-5D6E-409C-BE32-E72D297353CC}">
              <c16:uniqueId val="{00000004-315C-41D9-8BE4-56F8B1C9A9FA}"/>
            </c:ext>
          </c:extLst>
        </c:ser>
        <c:dLbls>
          <c:showLegendKey val="0"/>
          <c:showVal val="1"/>
          <c:showCatName val="0"/>
          <c:showSerName val="0"/>
          <c:showPercent val="0"/>
          <c:showBubbleSize val="0"/>
          <c:showLeaderLines val="1"/>
        </c:dLbls>
      </c:pie3DChart>
      <c:spPr>
        <a:noFill/>
        <a:ln>
          <a:noFill/>
        </a:ln>
        <a:effectLst/>
      </c:spPr>
    </c:plotArea>
    <c:legend>
      <c:legendPos val="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D91C4A-842A-47C2-A20C-0B6A29AF7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1155</Words>
  <Characters>6587</Characters>
  <Application>Microsoft Office Word</Application>
  <DocSecurity>0</DocSecurity>
  <Lines>54</Lines>
  <Paragraphs>15</Paragraphs>
  <ScaleCrop>false</ScaleCrop>
  <Company>四川省财政厅</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周俊岑</cp:lastModifiedBy>
  <cp:revision>2</cp:revision>
  <cp:lastPrinted>2026-08-27T00:27:00Z</cp:lastPrinted>
  <dcterms:created xsi:type="dcterms:W3CDTF">2026-09-14T01:17:00Z</dcterms:created>
  <dcterms:modified xsi:type="dcterms:W3CDTF">2026-09-14T01:17:00Z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3BF536824C220DA3E40E8B68BA118B1C_42</vt:lpwstr>
  </property>
</Properties>
</file>