
<file path=[Content_Types].xml><?xml version="1.0" encoding="utf-8"?>
<Types xmlns="http://schemas.openxmlformats.org/package/2006/content-types">
  <Default Extension="xml" ContentType="application/xml"/>
  <Default Extension="xls" ContentType="application/vnd.ms-exce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77EF3">
      <w:bookmarkStart w:id="0" w:name="_Toc15377425"/>
      <w:bookmarkStart w:id="1" w:name="_Toc15306267"/>
      <w:bookmarkStart w:id="2" w:name="_Toc15396597"/>
      <w:bookmarkStart w:id="3" w:name="_Toc15378441"/>
      <w:bookmarkStart w:id="4" w:name="_Toc15396475"/>
      <w:bookmarkStart w:id="5" w:name="_Toc15377193"/>
    </w:p>
    <w:p w14:paraId="229D3739">
      <w:pPr>
        <w:pStyle w:val="7"/>
        <w:spacing w:before="93"/>
        <w:jc w:val="center"/>
        <w:rPr>
          <w:rFonts w:ascii="Times New Roman" w:eastAsia="方正小标宋简体"/>
          <w:kern w:val="2"/>
          <w:sz w:val="44"/>
          <w:szCs w:val="44"/>
        </w:rPr>
      </w:pPr>
    </w:p>
    <w:p w14:paraId="18DD7965">
      <w:pPr>
        <w:pStyle w:val="7"/>
        <w:spacing w:before="93"/>
        <w:jc w:val="center"/>
        <w:rPr>
          <w:rFonts w:ascii="Times New Roman" w:eastAsia="方正小标宋简体"/>
          <w:kern w:val="2"/>
          <w:sz w:val="44"/>
          <w:szCs w:val="44"/>
        </w:rPr>
      </w:pPr>
    </w:p>
    <w:p w14:paraId="2E7C215C">
      <w:pPr>
        <w:pStyle w:val="7"/>
        <w:spacing w:before="93"/>
        <w:jc w:val="center"/>
        <w:rPr>
          <w:rFonts w:ascii="Times New Roman" w:eastAsia="方正小标宋简体"/>
          <w:kern w:val="2"/>
          <w:sz w:val="44"/>
          <w:szCs w:val="44"/>
        </w:rPr>
      </w:pPr>
    </w:p>
    <w:p w14:paraId="4992DCE4">
      <w:pPr>
        <w:pStyle w:val="7"/>
        <w:spacing w:before="93"/>
        <w:jc w:val="center"/>
        <w:rPr>
          <w:rFonts w:ascii="Times New Roman" w:eastAsia="方正小标宋简体"/>
          <w:kern w:val="2"/>
          <w:sz w:val="44"/>
          <w:szCs w:val="44"/>
        </w:rPr>
      </w:pPr>
    </w:p>
    <w:bookmarkEnd w:id="0"/>
    <w:bookmarkEnd w:id="1"/>
    <w:bookmarkEnd w:id="2"/>
    <w:bookmarkEnd w:id="3"/>
    <w:bookmarkEnd w:id="4"/>
    <w:bookmarkEnd w:id="5"/>
    <w:p w14:paraId="0198020C">
      <w:pPr>
        <w:pStyle w:val="7"/>
        <w:spacing w:before="93"/>
        <w:jc w:val="center"/>
        <w:rPr>
          <w:rFonts w:ascii="Times New Roman" w:eastAsia="方正小标宋简体"/>
          <w:kern w:val="2"/>
          <w:sz w:val="44"/>
          <w:szCs w:val="44"/>
        </w:rPr>
      </w:pPr>
      <w:bookmarkStart w:id="6" w:name="_Toc15396598"/>
      <w:bookmarkStart w:id="7" w:name="_Toc15306268"/>
      <w:bookmarkStart w:id="8" w:name="_Toc15377194"/>
      <w:bookmarkStart w:id="9" w:name="_Toc15396476"/>
      <w:bookmarkStart w:id="10" w:name="_Toc15378442"/>
      <w:bookmarkStart w:id="11" w:name="_Toc15377426"/>
      <w:r>
        <w:rPr>
          <w:rFonts w:hint="eastAsia" w:ascii="Times New Roman" w:eastAsia="方正小标宋简体"/>
          <w:kern w:val="2"/>
          <w:sz w:val="44"/>
          <w:szCs w:val="44"/>
        </w:rPr>
        <w:t>2025年度</w:t>
      </w:r>
    </w:p>
    <w:p w14:paraId="1C74C0BA">
      <w:pPr>
        <w:pStyle w:val="7"/>
        <w:spacing w:before="93"/>
        <w:jc w:val="center"/>
        <w:rPr>
          <w:rFonts w:ascii="Times New Roman" w:eastAsia="方正小标宋简体"/>
          <w:kern w:val="2"/>
          <w:sz w:val="44"/>
          <w:szCs w:val="44"/>
        </w:rPr>
      </w:pPr>
      <w:bookmarkStart w:id="12" w:name="_Toc82525363"/>
      <w:r>
        <w:rPr>
          <w:rFonts w:hint="eastAsia" w:ascii="Times New Roman" w:eastAsia="方正小标宋简体"/>
          <w:kern w:val="2"/>
          <w:sz w:val="44"/>
          <w:szCs w:val="44"/>
        </w:rPr>
        <w:t>攀枝花市交通</w:t>
      </w:r>
      <w:bookmarkEnd w:id="12"/>
      <w:r>
        <w:rPr>
          <w:rFonts w:hint="eastAsia" w:ascii="Times New Roman" w:eastAsia="方正小标宋简体"/>
          <w:kern w:val="2"/>
          <w:sz w:val="44"/>
          <w:szCs w:val="44"/>
        </w:rPr>
        <w:t>建设工程</w:t>
      </w:r>
    </w:p>
    <w:p w14:paraId="27B2C534">
      <w:pPr>
        <w:pStyle w:val="7"/>
        <w:spacing w:before="93"/>
        <w:jc w:val="center"/>
        <w:rPr>
          <w:rFonts w:ascii="Times New Roman" w:eastAsia="方正小标宋简体"/>
          <w:kern w:val="2"/>
          <w:sz w:val="44"/>
          <w:szCs w:val="44"/>
        </w:rPr>
      </w:pPr>
      <w:r>
        <w:rPr>
          <w:rFonts w:hint="eastAsia" w:ascii="Times New Roman" w:eastAsia="方正小标宋简体"/>
          <w:kern w:val="2"/>
          <w:sz w:val="44"/>
          <w:szCs w:val="44"/>
        </w:rPr>
        <w:t>服务中心单位决算</w:t>
      </w:r>
    </w:p>
    <w:bookmarkEnd w:id="6"/>
    <w:bookmarkEnd w:id="7"/>
    <w:bookmarkEnd w:id="8"/>
    <w:bookmarkEnd w:id="9"/>
    <w:bookmarkEnd w:id="10"/>
    <w:bookmarkEnd w:id="11"/>
    <w:p w14:paraId="1EC95034">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555AD806">
      <w:pPr>
        <w:widowControl/>
        <w:jc w:val="center"/>
        <w:rPr>
          <w:rFonts w:eastAsia="黑体" w:cstheme="minorBidi"/>
          <w:sz w:val="28"/>
          <w:szCs w:val="28"/>
        </w:rPr>
      </w:pPr>
    </w:p>
    <w:p w14:paraId="499C94DE">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公开时间：2026年9月15日</w:t>
      </w:r>
    </w:p>
    <w:p w14:paraId="2595D4B9"/>
    <w:p w14:paraId="5B196BA9">
      <w:pPr>
        <w:pStyle w:val="38"/>
      </w:pPr>
      <w:r>
        <w:rPr>
          <w:rFonts w:hint="eastAsia"/>
          <w:b/>
          <w:bCs/>
          <w:sz w:val="32"/>
          <w:szCs w:val="32"/>
        </w:rPr>
        <w:t>第一部分 单位概况</w:t>
      </w:r>
      <w:r>
        <w:rPr>
          <w:rFonts w:hint="eastAsia"/>
        </w:rPr>
        <w:tab/>
      </w:r>
      <w:r>
        <w:rPr>
          <w:rFonts w:hint="eastAsia"/>
        </w:rPr>
        <w:t>4</w:t>
      </w:r>
    </w:p>
    <w:p w14:paraId="28C7BABE">
      <w:pPr>
        <w:pStyle w:val="38"/>
      </w:pPr>
      <w:r>
        <w:rPr>
          <w:rFonts w:hint="eastAsia"/>
        </w:rPr>
        <w:t>一、主要职责</w:t>
      </w:r>
      <w:r>
        <w:rPr>
          <w:rFonts w:hint="eastAsia"/>
        </w:rPr>
        <w:tab/>
      </w:r>
      <w:r>
        <w:rPr>
          <w:rFonts w:hint="eastAsia"/>
        </w:rPr>
        <w:t>4</w:t>
      </w:r>
    </w:p>
    <w:p w14:paraId="714C1A0E">
      <w:pPr>
        <w:pStyle w:val="38"/>
      </w:pPr>
      <w:r>
        <w:rPr>
          <w:rFonts w:hint="eastAsia"/>
        </w:rPr>
        <w:t>二、机构设置</w:t>
      </w:r>
      <w:r>
        <w:rPr>
          <w:rFonts w:hint="eastAsia"/>
        </w:rPr>
        <w:tab/>
      </w:r>
      <w:r>
        <w:rPr>
          <w:rFonts w:hint="eastAsia"/>
        </w:rPr>
        <w:t>4</w:t>
      </w:r>
    </w:p>
    <w:p w14:paraId="1FBD268C">
      <w:pPr>
        <w:pStyle w:val="38"/>
      </w:pPr>
      <w:r>
        <w:rPr>
          <w:rFonts w:hint="eastAsia"/>
          <w:b/>
          <w:bCs/>
          <w:sz w:val="32"/>
          <w:szCs w:val="32"/>
        </w:rPr>
        <w:t>第二部分 2025年度单位决算情况说明</w:t>
      </w:r>
      <w:r>
        <w:rPr>
          <w:rFonts w:hint="eastAsia"/>
        </w:rPr>
        <w:tab/>
      </w:r>
      <w:r>
        <w:rPr>
          <w:rFonts w:hint="eastAsia"/>
        </w:rPr>
        <w:t>6</w:t>
      </w:r>
    </w:p>
    <w:p w14:paraId="0B538777">
      <w:pPr>
        <w:pStyle w:val="38"/>
      </w:pPr>
      <w:r>
        <w:rPr>
          <w:rFonts w:hint="eastAsia"/>
        </w:rPr>
        <w:t>一、收入支出决算总体情况说明</w:t>
      </w:r>
      <w:r>
        <w:rPr>
          <w:rFonts w:hint="eastAsia"/>
        </w:rPr>
        <w:tab/>
      </w:r>
      <w:r>
        <w:rPr>
          <w:rFonts w:hint="eastAsia"/>
        </w:rPr>
        <w:t>6</w:t>
      </w:r>
    </w:p>
    <w:p w14:paraId="696B7DF5">
      <w:pPr>
        <w:pStyle w:val="38"/>
      </w:pPr>
      <w:r>
        <w:rPr>
          <w:rFonts w:hint="eastAsia"/>
        </w:rPr>
        <w:t>二、收入决算情况说明</w:t>
      </w:r>
      <w:r>
        <w:rPr>
          <w:rFonts w:hint="eastAsia"/>
        </w:rPr>
        <w:tab/>
      </w:r>
      <w:r>
        <w:rPr>
          <w:rFonts w:hint="eastAsia"/>
        </w:rPr>
        <w:t>6</w:t>
      </w:r>
    </w:p>
    <w:p w14:paraId="2221CA0E">
      <w:pPr>
        <w:pStyle w:val="38"/>
      </w:pPr>
      <w:r>
        <w:rPr>
          <w:rFonts w:hint="eastAsia"/>
        </w:rPr>
        <w:t>三、支出决算情况说明</w:t>
      </w:r>
      <w:r>
        <w:rPr>
          <w:rFonts w:hint="eastAsia"/>
        </w:rPr>
        <w:tab/>
      </w:r>
      <w:r>
        <w:rPr>
          <w:rFonts w:hint="eastAsia"/>
        </w:rPr>
        <w:t>7</w:t>
      </w:r>
    </w:p>
    <w:p w14:paraId="29DEDA7E">
      <w:pPr>
        <w:pStyle w:val="38"/>
      </w:pPr>
      <w:r>
        <w:rPr>
          <w:rFonts w:hint="eastAsia"/>
        </w:rPr>
        <w:t>四、财政拨款收入支出决算总体情况说明</w:t>
      </w:r>
      <w:r>
        <w:rPr>
          <w:rFonts w:hint="eastAsia"/>
        </w:rPr>
        <w:tab/>
      </w:r>
      <w:r>
        <w:rPr>
          <w:rFonts w:hint="eastAsia"/>
        </w:rPr>
        <w:t>8</w:t>
      </w:r>
    </w:p>
    <w:p w14:paraId="14CC5DDA">
      <w:pPr>
        <w:pStyle w:val="38"/>
      </w:pPr>
      <w:r>
        <w:rPr>
          <w:rFonts w:hint="eastAsia"/>
        </w:rPr>
        <w:t>五、一般公共预算财政拨款支出决算情况说明</w:t>
      </w:r>
      <w:r>
        <w:rPr>
          <w:rFonts w:hint="eastAsia"/>
        </w:rPr>
        <w:tab/>
      </w:r>
      <w:r>
        <w:rPr>
          <w:rFonts w:hint="eastAsia"/>
        </w:rPr>
        <w:t>8</w:t>
      </w:r>
    </w:p>
    <w:p w14:paraId="569834F0">
      <w:pPr>
        <w:pStyle w:val="38"/>
      </w:pPr>
      <w:r>
        <w:rPr>
          <w:rFonts w:hint="eastAsia"/>
        </w:rPr>
        <w:t>六、一般公共预算财政拨款基本支出决算情况说明</w:t>
      </w:r>
      <w:r>
        <w:rPr>
          <w:rFonts w:hint="eastAsia"/>
        </w:rPr>
        <w:tab/>
      </w:r>
      <w:r>
        <w:rPr>
          <w:rFonts w:hint="eastAsia"/>
        </w:rPr>
        <w:t>11</w:t>
      </w:r>
    </w:p>
    <w:p w14:paraId="1451AD57">
      <w:pPr>
        <w:pStyle w:val="38"/>
      </w:pPr>
      <w:r>
        <w:rPr>
          <w:rFonts w:hint="eastAsia"/>
        </w:rPr>
        <w:t>七、财政拨款“三公”经费支出决算情况说明</w:t>
      </w:r>
      <w:r>
        <w:rPr>
          <w:rFonts w:hint="eastAsia"/>
        </w:rPr>
        <w:tab/>
      </w:r>
      <w:r>
        <w:rPr>
          <w:rFonts w:hint="eastAsia"/>
        </w:rPr>
        <w:t>11</w:t>
      </w:r>
    </w:p>
    <w:p w14:paraId="018D3D3A">
      <w:pPr>
        <w:pStyle w:val="38"/>
      </w:pPr>
      <w:r>
        <w:rPr>
          <w:rFonts w:hint="eastAsia"/>
        </w:rPr>
        <w:t>八、政府性基金预算支出决算情况说明</w:t>
      </w:r>
      <w:r>
        <w:rPr>
          <w:rFonts w:hint="eastAsia"/>
        </w:rPr>
        <w:tab/>
      </w:r>
      <w:r>
        <w:rPr>
          <w:rFonts w:hint="eastAsia"/>
        </w:rPr>
        <w:t>13</w:t>
      </w:r>
    </w:p>
    <w:p w14:paraId="4491B1F5">
      <w:pPr>
        <w:pStyle w:val="38"/>
      </w:pPr>
      <w:r>
        <w:rPr>
          <w:rFonts w:hint="eastAsia"/>
        </w:rPr>
        <w:t>九、国有资本经营预算支出决算情况说明</w:t>
      </w:r>
      <w:r>
        <w:rPr>
          <w:rFonts w:hint="eastAsia"/>
        </w:rPr>
        <w:tab/>
      </w:r>
      <w:r>
        <w:rPr>
          <w:rFonts w:hint="eastAsia"/>
        </w:rPr>
        <w:t>13</w:t>
      </w:r>
    </w:p>
    <w:p w14:paraId="31255374">
      <w:pPr>
        <w:pStyle w:val="38"/>
      </w:pPr>
      <w:r>
        <w:rPr>
          <w:rFonts w:hint="eastAsia"/>
        </w:rPr>
        <w:t>十、其他重要事项的情况说明</w:t>
      </w:r>
      <w:r>
        <w:rPr>
          <w:rFonts w:hint="eastAsia"/>
        </w:rPr>
        <w:tab/>
      </w:r>
      <w:r>
        <w:rPr>
          <w:rFonts w:hint="eastAsia"/>
        </w:rPr>
        <w:t>13</w:t>
      </w:r>
    </w:p>
    <w:p w14:paraId="0B18CDEB">
      <w:pPr>
        <w:pStyle w:val="38"/>
      </w:pPr>
      <w:r>
        <w:rPr>
          <w:rFonts w:hint="eastAsia"/>
          <w:b/>
          <w:bCs/>
          <w:sz w:val="32"/>
          <w:szCs w:val="32"/>
        </w:rPr>
        <w:t>第三部分 名词解释</w:t>
      </w:r>
      <w:r>
        <w:rPr>
          <w:rFonts w:hint="eastAsia"/>
        </w:rPr>
        <w:tab/>
      </w:r>
      <w:r>
        <w:rPr>
          <w:rFonts w:hint="eastAsia"/>
        </w:rPr>
        <w:t>15</w:t>
      </w:r>
    </w:p>
    <w:p w14:paraId="70101D1A">
      <w:pPr>
        <w:pStyle w:val="38"/>
      </w:pPr>
      <w:r>
        <w:rPr>
          <w:rFonts w:hint="eastAsia"/>
          <w:b/>
          <w:bCs/>
          <w:sz w:val="32"/>
          <w:szCs w:val="32"/>
        </w:rPr>
        <w:t>第四部分 附件</w:t>
      </w:r>
      <w:r>
        <w:rPr>
          <w:rFonts w:hint="eastAsia"/>
        </w:rPr>
        <w:tab/>
      </w:r>
      <w:r>
        <w:rPr>
          <w:rFonts w:hint="eastAsia"/>
        </w:rPr>
        <w:t>18</w:t>
      </w:r>
    </w:p>
    <w:p w14:paraId="50246BBF">
      <w:pPr>
        <w:pStyle w:val="38"/>
      </w:pPr>
      <w:r>
        <w:rPr>
          <w:rFonts w:hint="eastAsia"/>
          <w:b/>
          <w:bCs/>
          <w:sz w:val="32"/>
          <w:szCs w:val="32"/>
        </w:rPr>
        <w:t>第五部分 附表</w:t>
      </w:r>
      <w:r>
        <w:rPr>
          <w:rFonts w:hint="eastAsia"/>
        </w:rPr>
        <w:tab/>
      </w:r>
      <w:r>
        <w:rPr>
          <w:rFonts w:hint="eastAsia"/>
        </w:rPr>
        <w:t>19</w:t>
      </w:r>
    </w:p>
    <w:p w14:paraId="44E84260">
      <w:pPr>
        <w:pStyle w:val="38"/>
        <w:jc w:val="left"/>
      </w:pPr>
      <w:r>
        <w:rPr>
          <w:rFonts w:hint="eastAsia"/>
        </w:rPr>
        <w:t>一、收入支出决算总表</w:t>
      </w:r>
    </w:p>
    <w:p w14:paraId="6F59BFCE">
      <w:pPr>
        <w:pStyle w:val="38"/>
        <w:jc w:val="left"/>
      </w:pPr>
      <w:r>
        <w:rPr>
          <w:rFonts w:hint="eastAsia"/>
        </w:rPr>
        <w:t>二、收入决算表</w:t>
      </w:r>
    </w:p>
    <w:p w14:paraId="3F27A8EC">
      <w:pPr>
        <w:pStyle w:val="38"/>
        <w:jc w:val="left"/>
      </w:pPr>
      <w:r>
        <w:rPr>
          <w:rFonts w:hint="eastAsia"/>
        </w:rPr>
        <w:t>三、支出决算表</w:t>
      </w:r>
    </w:p>
    <w:p w14:paraId="040BF5D2">
      <w:pPr>
        <w:pStyle w:val="38"/>
        <w:jc w:val="left"/>
      </w:pPr>
      <w:r>
        <w:rPr>
          <w:rFonts w:hint="eastAsia"/>
        </w:rPr>
        <w:t>四、财政拨款收入支出决算总表</w:t>
      </w:r>
    </w:p>
    <w:p w14:paraId="742A9E2E">
      <w:pPr>
        <w:pStyle w:val="38"/>
        <w:jc w:val="left"/>
      </w:pPr>
      <w:r>
        <w:rPr>
          <w:rFonts w:hint="eastAsia"/>
        </w:rPr>
        <w:t>五、财政拨款支出决算明细表</w:t>
      </w:r>
    </w:p>
    <w:p w14:paraId="50A575E2">
      <w:pPr>
        <w:pStyle w:val="38"/>
        <w:jc w:val="left"/>
      </w:pPr>
      <w:r>
        <w:rPr>
          <w:rFonts w:hint="eastAsia"/>
        </w:rPr>
        <w:t>六、一般公共预算财政拨款支出决算表</w:t>
      </w:r>
    </w:p>
    <w:p w14:paraId="77C9F865">
      <w:pPr>
        <w:pStyle w:val="38"/>
        <w:jc w:val="left"/>
      </w:pPr>
      <w:r>
        <w:rPr>
          <w:rFonts w:hint="eastAsia"/>
        </w:rPr>
        <w:t>七、一般公共预算财政拨款支出决算明细表</w:t>
      </w:r>
    </w:p>
    <w:p w14:paraId="33317E75">
      <w:pPr>
        <w:pStyle w:val="38"/>
        <w:jc w:val="left"/>
      </w:pPr>
      <w:r>
        <w:rPr>
          <w:rFonts w:hint="eastAsia"/>
        </w:rPr>
        <w:t>八、一般公共预算财政拨款基本支出决算明细表</w:t>
      </w:r>
    </w:p>
    <w:p w14:paraId="6CDABF35">
      <w:pPr>
        <w:pStyle w:val="38"/>
        <w:jc w:val="left"/>
      </w:pPr>
      <w:r>
        <w:rPr>
          <w:rFonts w:hint="eastAsia"/>
        </w:rPr>
        <w:t>九、一般公共预算财政拨款项目支出决算表</w:t>
      </w:r>
    </w:p>
    <w:p w14:paraId="4555345F">
      <w:pPr>
        <w:pStyle w:val="38"/>
        <w:jc w:val="left"/>
      </w:pPr>
      <w:r>
        <w:rPr>
          <w:rFonts w:hint="eastAsia"/>
        </w:rPr>
        <w:t>十、政府性基金预算财政拨款收入支出决算表</w:t>
      </w:r>
    </w:p>
    <w:p w14:paraId="1730D19F">
      <w:pPr>
        <w:pStyle w:val="38"/>
        <w:jc w:val="left"/>
      </w:pPr>
      <w:r>
        <w:rPr>
          <w:rFonts w:hint="eastAsia"/>
        </w:rPr>
        <w:t>十一、国有资本经营预算财政拨款收入支出决算表</w:t>
      </w:r>
    </w:p>
    <w:p w14:paraId="5F730BF8">
      <w:pPr>
        <w:pStyle w:val="38"/>
        <w:jc w:val="left"/>
      </w:pPr>
      <w:r>
        <w:rPr>
          <w:rFonts w:hint="eastAsia"/>
        </w:rPr>
        <w:t>十二、国有资本经营预算财政拨款支出决算表</w:t>
      </w:r>
    </w:p>
    <w:p w14:paraId="0E499A04">
      <w:pPr>
        <w:pStyle w:val="38"/>
        <w:jc w:val="left"/>
      </w:pPr>
      <w:r>
        <w:rPr>
          <w:rFonts w:hint="eastAsia"/>
        </w:rPr>
        <w:t>十三、财政拨款“三公”经费支出决算表</w:t>
      </w:r>
    </w:p>
    <w:p w14:paraId="66957121">
      <w:pPr>
        <w:widowControl/>
        <w:spacing w:line="560" w:lineRule="exact"/>
        <w:jc w:val="left"/>
        <w:rPr>
          <w:rFonts w:eastAsia="仿宋_GB2312" w:cs="仿宋_GB2312"/>
          <w:bCs/>
          <w:kern w:val="44"/>
          <w:sz w:val="32"/>
          <w:szCs w:val="32"/>
        </w:rPr>
      </w:pPr>
      <w:bookmarkStart w:id="13" w:name="_Toc15396599"/>
      <w:bookmarkStart w:id="14" w:name="_Toc15377196"/>
      <w:r>
        <w:rPr>
          <w:rFonts w:hint="eastAsia" w:eastAsia="仿宋_GB2312" w:cs="仿宋_GB2312"/>
          <w:b/>
          <w:sz w:val="32"/>
          <w:szCs w:val="32"/>
        </w:rPr>
        <w:br w:type="page"/>
      </w:r>
    </w:p>
    <w:p w14:paraId="0B998102">
      <w:pPr>
        <w:pStyle w:val="3"/>
        <w:jc w:val="center"/>
        <w:rPr>
          <w:rStyle w:val="31"/>
          <w:rFonts w:eastAsia="方正小标宋简体" w:cs="方正小标宋简体"/>
          <w:b/>
          <w:bCs w:val="0"/>
        </w:rPr>
      </w:pPr>
      <w:r>
        <w:rPr>
          <w:rFonts w:hint="eastAsia" w:eastAsia="方正小标宋简体" w:cs="方正小标宋简体"/>
          <w:b w:val="0"/>
        </w:rPr>
        <w:t>第一部分</w:t>
      </w:r>
      <w:r>
        <w:rPr>
          <w:rStyle w:val="31"/>
          <w:rFonts w:hint="eastAsia" w:eastAsia="方正小标宋简体" w:cs="方正小标宋简体"/>
          <w:b w:val="0"/>
          <w:bCs w:val="0"/>
          <w:highlight w:val="none"/>
        </w:rPr>
        <w:t>单位</w:t>
      </w:r>
      <w:r>
        <w:rPr>
          <w:rStyle w:val="31"/>
          <w:rFonts w:hint="eastAsia" w:eastAsia="方正小标宋简体" w:cs="方正小标宋简体"/>
          <w:b w:val="0"/>
          <w:bCs w:val="0"/>
        </w:rPr>
        <w:t>概况</w:t>
      </w:r>
      <w:bookmarkEnd w:id="13"/>
      <w:bookmarkEnd w:id="14"/>
    </w:p>
    <w:p w14:paraId="28DFBA60">
      <w:pPr>
        <w:widowControl/>
        <w:jc w:val="left"/>
        <w:rPr>
          <w:rFonts w:eastAsia="黑体"/>
          <w:sz w:val="32"/>
          <w:szCs w:val="32"/>
        </w:rPr>
      </w:pPr>
    </w:p>
    <w:p w14:paraId="063481D2">
      <w:pPr>
        <w:pStyle w:val="4"/>
        <w:numPr>
          <w:ilvl w:val="0"/>
          <w:numId w:val="1"/>
        </w:numPr>
        <w:rPr>
          <w:rFonts w:ascii="Times New Roman" w:hAnsi="Times New Roman" w:eastAsia="黑体"/>
          <w:b w:val="0"/>
        </w:rPr>
      </w:pPr>
      <w:r>
        <w:rPr>
          <w:rFonts w:hint="eastAsia" w:ascii="Times New Roman" w:hAnsi="Times New Roman" w:eastAsia="黑体"/>
          <w:b w:val="0"/>
        </w:rPr>
        <w:t>单位职责</w:t>
      </w:r>
      <w:bookmarkStart w:id="74" w:name="_GoBack"/>
      <w:bookmarkEnd w:id="74"/>
    </w:p>
    <w:p w14:paraId="338503D6">
      <w:pPr>
        <w:spacing w:line="520" w:lineRule="exact"/>
        <w:ind w:firstLine="689"/>
        <w:rPr>
          <w:rFonts w:eastAsia="仿宋_GB2312"/>
          <w:sz w:val="32"/>
          <w:szCs w:val="32"/>
        </w:rPr>
      </w:pPr>
      <w:r>
        <w:rPr>
          <w:rFonts w:hint="eastAsia" w:eastAsia="仿宋_GB2312"/>
          <w:sz w:val="32"/>
          <w:szCs w:val="32"/>
        </w:rPr>
        <w:t xml:space="preserve">（一）为市交通运输局提供行政辅助和技术支撑的职能。 </w:t>
      </w:r>
    </w:p>
    <w:p w14:paraId="6560BF11">
      <w:pPr>
        <w:spacing w:line="520" w:lineRule="exact"/>
        <w:ind w:firstLine="689"/>
        <w:rPr>
          <w:rFonts w:eastAsia="仿宋_GB2312"/>
          <w:sz w:val="32"/>
          <w:szCs w:val="32"/>
        </w:rPr>
      </w:pPr>
      <w:r>
        <w:rPr>
          <w:rFonts w:hint="eastAsia" w:eastAsia="仿宋_GB2312"/>
          <w:sz w:val="32"/>
          <w:szCs w:val="32"/>
        </w:rPr>
        <w:t>1.贯彻执行国家和上级交通主管部门颁发的交通建设工程质量监督、工程监理、试验检测工作方针、政策、法律、法规、技术标准和规范。</w:t>
      </w:r>
    </w:p>
    <w:p w14:paraId="66A97D71">
      <w:pPr>
        <w:spacing w:line="520" w:lineRule="exact"/>
        <w:ind w:firstLine="689"/>
        <w:rPr>
          <w:rFonts w:eastAsia="仿宋_GB2312"/>
          <w:sz w:val="32"/>
          <w:szCs w:val="32"/>
        </w:rPr>
      </w:pPr>
      <w:r>
        <w:rPr>
          <w:rFonts w:hint="eastAsia" w:eastAsia="仿宋_GB2312"/>
          <w:sz w:val="32"/>
          <w:szCs w:val="32"/>
        </w:rPr>
        <w:t>2.承担全市(农村公路除外)公路、水运建设工程质量、安全、环保监督管理、应急管理和节能减排的行政辅助和技术支撑工作;受理交通工程建设领域的投诉，举报，参与事故调查工作。</w:t>
      </w:r>
    </w:p>
    <w:p w14:paraId="7D95E457">
      <w:pPr>
        <w:spacing w:line="520" w:lineRule="exact"/>
        <w:ind w:firstLine="689"/>
        <w:rPr>
          <w:rFonts w:eastAsia="仿宋_GB2312"/>
          <w:sz w:val="32"/>
          <w:szCs w:val="32"/>
        </w:rPr>
      </w:pPr>
      <w:r>
        <w:rPr>
          <w:rFonts w:hint="eastAsia" w:eastAsia="仿宋_GB2312"/>
          <w:sz w:val="32"/>
          <w:szCs w:val="32"/>
        </w:rPr>
        <w:t>3.承担全市(农村公路除外)公路、水运建设工程竣(交)工验收的行政辅助工作:负责全市公路，水运建设工程交工质量验证性检测和竣工质量鉴定的行政辅助和技术支撑工作。</w:t>
      </w:r>
    </w:p>
    <w:p w14:paraId="590D7AC6">
      <w:pPr>
        <w:spacing w:line="520" w:lineRule="exact"/>
        <w:ind w:firstLine="689"/>
        <w:rPr>
          <w:rFonts w:eastAsia="仿宋_GB2312"/>
          <w:sz w:val="32"/>
          <w:szCs w:val="32"/>
        </w:rPr>
      </w:pPr>
      <w:r>
        <w:rPr>
          <w:rFonts w:hint="eastAsia" w:eastAsia="仿宋_GB2312"/>
          <w:sz w:val="32"/>
          <w:szCs w:val="32"/>
        </w:rPr>
        <w:t>4.承担全市公路、水运工程监理。检测行业管理以及建设市场信用体系和信用考核的行政辅助工作。</w:t>
      </w:r>
    </w:p>
    <w:p w14:paraId="026FC3CA">
      <w:pPr>
        <w:spacing w:line="520" w:lineRule="exact"/>
        <w:ind w:firstLine="689"/>
        <w:rPr>
          <w:rFonts w:eastAsia="仿宋_GB2312"/>
          <w:sz w:val="32"/>
          <w:szCs w:val="32"/>
        </w:rPr>
      </w:pPr>
      <w:r>
        <w:rPr>
          <w:rFonts w:hint="eastAsia" w:eastAsia="仿宋_GB2312"/>
          <w:sz w:val="32"/>
          <w:szCs w:val="32"/>
        </w:rPr>
        <w:t>5.辅助市交通运输局开展农村公路建设项目指导。</w:t>
      </w:r>
    </w:p>
    <w:p w14:paraId="028A47F5">
      <w:pPr>
        <w:spacing w:line="520" w:lineRule="exact"/>
        <w:ind w:firstLine="689"/>
        <w:rPr>
          <w:rFonts w:eastAsia="仿宋_GB2312"/>
          <w:sz w:val="32"/>
          <w:szCs w:val="32"/>
        </w:rPr>
      </w:pPr>
      <w:r>
        <w:rPr>
          <w:rFonts w:hint="eastAsia" w:eastAsia="仿宋_GB2312"/>
          <w:sz w:val="32"/>
          <w:szCs w:val="32"/>
        </w:rPr>
        <w:t>6.完成市交通运输局交办的其他任务</w:t>
      </w:r>
    </w:p>
    <w:p w14:paraId="5E308569">
      <w:pPr>
        <w:spacing w:line="520" w:lineRule="exact"/>
        <w:ind w:firstLine="689"/>
        <w:rPr>
          <w:rFonts w:eastAsia="仿宋_GB2312"/>
          <w:sz w:val="32"/>
          <w:szCs w:val="32"/>
        </w:rPr>
      </w:pPr>
      <w:r>
        <w:rPr>
          <w:rFonts w:hint="eastAsia" w:eastAsia="仿宋_GB2312"/>
          <w:sz w:val="32"/>
          <w:szCs w:val="32"/>
        </w:rPr>
        <w:t>（二）面向社会提供公益服务的职能。</w:t>
      </w:r>
    </w:p>
    <w:p w14:paraId="530F6BD7">
      <w:pPr>
        <w:spacing w:line="520" w:lineRule="exact"/>
        <w:ind w:firstLine="689"/>
        <w:rPr>
          <w:rFonts w:eastAsia="仿宋_GB2312"/>
          <w:sz w:val="32"/>
          <w:szCs w:val="32"/>
        </w:rPr>
      </w:pPr>
      <w:r>
        <w:rPr>
          <w:rFonts w:hint="eastAsia" w:eastAsia="仿宋_GB2312"/>
          <w:sz w:val="32"/>
          <w:szCs w:val="32"/>
        </w:rPr>
        <w:t>承担全市公路、水运建设工程质量和安全生产的新技术、新材料、新工艺的推广应用。</w:t>
      </w:r>
    </w:p>
    <w:p w14:paraId="7CDCE4BE"/>
    <w:p w14:paraId="66E40D3B">
      <w:pPr>
        <w:pStyle w:val="4"/>
        <w:numPr>
          <w:ilvl w:val="0"/>
          <w:numId w:val="1"/>
        </w:numPr>
        <w:rPr>
          <w:rStyle w:val="32"/>
          <w:rFonts w:ascii="Times New Roman" w:hAnsi="Times New Roman" w:eastAsia="黑体"/>
          <w:b w:val="0"/>
          <w:bCs w:val="0"/>
        </w:rPr>
      </w:pPr>
      <w:bookmarkStart w:id="15" w:name="_Toc15396601"/>
      <w:bookmarkStart w:id="16" w:name="_Toc15377200"/>
      <w:r>
        <w:rPr>
          <w:rFonts w:hint="eastAsia" w:ascii="Times New Roman" w:hAnsi="Times New Roman" w:eastAsia="黑体"/>
          <w:b w:val="0"/>
        </w:rPr>
        <w:t>机</w:t>
      </w:r>
      <w:r>
        <w:rPr>
          <w:rStyle w:val="32"/>
          <w:rFonts w:hint="eastAsia" w:ascii="Times New Roman" w:hAnsi="Times New Roman" w:eastAsia="黑体"/>
          <w:b w:val="0"/>
          <w:bCs w:val="0"/>
        </w:rPr>
        <w:t>构设置</w:t>
      </w:r>
      <w:bookmarkEnd w:id="15"/>
      <w:bookmarkEnd w:id="16"/>
    </w:p>
    <w:p w14:paraId="035FCBBE">
      <w:pPr>
        <w:snapToGrid w:val="0"/>
        <w:spacing w:line="520" w:lineRule="exact"/>
        <w:ind w:firstLine="640" w:firstLineChars="200"/>
        <w:rPr>
          <w:rFonts w:ascii="仿宋_GB2312" w:hAnsi="仿宋" w:eastAsia="仿宋_GB2312"/>
          <w:kern w:val="10"/>
          <w:sz w:val="32"/>
          <w:szCs w:val="32"/>
        </w:rPr>
      </w:pPr>
      <w:r>
        <w:rPr>
          <w:rFonts w:hint="eastAsia" w:ascii="仿宋_GB2312" w:hAnsi="仿宋" w:eastAsia="仿宋_GB2312"/>
          <w:kern w:val="10"/>
          <w:sz w:val="32"/>
          <w:szCs w:val="32"/>
        </w:rPr>
        <w:t>我单位机构及人员情况。共有参公编制8名，截止2025年底，实有在职7人，退休人员1人，相比2024年人员新增1人。严格执行政府会计制度。我单位无内设机构，属于二级预算单位。</w:t>
      </w:r>
    </w:p>
    <w:p w14:paraId="3393D0FF">
      <w:pPr>
        <w:snapToGrid w:val="0"/>
        <w:spacing w:line="520" w:lineRule="exact"/>
        <w:ind w:firstLine="640" w:firstLineChars="200"/>
        <w:rPr>
          <w:rFonts w:ascii="仿宋_GB2312" w:hAnsi="仿宋" w:eastAsia="仿宋_GB2312"/>
          <w:kern w:val="10"/>
          <w:sz w:val="32"/>
          <w:szCs w:val="32"/>
        </w:rPr>
      </w:pPr>
      <w:r>
        <w:rPr>
          <w:rFonts w:hint="eastAsia" w:ascii="仿宋_GB2312" w:hAnsi="仿宋" w:eastAsia="仿宋_GB2312"/>
          <w:kern w:val="10"/>
          <w:sz w:val="32"/>
          <w:szCs w:val="32"/>
        </w:rPr>
        <w:br w:type="page"/>
      </w:r>
    </w:p>
    <w:p w14:paraId="57A878F9">
      <w:pPr>
        <w:pStyle w:val="3"/>
        <w:jc w:val="center"/>
        <w:rPr>
          <w:rFonts w:eastAsia="方正小标宋简体" w:cs="方正小标宋简体"/>
          <w:b w:val="0"/>
        </w:rPr>
      </w:pPr>
      <w:bookmarkStart w:id="17" w:name="_Toc15377204"/>
      <w:bookmarkStart w:id="18" w:name="_Toc15396602"/>
      <w:r>
        <w:rPr>
          <w:rFonts w:hint="eastAsia" w:eastAsia="方正小标宋简体" w:cs="方正小标宋简体"/>
          <w:b w:val="0"/>
        </w:rPr>
        <w:t>第二部分2025年度单位决算情况说明</w:t>
      </w:r>
      <w:bookmarkEnd w:id="17"/>
      <w:bookmarkEnd w:id="18"/>
    </w:p>
    <w:p w14:paraId="3CFC20A5"/>
    <w:p w14:paraId="5587FDDB">
      <w:pPr>
        <w:pStyle w:val="30"/>
        <w:spacing w:line="600" w:lineRule="exact"/>
        <w:ind w:firstLine="640"/>
        <w:outlineLvl w:val="1"/>
        <w:rPr>
          <w:rStyle w:val="32"/>
          <w:rFonts w:ascii="Times New Roman" w:hAnsi="Times New Roman" w:eastAsia="黑体"/>
          <w:b w:val="0"/>
        </w:rPr>
      </w:pPr>
      <w:bookmarkStart w:id="19" w:name="_Toc15396603"/>
      <w:bookmarkStart w:id="20" w:name="_Toc15377205"/>
      <w:r>
        <w:rPr>
          <w:rFonts w:hint="eastAsia" w:eastAsia="黑体"/>
          <w:sz w:val="32"/>
          <w:szCs w:val="32"/>
        </w:rPr>
        <w:t>一、收</w:t>
      </w:r>
      <w:r>
        <w:rPr>
          <w:rStyle w:val="32"/>
          <w:rFonts w:hint="eastAsia" w:ascii="Times New Roman" w:hAnsi="Times New Roman" w:eastAsia="黑体"/>
          <w:b w:val="0"/>
        </w:rPr>
        <w:t>入支出决算总体情况说明</w:t>
      </w:r>
      <w:bookmarkEnd w:id="19"/>
      <w:bookmarkEnd w:id="20"/>
    </w:p>
    <w:p w14:paraId="748C0BBA">
      <w:pPr>
        <w:pStyle w:val="30"/>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127.63</w:t>
      </w:r>
      <w:r>
        <w:rPr>
          <w:rFonts w:hint="eastAsia" w:eastAsia="仿宋_GB2312" w:cs="仿宋_GB2312"/>
          <w:sz w:val="32"/>
          <w:szCs w:val="32"/>
        </w:rPr>
        <w:t>万元。与2024年度相，收入、支出总计各减少5.9万元，下降4.4%。主要变动原因是本年度项目投资减少，无盘活资金补充，导致收支减少。</w:t>
      </w:r>
    </w:p>
    <w:p w14:paraId="358C3D2C">
      <w:pPr>
        <w:ind w:firstLine="420" w:firstLineChars="200"/>
        <w:rPr>
          <w:rFonts w:ascii="仿宋_GB2312" w:eastAsia="仿宋_GB2312"/>
        </w:rPr>
      </w:pPr>
      <w:bookmarkStart w:id="21" w:name="_1754832768"/>
      <w:bookmarkEnd w:id="21"/>
      <w:r>
        <w:rPr>
          <w:rFonts w:hint="eastAsia" w:ascii="仿宋_GB2312" w:eastAsia="仿宋_GB2312"/>
        </w:rPr>
        <w:object>
          <v:shape id="_x0000_i1025" o:spt="75" type="#_x0000_t75" style="height:155.7pt;width:334.9pt;" o:ole="t" filled="f" o:preferrelative="t" stroked="f" coordsize="21600,21600">
            <v:path/>
            <v:fill on="f" focussize="0,0"/>
            <v:stroke on="f" joinstyle="miter"/>
            <v:imagedata r:id="rId7" cropbottom="-107f" o:title=""/>
            <o:lock v:ext="edit" aspectratio="f"/>
            <w10:wrap type="none"/>
            <w10:anchorlock/>
          </v:shape>
          <o:OLEObject Type="Embed" ProgID="Excel.Sheet.8" ShapeID="_x0000_i1025" DrawAspect="Content" ObjectID="_1468075725" r:id="rId6">
            <o:LockedField>false</o:LockedField>
          </o:OLEObject>
        </w:object>
      </w:r>
    </w:p>
    <w:p w14:paraId="5BA623D3">
      <w:pPr>
        <w:ind w:firstLine="640" w:firstLineChars="200"/>
        <w:rPr>
          <w:rFonts w:eastAsia="仿宋_GB2312" w:cs="仿宋_GB2312"/>
          <w:sz w:val="32"/>
          <w:szCs w:val="32"/>
        </w:rPr>
      </w:pPr>
      <w:r>
        <w:rPr>
          <w:rFonts w:hint="eastAsia" w:eastAsia="仿宋_GB2312" w:cs="仿宋_GB2312"/>
          <w:sz w:val="32"/>
          <w:szCs w:val="32"/>
        </w:rPr>
        <w:t>（图1：收入、支出决算总计变动情况图）</w:t>
      </w:r>
    </w:p>
    <w:p w14:paraId="419E7512">
      <w:pPr>
        <w:pStyle w:val="30"/>
        <w:spacing w:line="600" w:lineRule="exact"/>
        <w:ind w:firstLine="640"/>
        <w:outlineLvl w:val="1"/>
        <w:rPr>
          <w:rFonts w:eastAsia="黑体"/>
          <w:sz w:val="32"/>
          <w:szCs w:val="32"/>
        </w:rPr>
      </w:pPr>
      <w:bookmarkStart w:id="22" w:name="_Toc15396604"/>
      <w:bookmarkStart w:id="23" w:name="_Toc15377206"/>
      <w:r>
        <w:rPr>
          <w:rFonts w:hint="eastAsia" w:eastAsia="黑体"/>
          <w:sz w:val="32"/>
          <w:szCs w:val="32"/>
        </w:rPr>
        <w:t>二、收入决算情况说明</w:t>
      </w:r>
      <w:bookmarkEnd w:id="22"/>
      <w:bookmarkEnd w:id="23"/>
    </w:p>
    <w:p w14:paraId="5E518893">
      <w:pPr>
        <w:pStyle w:val="30"/>
        <w:spacing w:line="600" w:lineRule="exact"/>
        <w:ind w:firstLine="640"/>
        <w:jc w:val="left"/>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年收入合计127.63万元，其中：一般公共预算财政拨款收入127.63万元，占100%；政府性基金预算财政拨款收入0万元，占0%；国有资本经营预算财政拨款收入0万元，占0%；上级补助收入0万元，占0%；事业收入0万元，占0%；经营收入0万元，占0%；附属单位上缴收入0万元，占0%；其他收入0万元，占0%。</w:t>
      </w:r>
    </w:p>
    <w:p w14:paraId="062ACE0E">
      <w:pPr>
        <w:ind w:firstLine="525" w:firstLineChars="250"/>
        <w:rPr>
          <w:rFonts w:ascii="仿宋_GB2312" w:eastAsia="仿宋_GB2312"/>
        </w:rPr>
      </w:pPr>
      <w:bookmarkStart w:id="24" w:name="_1754832844"/>
      <w:bookmarkEnd w:id="24"/>
      <w:r>
        <w:rPr>
          <w:rFonts w:hint="eastAsia" w:ascii="仿宋_GB2312" w:eastAsia="仿宋_GB2312"/>
        </w:rPr>
        <w:object>
          <v:shape id="_x0000_i1026" o:spt="75" type="#_x0000_t75" style="height:245.3pt;width:318.15pt;" o:ole="t" filled="f" o:preferrelative="t" stroked="f" coordsize="21600,21600">
            <v:path/>
            <v:fill on="f" focussize="0,0"/>
            <v:stroke on="f" joinstyle="miter"/>
            <v:imagedata r:id="rId9" cropbottom="-101f" o:title=""/>
            <o:lock v:ext="edit" aspectratio="f"/>
            <w10:wrap type="none"/>
            <w10:anchorlock/>
          </v:shape>
          <o:OLEObject Type="Embed" ProgID="Excel.Sheet.8" ShapeID="_x0000_i1026" DrawAspect="Content" ObjectID="_1468075726" r:id="rId8">
            <o:LockedField>false</o:LockedField>
          </o:OLEObject>
        </w:object>
      </w:r>
    </w:p>
    <w:p w14:paraId="1BAA6E0D">
      <w:pPr>
        <w:ind w:firstLine="800" w:firstLineChars="250"/>
        <w:rPr>
          <w:rFonts w:eastAsia="仿宋_GB2312" w:cs="仿宋_GB2312"/>
          <w:sz w:val="32"/>
          <w:szCs w:val="32"/>
        </w:rPr>
      </w:pPr>
      <w:r>
        <w:rPr>
          <w:rFonts w:hint="eastAsia" w:eastAsia="仿宋_GB2312" w:cs="仿宋_GB2312"/>
          <w:sz w:val="32"/>
          <w:szCs w:val="32"/>
        </w:rPr>
        <w:t>（图2：收入决算结构图）</w:t>
      </w:r>
    </w:p>
    <w:p w14:paraId="5D2EDCB0">
      <w:pPr>
        <w:pStyle w:val="30"/>
        <w:spacing w:line="600" w:lineRule="exact"/>
        <w:ind w:firstLine="640"/>
        <w:outlineLvl w:val="1"/>
        <w:rPr>
          <w:rStyle w:val="32"/>
          <w:rFonts w:ascii="Times New Roman" w:hAnsi="Times New Roman" w:eastAsia="黑体"/>
          <w:b w:val="0"/>
        </w:rPr>
      </w:pPr>
      <w:bookmarkStart w:id="25" w:name="_Toc15377207"/>
      <w:bookmarkStart w:id="26" w:name="_Toc15396605"/>
      <w:r>
        <w:rPr>
          <w:rFonts w:hint="eastAsia" w:eastAsia="黑体"/>
          <w:sz w:val="32"/>
          <w:szCs w:val="32"/>
        </w:rPr>
        <w:t>三、支</w:t>
      </w:r>
      <w:r>
        <w:rPr>
          <w:rStyle w:val="32"/>
          <w:rFonts w:hint="eastAsia" w:ascii="Times New Roman" w:hAnsi="Times New Roman" w:eastAsia="黑体"/>
          <w:b w:val="0"/>
        </w:rPr>
        <w:t>出决算情况说明</w:t>
      </w:r>
      <w:bookmarkEnd w:id="25"/>
      <w:bookmarkEnd w:id="26"/>
    </w:p>
    <w:p w14:paraId="2E9BFD6B">
      <w:pPr>
        <w:pStyle w:val="30"/>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2025年度本年支出合计127.63万元，其中：基本支出125.72万元，占98.5%；项目支出1.91万元，占1.5%；上缴上级支出0万元，占0%；经营支出0万元，占0%；对附属单位补助支出0万元，占0%。</w:t>
      </w:r>
    </w:p>
    <w:p w14:paraId="2827F920">
      <w:pPr>
        <w:ind w:firstLine="525" w:firstLineChars="250"/>
        <w:rPr>
          <w:rFonts w:ascii="仿宋_GB2312" w:eastAsia="仿宋_GB2312"/>
        </w:rPr>
      </w:pPr>
      <w:bookmarkStart w:id="27" w:name="_1754833673"/>
      <w:bookmarkEnd w:id="27"/>
      <w:r>
        <w:rPr>
          <w:rFonts w:hint="eastAsia" w:ascii="仿宋_GB2312" w:eastAsia="仿宋_GB2312"/>
        </w:rPr>
        <w:object>
          <v:shape id="_x0000_i1027" o:spt="75" type="#_x0000_t75" style="height:196.75pt;width:263.7pt;" o:ole="t" filled="f" o:preferrelative="t" stroked="f" coordsize="21600,21600">
            <v:path/>
            <v:fill on="f" focussize="0,0"/>
            <v:stroke on="f" joinstyle="miter"/>
            <v:imagedata r:id="rId11" o:title=""/>
            <o:lock v:ext="edit" aspectratio="f"/>
            <w10:wrap type="none"/>
            <w10:anchorlock/>
          </v:shape>
          <o:OLEObject Type="Embed" ProgID="Excel.Sheet.8" ShapeID="_x0000_i1027" DrawAspect="Content" ObjectID="_1468075727" r:id="rId10">
            <o:LockedField>false</o:LockedField>
          </o:OLEObject>
        </w:object>
      </w:r>
    </w:p>
    <w:p w14:paraId="2B950329">
      <w:pPr>
        <w:ind w:firstLine="800" w:firstLineChars="250"/>
        <w:rPr>
          <w:rFonts w:eastAsia="仿宋_GB2312" w:cs="仿宋_GB2312"/>
          <w:sz w:val="32"/>
          <w:szCs w:val="32"/>
        </w:rPr>
      </w:pPr>
      <w:r>
        <w:rPr>
          <w:rFonts w:hint="eastAsia" w:eastAsia="仿宋_GB2312" w:cs="仿宋_GB2312"/>
          <w:sz w:val="32"/>
          <w:szCs w:val="32"/>
        </w:rPr>
        <w:t>（图3：支出决算结构图）</w:t>
      </w:r>
    </w:p>
    <w:p w14:paraId="0D64B69D">
      <w:pPr>
        <w:spacing w:line="600" w:lineRule="exact"/>
        <w:ind w:firstLine="640" w:firstLineChars="200"/>
        <w:outlineLvl w:val="1"/>
        <w:rPr>
          <w:rFonts w:eastAsia="黑体"/>
          <w:sz w:val="32"/>
          <w:szCs w:val="32"/>
        </w:rPr>
      </w:pPr>
      <w:bookmarkStart w:id="28" w:name="_Toc15396606"/>
      <w:bookmarkStart w:id="29" w:name="_Toc15377208"/>
    </w:p>
    <w:p w14:paraId="2286B8C8">
      <w:pPr>
        <w:spacing w:line="600" w:lineRule="exact"/>
        <w:ind w:firstLine="640" w:firstLineChars="200"/>
        <w:outlineLvl w:val="1"/>
        <w:rPr>
          <w:rStyle w:val="32"/>
          <w:rFonts w:ascii="Times New Roman" w:hAnsi="Times New Roman" w:eastAsia="黑体"/>
          <w:b w:val="0"/>
        </w:rPr>
      </w:pPr>
      <w:r>
        <w:rPr>
          <w:rFonts w:hint="eastAsia" w:eastAsia="黑体"/>
          <w:sz w:val="32"/>
          <w:szCs w:val="32"/>
        </w:rPr>
        <w:t>四、财</w:t>
      </w:r>
      <w:r>
        <w:rPr>
          <w:rStyle w:val="32"/>
          <w:rFonts w:hint="eastAsia" w:ascii="Times New Roman" w:hAnsi="Times New Roman" w:eastAsia="黑体"/>
          <w:b w:val="0"/>
        </w:rPr>
        <w:t>政拨款收入支出决算总体情况说明</w:t>
      </w:r>
      <w:bookmarkEnd w:id="28"/>
      <w:bookmarkEnd w:id="29"/>
    </w:p>
    <w:p w14:paraId="0C433914">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127.63</w:t>
      </w:r>
      <w:r>
        <w:rPr>
          <w:rFonts w:hint="eastAsia" w:eastAsia="仿宋_GB2312" w:cs="仿宋_GB2312"/>
          <w:sz w:val="32"/>
          <w:szCs w:val="32"/>
        </w:rPr>
        <w:t>万元。与2024年度相比，财政拨款收入总计、支出总计各减少5.9万元，下降4.4%。主要变动原因是本年度项目投资减少，无盘活资金补充，导致收支减少。</w:t>
      </w:r>
    </w:p>
    <w:p w14:paraId="7EA5177F">
      <w:pPr>
        <w:pStyle w:val="2"/>
      </w:pPr>
      <w:bookmarkStart w:id="30" w:name="_1754833852"/>
      <w:bookmarkEnd w:id="30"/>
      <w:r>
        <w:rPr>
          <w:rFonts w:hint="eastAsia" w:ascii="仿宋_GB2312" w:hAnsi="黑体" w:eastAsia="仿宋_GB2312"/>
        </w:rPr>
        <w:object>
          <v:shape id="_x0000_i1028" o:spt="75" type="#_x0000_t75" style="height:222.7pt;width:365pt;" o:ole="t" filled="f" o:preferrelative="t" stroked="f" coordsize="21600,21600">
            <v:path/>
            <v:fill on="f" focussize="0,0"/>
            <v:stroke on="f" joinstyle="miter"/>
            <v:imagedata r:id="rId13" cropbottom="-31f" o:title=""/>
            <o:lock v:ext="edit" aspectratio="f"/>
            <w10:wrap type="none"/>
            <w10:anchorlock/>
          </v:shape>
          <o:OLEObject Type="Embed" ProgID="Excel.Sheet.8" ShapeID="_x0000_i1028" DrawAspect="Content" ObjectID="_1468075728" r:id="rId12">
            <o:LockedField>false</o:LockedField>
          </o:OLEObject>
        </w:object>
      </w:r>
    </w:p>
    <w:p w14:paraId="16A6309A">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w:t>
      </w:r>
    </w:p>
    <w:p w14:paraId="5038100E">
      <w:pPr>
        <w:spacing w:line="600" w:lineRule="exact"/>
        <w:ind w:firstLine="640" w:firstLineChars="200"/>
        <w:outlineLvl w:val="1"/>
        <w:rPr>
          <w:rStyle w:val="32"/>
          <w:rFonts w:ascii="Times New Roman" w:hAnsi="Times New Roman" w:eastAsia="黑体"/>
          <w:b w:val="0"/>
        </w:rPr>
      </w:pPr>
      <w:bookmarkStart w:id="31" w:name="_Toc15396607"/>
      <w:bookmarkStart w:id="32" w:name="_Toc15377209"/>
      <w:r>
        <w:rPr>
          <w:rFonts w:hint="eastAsia" w:eastAsia="黑体"/>
          <w:sz w:val="32"/>
          <w:szCs w:val="32"/>
        </w:rPr>
        <w:t>五、</w:t>
      </w:r>
      <w:r>
        <w:rPr>
          <w:rFonts w:hint="eastAsia" w:eastAsia="黑体"/>
          <w:b/>
          <w:sz w:val="32"/>
          <w:szCs w:val="32"/>
        </w:rPr>
        <w:t>一</w:t>
      </w:r>
      <w:r>
        <w:rPr>
          <w:rStyle w:val="32"/>
          <w:rFonts w:hint="eastAsia" w:ascii="Times New Roman" w:hAnsi="Times New Roman" w:eastAsia="黑体"/>
          <w:b w:val="0"/>
        </w:rPr>
        <w:t>般公共预算财政拨款支出决算情况说明</w:t>
      </w:r>
      <w:bookmarkEnd w:id="31"/>
      <w:bookmarkEnd w:id="32"/>
    </w:p>
    <w:p w14:paraId="7A8DB073">
      <w:pPr>
        <w:spacing w:line="600" w:lineRule="exact"/>
        <w:ind w:firstLine="643" w:firstLineChars="200"/>
        <w:outlineLvl w:val="2"/>
        <w:rPr>
          <w:rFonts w:eastAsia="楷体_GB2312" w:cs="楷体_GB2312"/>
          <w:b/>
          <w:sz w:val="32"/>
          <w:szCs w:val="32"/>
        </w:rPr>
      </w:pPr>
      <w:bookmarkStart w:id="33" w:name="_Toc15377210"/>
      <w:r>
        <w:rPr>
          <w:rFonts w:hint="eastAsia" w:eastAsia="楷体_GB2312" w:cs="楷体_GB2312"/>
          <w:b/>
          <w:sz w:val="32"/>
          <w:szCs w:val="32"/>
        </w:rPr>
        <w:t>（一）一般公共预算财政拨款支出决算总体情况</w:t>
      </w:r>
      <w:bookmarkEnd w:id="33"/>
    </w:p>
    <w:p w14:paraId="566636C1">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2025年度一般公共预算财政拨款支出127.63万元，占本年支出合计的100%。与2024年度相比，一般公共预算财政拨款支出减少5.9万元，下降4.4%。</w:t>
      </w:r>
      <w:r>
        <w:rPr>
          <w:rFonts w:hint="eastAsia" w:eastAsia="仿宋_GB2312" w:cs="仿宋_GB2312"/>
          <w:sz w:val="32"/>
          <w:szCs w:val="32"/>
        </w:rPr>
        <w:t>主要变动原因是本年度项目投资减少，无盘活资金补充，导致收支减少。</w:t>
      </w:r>
    </w:p>
    <w:p w14:paraId="70874CA6">
      <w:pPr>
        <w:spacing w:line="600" w:lineRule="exact"/>
      </w:pPr>
    </w:p>
    <w:p w14:paraId="19451329">
      <w:pPr>
        <w:spacing w:line="600" w:lineRule="exact"/>
        <w:ind w:firstLine="640"/>
      </w:pPr>
    </w:p>
    <w:p w14:paraId="505E4882">
      <w:pPr>
        <w:spacing w:line="600" w:lineRule="exact"/>
        <w:ind w:firstLine="640"/>
      </w:pPr>
    </w:p>
    <w:p w14:paraId="60B6C65D">
      <w:pPr>
        <w:spacing w:line="600" w:lineRule="exact"/>
        <w:ind w:firstLine="640"/>
      </w:pPr>
    </w:p>
    <w:p w14:paraId="0688D7A7">
      <w:pPr>
        <w:spacing w:line="600" w:lineRule="exact"/>
        <w:ind w:firstLine="640"/>
      </w:pPr>
    </w:p>
    <w:p w14:paraId="07D8B508">
      <w:pPr>
        <w:spacing w:line="600" w:lineRule="exact"/>
        <w:ind w:firstLine="640"/>
      </w:pPr>
    </w:p>
    <w:p w14:paraId="22228375">
      <w:pPr>
        <w:spacing w:line="600" w:lineRule="exact"/>
        <w:ind w:firstLine="640"/>
      </w:pPr>
    </w:p>
    <w:p w14:paraId="2F0673C1">
      <w:pPr>
        <w:spacing w:line="600" w:lineRule="exact"/>
        <w:ind w:firstLine="640"/>
      </w:pPr>
    </w:p>
    <w:p w14:paraId="4698E6A0">
      <w:pPr>
        <w:spacing w:line="600" w:lineRule="exact"/>
        <w:ind w:firstLine="640"/>
      </w:pPr>
    </w:p>
    <w:p w14:paraId="08DEE4A0">
      <w:pPr>
        <w:spacing w:line="600" w:lineRule="exact"/>
        <w:ind w:firstLine="640"/>
      </w:pPr>
      <w:r>
        <w:rPr>
          <w:rFonts w:ascii="仿宋_GB2312" w:eastAsia="仿宋_GB2312"/>
        </w:rPr>
        <w:pict>
          <v:shape id="_x0000_s1026" o:spid="_x0000_s1026" o:spt="75" type="#_x0000_t75" style="position:absolute;left:0pt;margin-left:32pt;margin-top:-192pt;height:216pt;width:303pt;mso-wrap-distance-bottom:0pt;mso-wrap-distance-left:9pt;mso-wrap-distance-right:9pt;mso-wrap-distance-top:0pt;z-index:251659264;mso-width-relative:page;mso-height-relative:page;" o:ole="t" filled="f" o:preferrelative="t" stroked="f" coordsize="21600,21600">
            <v:path/>
            <v:fill on="f" focussize="0,0"/>
            <v:stroke on="f" joinstyle="miter"/>
            <v:imagedata r:id="rId15" cropbottom="-75f" o:title=""/>
            <o:lock v:ext="edit" aspectratio="f"/>
            <w10:wrap type="square"/>
          </v:shape>
          <o:OLEObject Type="Embed" ProgID="Excel.Sheet.8" ShapeID="_x0000_s1026" DrawAspect="Content" ObjectID="_1468075729" r:id="rId14">
            <o:LockedField>false</o:LockedField>
          </o:OLEObject>
        </w:pict>
      </w:r>
    </w:p>
    <w:p w14:paraId="77206166">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14:paraId="5F8AB0D2">
      <w:pPr>
        <w:spacing w:line="600" w:lineRule="exact"/>
        <w:ind w:firstLine="643" w:firstLineChars="200"/>
        <w:outlineLvl w:val="2"/>
        <w:rPr>
          <w:rFonts w:eastAsia="楷体_GB2312" w:cs="楷体_GB2312"/>
          <w:b/>
          <w:sz w:val="32"/>
          <w:szCs w:val="32"/>
        </w:rPr>
      </w:pPr>
      <w:bookmarkStart w:id="34" w:name="_Toc15377211"/>
      <w:r>
        <w:rPr>
          <w:rFonts w:hint="eastAsia" w:eastAsia="楷体_GB2312" w:cs="楷体_GB2312"/>
          <w:b/>
          <w:sz w:val="32"/>
          <w:szCs w:val="32"/>
        </w:rPr>
        <w:t>（二）一般公共预算财政拨款支出决算结构情况</w:t>
      </w:r>
      <w:bookmarkEnd w:id="34"/>
    </w:p>
    <w:p w14:paraId="47366D41">
      <w:pPr>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127.63万元</w:t>
      </w:r>
      <w:r>
        <w:rPr>
          <w:rFonts w:hint="eastAsia" w:eastAsia="仿宋_GB2312" w:cs="仿宋_GB2312"/>
          <w:sz w:val="32"/>
          <w:szCs w:val="32"/>
        </w:rPr>
        <w:t>，主要用于以下方面:</w:t>
      </w:r>
      <w:r>
        <w:rPr>
          <w:rFonts w:hint="eastAsia" w:eastAsia="仿宋_GB2312" w:cs="仿宋_GB2312"/>
          <w:b/>
          <w:bCs/>
          <w:sz w:val="32"/>
          <w:szCs w:val="32"/>
        </w:rPr>
        <w:t>社会保障和就业支出</w:t>
      </w:r>
      <w:r>
        <w:rPr>
          <w:rFonts w:hint="eastAsia" w:eastAsia="仿宋_GB2312" w:cs="仿宋_GB2312"/>
          <w:sz w:val="32"/>
          <w:szCs w:val="32"/>
        </w:rPr>
        <w:t>14.83万元，占11.6%；</w:t>
      </w:r>
      <w:r>
        <w:rPr>
          <w:rFonts w:hint="eastAsia" w:eastAsia="仿宋_GB2312" w:cs="仿宋_GB2312"/>
          <w:b/>
          <w:bCs/>
          <w:sz w:val="32"/>
          <w:szCs w:val="32"/>
        </w:rPr>
        <w:t>卫生健康支出</w:t>
      </w:r>
      <w:r>
        <w:rPr>
          <w:rFonts w:hint="eastAsia" w:eastAsia="仿宋_GB2312" w:cs="仿宋_GB2312"/>
          <w:sz w:val="32"/>
          <w:szCs w:val="32"/>
        </w:rPr>
        <w:t>6.54万元，占5.1%；</w:t>
      </w:r>
      <w:r>
        <w:rPr>
          <w:rFonts w:hint="eastAsia" w:eastAsia="仿宋_GB2312" w:cs="仿宋_GB2312"/>
          <w:b/>
          <w:bCs/>
          <w:sz w:val="32"/>
          <w:szCs w:val="32"/>
        </w:rPr>
        <w:t>交通运输支出</w:t>
      </w:r>
      <w:r>
        <w:rPr>
          <w:rFonts w:hint="eastAsia" w:eastAsia="仿宋_GB2312" w:cs="仿宋_GB2312"/>
          <w:sz w:val="32"/>
          <w:szCs w:val="32"/>
        </w:rPr>
        <w:t>97.47万元，占76.</w:t>
      </w:r>
      <w:ins w:id="0" w:author="未知" w:date="2026-09-07T10:03:00Z">
        <w:r>
          <w:rPr>
            <w:rFonts w:hint="eastAsia" w:eastAsia="仿宋_GB2312" w:cs="仿宋_GB2312"/>
            <w:sz w:val="32"/>
            <w:szCs w:val="32"/>
          </w:rPr>
          <w:t>4</w:t>
        </w:r>
      </w:ins>
      <w:r>
        <w:rPr>
          <w:rFonts w:hint="eastAsia" w:eastAsia="仿宋_GB2312" w:cs="仿宋_GB2312"/>
          <w:sz w:val="32"/>
          <w:szCs w:val="32"/>
        </w:rPr>
        <w:t>%；</w:t>
      </w:r>
      <w:r>
        <w:rPr>
          <w:rFonts w:hint="eastAsia" w:eastAsia="仿宋_GB2312" w:cs="仿宋_GB2312"/>
          <w:b/>
          <w:bCs/>
          <w:sz w:val="32"/>
          <w:szCs w:val="32"/>
        </w:rPr>
        <w:t>住房保障支出</w:t>
      </w:r>
      <w:r>
        <w:rPr>
          <w:rFonts w:hint="eastAsia" w:eastAsia="仿宋_GB2312" w:cs="仿宋_GB2312"/>
          <w:sz w:val="32"/>
          <w:szCs w:val="32"/>
        </w:rPr>
        <w:t>8.78万元，占6.</w:t>
      </w:r>
      <w:ins w:id="1" w:author="未知" w:date="2026-09-07T10:00:00Z">
        <w:r>
          <w:rPr>
            <w:rFonts w:hint="eastAsia" w:eastAsia="仿宋_GB2312" w:cs="仿宋_GB2312"/>
            <w:sz w:val="32"/>
            <w:szCs w:val="32"/>
          </w:rPr>
          <w:t>9</w:t>
        </w:r>
      </w:ins>
      <w:r>
        <w:rPr>
          <w:rFonts w:hint="eastAsia" w:eastAsia="仿宋_GB2312" w:cs="仿宋_GB2312"/>
          <w:sz w:val="32"/>
          <w:szCs w:val="32"/>
        </w:rPr>
        <w:t>%。</w:t>
      </w:r>
    </w:p>
    <w:p w14:paraId="21FAEA78">
      <w:pPr>
        <w:pStyle w:val="2"/>
      </w:pPr>
      <w:bookmarkStart w:id="35" w:name="_1754835991"/>
      <w:bookmarkEnd w:id="35"/>
      <w:r>
        <w:rPr>
          <w:rFonts w:ascii="仿宋_GB2312" w:hAnsi="仿宋_GB2312" w:eastAsia="仿宋_GB2312" w:cs="仿宋_GB2312"/>
        </w:rPr>
        <w:object>
          <v:shape id="_x0000_i1029" o:spt="75" type="#_x0000_t75" style="height:211pt;width:325.65pt;" o:ole="t" filled="f" o:preferrelative="t" stroked="f" coordsize="21600,21600">
            <v:path/>
            <v:fill on="f" focussize="0,0"/>
            <v:stroke on="f" joinstyle="miter"/>
            <v:imagedata r:id="rId17" cropbottom="-31f" o:title=""/>
            <o:lock v:ext="edit" aspectratio="f"/>
            <w10:wrap type="none"/>
            <w10:anchorlock/>
          </v:shape>
          <o:OLEObject Type="Embed" ProgID="Excel.Sheet.8" ShapeID="_x0000_i1029" DrawAspect="Content" ObjectID="_1468075730" r:id="rId16">
            <o:LockedField>false</o:LockedField>
          </o:OLEObject>
        </w:object>
      </w:r>
    </w:p>
    <w:p w14:paraId="0584DDB0">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14:paraId="6B7E9560">
      <w:pPr>
        <w:spacing w:line="600" w:lineRule="exact"/>
        <w:ind w:firstLine="643" w:firstLineChars="200"/>
        <w:outlineLvl w:val="2"/>
        <w:rPr>
          <w:rFonts w:eastAsia="楷体_GB2312" w:cs="楷体_GB2312"/>
          <w:b/>
          <w:sz w:val="32"/>
          <w:szCs w:val="32"/>
        </w:rPr>
      </w:pPr>
      <w:bookmarkStart w:id="36" w:name="_Toc15377212"/>
      <w:r>
        <w:rPr>
          <w:rFonts w:hint="eastAsia" w:eastAsia="楷体_GB2312" w:cs="楷体_GB2312"/>
          <w:b/>
          <w:sz w:val="32"/>
          <w:szCs w:val="32"/>
        </w:rPr>
        <w:t>（三）一般公共预算财政拨款支出决算具体情况</w:t>
      </w:r>
      <w:bookmarkEnd w:id="36"/>
    </w:p>
    <w:p w14:paraId="3BBB96BB">
      <w:pPr>
        <w:spacing w:line="600" w:lineRule="exact"/>
        <w:ind w:firstLine="640"/>
        <w:rPr>
          <w:rFonts w:eastAsia="仿宋_GB2312" w:cs="仿宋_GB2312"/>
          <w:sz w:val="32"/>
          <w:szCs w:val="32"/>
        </w:rPr>
      </w:pPr>
      <w:bookmarkStart w:id="37" w:name="_Toc15377213"/>
      <w:bookmarkStart w:id="38" w:name="_Toc15377444"/>
      <w:bookmarkStart w:id="39" w:name="_Toc15378460"/>
      <w:r>
        <w:rPr>
          <w:rFonts w:hint="eastAsia" w:eastAsia="仿宋_GB2312" w:cs="仿宋_GB2312"/>
          <w:sz w:val="32"/>
          <w:szCs w:val="32"/>
        </w:rPr>
        <w:t>2025年度一般公共预算财政拨款支出决算数为</w:t>
      </w:r>
      <w:r>
        <w:rPr>
          <w:rFonts w:hint="eastAsia" w:ascii="仿宋_GB2312" w:hAnsi="仿宋_GB2312" w:eastAsia="仿宋_GB2312" w:cs="仿宋_GB2312"/>
          <w:sz w:val="32"/>
          <w:szCs w:val="32"/>
        </w:rPr>
        <w:t>127.63</w:t>
      </w:r>
      <w:r>
        <w:rPr>
          <w:rFonts w:hint="eastAsia" w:eastAsia="仿宋_GB2312" w:cs="仿宋_GB2312"/>
          <w:sz w:val="32"/>
          <w:szCs w:val="32"/>
        </w:rPr>
        <w:t>完成预算100%。其中：</w:t>
      </w:r>
      <w:bookmarkEnd w:id="37"/>
      <w:bookmarkEnd w:id="38"/>
      <w:bookmarkEnd w:id="39"/>
    </w:p>
    <w:p w14:paraId="5AE4B940">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bCs/>
          <w:sz w:val="32"/>
          <w:szCs w:val="32"/>
        </w:rPr>
        <w:t>1.社会保障和就业支出（类）行政事业单位养老支出（款）行政单位离退休（项）</w:t>
      </w:r>
      <w:r>
        <w:rPr>
          <w:rFonts w:hint="eastAsia" w:ascii="仿宋_GB2312" w:hAnsi="仿宋_GB2312" w:eastAsia="仿宋_GB2312" w:cs="仿宋_GB2312"/>
          <w:sz w:val="32"/>
          <w:szCs w:val="32"/>
        </w:rPr>
        <w:t>:支出决算为3.75万元，完成预算100%。</w:t>
      </w:r>
      <w:r>
        <w:rPr>
          <w:rStyle w:val="20"/>
          <w:rFonts w:hint="eastAsia" w:ascii="仿宋_GB2312" w:hAnsi="仿宋_GB2312" w:eastAsia="仿宋_GB2312" w:cs="仿宋_GB2312"/>
          <w:sz w:val="32"/>
          <w:szCs w:val="32"/>
        </w:rPr>
        <w:t>决算数与预算数相等。</w:t>
      </w:r>
    </w:p>
    <w:p w14:paraId="1EBFDCF5">
      <w:pPr>
        <w:ind w:firstLine="643" w:firstLineChars="200"/>
        <w:rPr>
          <w:rStyle w:val="20"/>
          <w:rFonts w:ascii="仿宋_GB2312" w:hAnsi="仿宋_GB2312" w:eastAsia="仿宋_GB2312" w:cs="仿宋_GB2312"/>
          <w:sz w:val="32"/>
          <w:szCs w:val="32"/>
        </w:rPr>
      </w:pPr>
      <w:r>
        <w:rPr>
          <w:rFonts w:hint="eastAsia" w:ascii="仿宋_GB2312" w:hAnsi="仿宋_GB2312" w:eastAsia="仿宋_GB2312" w:cs="仿宋_GB2312"/>
          <w:b/>
          <w:bCs/>
          <w:sz w:val="32"/>
          <w:szCs w:val="32"/>
        </w:rPr>
        <w:t>2. 社会保障和就业支出（类）行政事业单位养老支出（款）机关事业单位基本养老保险缴费支出（项）</w:t>
      </w:r>
      <w:r>
        <w:rPr>
          <w:rFonts w:hint="eastAsia" w:ascii="仿宋_GB2312" w:hAnsi="仿宋_GB2312" w:eastAsia="仿宋_GB2312" w:cs="仿宋_GB2312"/>
          <w:sz w:val="32"/>
          <w:szCs w:val="32"/>
        </w:rPr>
        <w:t>:支出决算为11.08万元，完成预算100%。</w:t>
      </w:r>
      <w:r>
        <w:rPr>
          <w:rStyle w:val="20"/>
          <w:rFonts w:hint="eastAsia" w:ascii="仿宋_GB2312" w:hAnsi="仿宋_GB2312" w:eastAsia="仿宋_GB2312" w:cs="仿宋_GB2312"/>
          <w:sz w:val="32"/>
          <w:szCs w:val="32"/>
        </w:rPr>
        <w:t>决算数与预算数相等。</w:t>
      </w:r>
    </w:p>
    <w:p w14:paraId="47505F9D">
      <w:pPr>
        <w:ind w:firstLine="643" w:firstLineChars="200"/>
        <w:rPr>
          <w:rStyle w:val="20"/>
          <w:rFonts w:ascii="仿宋_GB2312" w:hAnsi="仿宋_GB2312" w:eastAsia="仿宋_GB2312" w:cs="仿宋_GB2312"/>
          <w:sz w:val="32"/>
          <w:szCs w:val="32"/>
        </w:rPr>
      </w:pPr>
      <w:r>
        <w:rPr>
          <w:rFonts w:hint="eastAsia" w:ascii="仿宋_GB2312" w:hAnsi="仿宋_GB2312" w:eastAsia="仿宋_GB2312" w:cs="仿宋_GB2312"/>
          <w:b/>
          <w:bCs/>
          <w:sz w:val="32"/>
          <w:szCs w:val="32"/>
        </w:rPr>
        <w:t>3.卫生健康支出（类）行政事业单位医疗（款）行政单位医疗（项）</w:t>
      </w:r>
      <w:r>
        <w:rPr>
          <w:rFonts w:hint="eastAsia" w:ascii="仿宋_GB2312" w:hAnsi="仿宋_GB2312" w:eastAsia="仿宋_GB2312" w:cs="仿宋_GB2312"/>
          <w:sz w:val="32"/>
          <w:szCs w:val="32"/>
        </w:rPr>
        <w:t>:支出决算为5.75万元，完成预算100%。</w:t>
      </w:r>
      <w:r>
        <w:rPr>
          <w:rStyle w:val="20"/>
          <w:rFonts w:hint="eastAsia" w:ascii="仿宋_GB2312" w:hAnsi="仿宋_GB2312" w:eastAsia="仿宋_GB2312" w:cs="仿宋_GB2312"/>
          <w:sz w:val="32"/>
          <w:szCs w:val="32"/>
        </w:rPr>
        <w:t>决算数与预算数相等。</w:t>
      </w:r>
    </w:p>
    <w:p w14:paraId="3A41D27E">
      <w:pPr>
        <w:ind w:firstLine="643" w:firstLineChars="200"/>
        <w:rPr>
          <w:sz w:val="32"/>
          <w:szCs w:val="32"/>
        </w:rPr>
      </w:pPr>
      <w:r>
        <w:rPr>
          <w:rFonts w:hint="eastAsia" w:ascii="仿宋_GB2312" w:hAnsi="仿宋_GB2312" w:eastAsia="仿宋_GB2312" w:cs="仿宋_GB2312"/>
          <w:b/>
          <w:bCs/>
          <w:sz w:val="32"/>
          <w:szCs w:val="32"/>
        </w:rPr>
        <w:t>4.卫生健康支出（类）行政事业单位医疗（款）公务员医疗补助（项）</w:t>
      </w:r>
      <w:r>
        <w:rPr>
          <w:rFonts w:hint="eastAsia" w:ascii="仿宋_GB2312" w:hAnsi="仿宋_GB2312" w:eastAsia="仿宋_GB2312" w:cs="仿宋_GB2312"/>
          <w:sz w:val="32"/>
          <w:szCs w:val="32"/>
        </w:rPr>
        <w:t>:支出决算为0.79万元，完成预算100%。</w:t>
      </w:r>
      <w:r>
        <w:rPr>
          <w:rStyle w:val="20"/>
          <w:rFonts w:hint="eastAsia" w:ascii="仿宋_GB2312" w:hAnsi="仿宋_GB2312" w:eastAsia="仿宋_GB2312" w:cs="仿宋_GB2312"/>
          <w:sz w:val="32"/>
          <w:szCs w:val="32"/>
        </w:rPr>
        <w:t>决算数与预算数相等。</w:t>
      </w:r>
    </w:p>
    <w:p w14:paraId="4304AD93">
      <w:pPr>
        <w:ind w:firstLine="643" w:firstLineChars="200"/>
        <w:rPr>
          <w:rStyle w:val="20"/>
          <w:rFonts w:ascii="仿宋_GB2312" w:hAnsi="仿宋_GB2312" w:eastAsia="仿宋_GB2312" w:cs="仿宋_GB2312"/>
          <w:sz w:val="32"/>
          <w:szCs w:val="32"/>
        </w:rPr>
      </w:pPr>
      <w:r>
        <w:rPr>
          <w:rFonts w:hint="eastAsia" w:ascii="仿宋_GB2312" w:hAnsi="仿宋_GB2312" w:eastAsia="仿宋_GB2312" w:cs="仿宋_GB2312"/>
          <w:b/>
          <w:bCs/>
          <w:sz w:val="32"/>
          <w:szCs w:val="32"/>
        </w:rPr>
        <w:t>5.交通运输支出（类）公路水路运输（款）行政运行（项）</w:t>
      </w:r>
      <w:r>
        <w:rPr>
          <w:rFonts w:hint="eastAsia" w:ascii="仿宋_GB2312" w:hAnsi="仿宋_GB2312" w:eastAsia="仿宋_GB2312" w:cs="仿宋_GB2312"/>
          <w:sz w:val="32"/>
          <w:szCs w:val="32"/>
        </w:rPr>
        <w:t>:支出决算为95.56万元，完成预算100%。</w:t>
      </w:r>
      <w:r>
        <w:rPr>
          <w:rStyle w:val="20"/>
          <w:rFonts w:hint="eastAsia" w:ascii="仿宋_GB2312" w:hAnsi="仿宋_GB2312" w:eastAsia="仿宋_GB2312" w:cs="仿宋_GB2312"/>
          <w:sz w:val="32"/>
          <w:szCs w:val="32"/>
        </w:rPr>
        <w:t>决算数与预算数相等。</w:t>
      </w:r>
    </w:p>
    <w:p w14:paraId="2D24DFF7">
      <w:pPr>
        <w:ind w:firstLine="643" w:firstLineChars="200"/>
        <w:rPr>
          <w:sz w:val="32"/>
          <w:szCs w:val="32"/>
        </w:rPr>
      </w:pPr>
      <w:r>
        <w:rPr>
          <w:rFonts w:hint="eastAsia" w:ascii="仿宋_GB2312" w:hAnsi="仿宋_GB2312" w:eastAsia="仿宋_GB2312" w:cs="仿宋_GB2312"/>
          <w:b/>
          <w:bCs/>
          <w:sz w:val="32"/>
          <w:szCs w:val="32"/>
        </w:rPr>
        <w:t>6.交通运输支出（类）公路水路运输（款）其他公路水路运输支出（项）</w:t>
      </w:r>
      <w:r>
        <w:rPr>
          <w:rFonts w:hint="eastAsia" w:ascii="仿宋_GB2312" w:hAnsi="仿宋_GB2312" w:eastAsia="仿宋_GB2312" w:cs="仿宋_GB2312"/>
          <w:sz w:val="32"/>
          <w:szCs w:val="32"/>
        </w:rPr>
        <w:t>:支出决算为1.91万元，完成预算100%。</w:t>
      </w:r>
      <w:r>
        <w:rPr>
          <w:rStyle w:val="20"/>
          <w:rFonts w:hint="eastAsia" w:ascii="仿宋_GB2312" w:hAnsi="仿宋_GB2312" w:eastAsia="仿宋_GB2312" w:cs="仿宋_GB2312"/>
          <w:sz w:val="32"/>
          <w:szCs w:val="32"/>
        </w:rPr>
        <w:t>决算数与预算数相等。</w:t>
      </w:r>
    </w:p>
    <w:p w14:paraId="204CCE37">
      <w:pPr>
        <w:ind w:firstLine="643" w:firstLineChars="200"/>
        <w:rPr>
          <w:rFonts w:eastAsia="仿宋_GB2312" w:cs="仿宋_GB2312"/>
          <w:sz w:val="32"/>
          <w:szCs w:val="32"/>
        </w:rPr>
      </w:pPr>
      <w:r>
        <w:rPr>
          <w:rFonts w:hint="eastAsia" w:ascii="仿宋_GB2312" w:hAnsi="仿宋_GB2312" w:eastAsia="仿宋_GB2312" w:cs="仿宋_GB2312"/>
          <w:b/>
          <w:bCs/>
          <w:sz w:val="32"/>
          <w:szCs w:val="32"/>
        </w:rPr>
        <w:t>7.住房保障支出（类）住房改革支出（款）住房公积金（项）</w:t>
      </w:r>
      <w:r>
        <w:rPr>
          <w:rFonts w:hint="eastAsia" w:ascii="仿宋_GB2312" w:hAnsi="仿宋_GB2312" w:eastAsia="仿宋_GB2312" w:cs="仿宋_GB2312"/>
          <w:sz w:val="32"/>
          <w:szCs w:val="32"/>
        </w:rPr>
        <w:t>:支出决算为8.78万元，完成预算100%。</w:t>
      </w:r>
      <w:r>
        <w:rPr>
          <w:rStyle w:val="20"/>
          <w:rFonts w:hint="eastAsia" w:ascii="仿宋_GB2312" w:hAnsi="仿宋_GB2312" w:eastAsia="仿宋_GB2312" w:cs="仿宋_GB2312"/>
          <w:sz w:val="32"/>
          <w:szCs w:val="32"/>
        </w:rPr>
        <w:t>决算数与预算数相等。</w:t>
      </w:r>
    </w:p>
    <w:p w14:paraId="68A94EF0">
      <w:pPr>
        <w:tabs>
          <w:tab w:val="right" w:pos="8306"/>
        </w:tabs>
        <w:spacing w:line="600" w:lineRule="exact"/>
        <w:ind w:firstLine="640"/>
        <w:outlineLvl w:val="1"/>
        <w:rPr>
          <w:rStyle w:val="32"/>
          <w:rFonts w:ascii="Times New Roman" w:hAnsi="Times New Roman"/>
        </w:rPr>
      </w:pPr>
      <w:bookmarkStart w:id="40" w:name="_Toc15396608"/>
      <w:bookmarkStart w:id="41" w:name="_Toc15377214"/>
      <w:r>
        <w:rPr>
          <w:rFonts w:hint="eastAsia" w:eastAsia="黑体"/>
          <w:sz w:val="32"/>
          <w:szCs w:val="32"/>
        </w:rPr>
        <w:t>六</w:t>
      </w:r>
      <w:r>
        <w:rPr>
          <w:rFonts w:hint="eastAsia" w:eastAsia="黑体"/>
          <w:b/>
          <w:sz w:val="32"/>
          <w:szCs w:val="32"/>
        </w:rPr>
        <w:t>、一</w:t>
      </w:r>
      <w:r>
        <w:rPr>
          <w:rStyle w:val="32"/>
          <w:rFonts w:hint="eastAsia" w:ascii="Times New Roman" w:hAnsi="Times New Roman" w:eastAsia="黑体"/>
          <w:b w:val="0"/>
        </w:rPr>
        <w:t>般公共预算财政拨款基本支出决算情况说明</w:t>
      </w:r>
      <w:bookmarkEnd w:id="40"/>
      <w:bookmarkEnd w:id="41"/>
      <w:r>
        <w:rPr>
          <w:rStyle w:val="32"/>
          <w:rFonts w:ascii="Times New Roman" w:hAnsi="Times New Roman" w:eastAsia="黑体"/>
          <w:b w:val="0"/>
        </w:rPr>
        <w:tab/>
      </w:r>
    </w:p>
    <w:p w14:paraId="315EF426">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125.72万</w:t>
      </w:r>
      <w:r>
        <w:rPr>
          <w:rFonts w:hint="eastAsia" w:eastAsia="仿宋_GB2312" w:cs="仿宋_GB2312"/>
          <w:sz w:val="32"/>
          <w:szCs w:val="32"/>
        </w:rPr>
        <w:t>元，其中：</w:t>
      </w:r>
    </w:p>
    <w:p w14:paraId="4E9C5AE6">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112.24万</w:t>
      </w:r>
      <w:r>
        <w:rPr>
          <w:rFonts w:hint="eastAsia" w:eastAsia="仿宋_GB2312" w:cs="仿宋_GB2312"/>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13.48万</w:t>
      </w:r>
      <w:r>
        <w:rPr>
          <w:rFonts w:hint="eastAsia" w:eastAsia="仿宋_GB2312" w:cs="仿宋_GB2312"/>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D1F5EF7">
      <w:pPr>
        <w:spacing w:line="600" w:lineRule="exact"/>
        <w:ind w:firstLine="640"/>
        <w:outlineLvl w:val="1"/>
        <w:rPr>
          <w:rStyle w:val="32"/>
          <w:rFonts w:ascii="Times New Roman" w:hAnsi="Times New Roman" w:eastAsia="黑体"/>
          <w:b w:val="0"/>
        </w:rPr>
      </w:pPr>
      <w:bookmarkStart w:id="42" w:name="_Toc15396609"/>
      <w:bookmarkStart w:id="43" w:name="_Toc15377215"/>
      <w:r>
        <w:rPr>
          <w:rFonts w:hint="eastAsia" w:eastAsia="黑体"/>
          <w:sz w:val="32"/>
          <w:szCs w:val="32"/>
        </w:rPr>
        <w:t>七、</w:t>
      </w:r>
      <w:r>
        <w:rPr>
          <w:rStyle w:val="32"/>
          <w:rFonts w:hint="eastAsia" w:ascii="Times New Roman" w:hAnsi="Times New Roman" w:eastAsia="黑体"/>
          <w:b w:val="0"/>
        </w:rPr>
        <w:t>财政拨款</w:t>
      </w:r>
      <w:r>
        <w:rPr>
          <w:rStyle w:val="32"/>
          <w:rFonts w:hint="eastAsia" w:ascii="Times New Roman" w:hAnsi="Times New Roman" w:eastAsia="黑体"/>
        </w:rPr>
        <w:t>“</w:t>
      </w:r>
      <w:r>
        <w:rPr>
          <w:rStyle w:val="32"/>
          <w:rFonts w:hint="eastAsia" w:ascii="Times New Roman" w:hAnsi="Times New Roman" w:eastAsia="黑体"/>
          <w:b w:val="0"/>
        </w:rPr>
        <w:t>三公”经费支出决算情况说明</w:t>
      </w:r>
      <w:bookmarkEnd w:id="42"/>
      <w:bookmarkEnd w:id="43"/>
    </w:p>
    <w:p w14:paraId="2E41ECB9">
      <w:pPr>
        <w:spacing w:line="600" w:lineRule="exact"/>
        <w:ind w:firstLine="643" w:firstLineChars="200"/>
        <w:outlineLvl w:val="2"/>
        <w:rPr>
          <w:rFonts w:eastAsia="楷体_GB2312" w:cs="楷体_GB2312"/>
          <w:b/>
          <w:sz w:val="32"/>
          <w:szCs w:val="32"/>
        </w:rPr>
      </w:pPr>
      <w:bookmarkStart w:id="44" w:name="_Toc15377216"/>
      <w:r>
        <w:rPr>
          <w:rFonts w:hint="eastAsia" w:eastAsia="楷体_GB2312" w:cs="楷体_GB2312"/>
          <w:b/>
          <w:sz w:val="32"/>
          <w:szCs w:val="32"/>
        </w:rPr>
        <w:t>（一）“三公”经费财政拨款支出决算总体情况说明</w:t>
      </w:r>
      <w:bookmarkEnd w:id="44"/>
    </w:p>
    <w:p w14:paraId="38DBE447">
      <w:pPr>
        <w:ind w:firstLine="640" w:firstLineChars="200"/>
        <w:rPr>
          <w:rFonts w:eastAsia="仿宋_GB2312" w:cs="仿宋_GB2312"/>
          <w:sz w:val="32"/>
          <w:szCs w:val="32"/>
        </w:rPr>
      </w:pPr>
      <w:r>
        <w:rPr>
          <w:rFonts w:hint="eastAsia" w:eastAsia="仿宋_GB2312" w:cs="仿宋_GB2312"/>
          <w:sz w:val="32"/>
          <w:szCs w:val="32"/>
        </w:rPr>
        <w:t>2025年度“三公”经费财政拨款支出决算为</w:t>
      </w:r>
      <w:r>
        <w:rPr>
          <w:rFonts w:hint="eastAsia" w:ascii="仿宋_GB2312" w:hAnsi="仿宋_GB2312" w:eastAsia="仿宋_GB2312" w:cs="仿宋_GB2312"/>
          <w:sz w:val="32"/>
          <w:szCs w:val="32"/>
        </w:rPr>
        <w:t>0万元，完成预算0%，</w:t>
      </w:r>
      <w:r>
        <w:rPr>
          <w:rFonts w:hint="eastAsia" w:eastAsia="仿宋_GB2312" w:cs="仿宋_GB2312"/>
          <w:sz w:val="32"/>
          <w:szCs w:val="32"/>
        </w:rPr>
        <w:t>较上年度持平，无变动。决算数小于预算数的主要原因是厉行节约，车辆调拨完成，我单位无在编车辆。</w:t>
      </w:r>
    </w:p>
    <w:p w14:paraId="53B3242F">
      <w:pPr>
        <w:spacing w:line="600" w:lineRule="exact"/>
        <w:ind w:firstLine="643" w:firstLineChars="200"/>
        <w:outlineLvl w:val="2"/>
        <w:rPr>
          <w:rFonts w:eastAsia="楷体_GB2312" w:cs="楷体_GB2312"/>
          <w:b/>
          <w:sz w:val="32"/>
          <w:szCs w:val="32"/>
        </w:rPr>
      </w:pPr>
      <w:bookmarkStart w:id="45" w:name="_Toc15377217"/>
      <w:r>
        <w:rPr>
          <w:rFonts w:hint="eastAsia" w:eastAsia="楷体_GB2312" w:cs="楷体_GB2312"/>
          <w:b/>
          <w:sz w:val="32"/>
          <w:szCs w:val="32"/>
        </w:rPr>
        <w:t>（二）“三公”经费财政拨款支出决算具体情况说明</w:t>
      </w:r>
      <w:bookmarkEnd w:id="45"/>
    </w:p>
    <w:p w14:paraId="348B034E">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2025年度“三公”经费财政拨款支出决算中，因公出国（境）费支出决算0万元，占0%；公务用车购置及运行维护费支出决算0万元，占0%；公务接待费支出决算0万元，占0%。具体情况如下：</w:t>
      </w:r>
    </w:p>
    <w:p w14:paraId="1F9FA655">
      <w:pPr>
        <w:pStyle w:val="2"/>
      </w:pPr>
      <w:bookmarkStart w:id="46" w:name="_1754917974"/>
      <w:bookmarkEnd w:id="46"/>
      <w:r>
        <w:rPr>
          <w:rFonts w:hint="eastAsia" w:ascii="仿宋_GB2312" w:eastAsia="仿宋_GB2312"/>
        </w:rPr>
        <w:object>
          <v:shape id="_x0000_i1030" o:spt="75" type="#_x0000_t75" style="height:209.3pt;width:278.8pt;" o:ole="t" filled="f" o:preferrelative="t" stroked="f" coordsize="21600,21600">
            <v:path/>
            <v:fill on="f" focussize="0,0"/>
            <v:stroke on="f" joinstyle="miter"/>
            <v:imagedata r:id="rId19" o:title=""/>
            <o:lock v:ext="edit" aspectratio="f"/>
            <w10:wrap type="none"/>
            <w10:anchorlock/>
          </v:shape>
          <o:OLEObject Type="Embed" ProgID="Excel.Sheet.8" ShapeID="_x0000_i1030" DrawAspect="Content" ObjectID="_1468075731" r:id="rId18">
            <o:LockedField>false</o:LockedField>
          </o:OLEObject>
        </w:object>
      </w:r>
    </w:p>
    <w:p w14:paraId="2F587341">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w:t>
      </w:r>
    </w:p>
    <w:p w14:paraId="6983E7BA">
      <w:pPr>
        <w:ind w:firstLine="643" w:firstLineChars="200"/>
        <w:rPr>
          <w:rFonts w:ascii="仿宋_GB2312" w:eastAsia="仿宋_GB2312"/>
          <w:b/>
          <w:color w:val="000000"/>
        </w:rPr>
      </w:pPr>
      <w:r>
        <w:rPr>
          <w:rFonts w:hint="eastAsia" w:eastAsia="仿宋_GB2312" w:cs="仿宋_GB2312"/>
          <w:b/>
          <w:bCs/>
          <w:sz w:val="32"/>
          <w:szCs w:val="32"/>
        </w:rPr>
        <w:t>1.因公出国（境）经费支出0万元，完成预算0%。</w:t>
      </w:r>
      <w:r>
        <w:rPr>
          <w:rFonts w:hAnsi="仿宋_GB2312" w:eastAsia="仿宋_GB2312"/>
          <w:sz w:val="32"/>
          <w:szCs w:val="32"/>
        </w:rPr>
        <w:t>全年没有安排因公出国（境）。</w:t>
      </w:r>
    </w:p>
    <w:p w14:paraId="1FB907D4">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元，完成预算0%。</w:t>
      </w:r>
      <w:r>
        <w:rPr>
          <w:rFonts w:hint="eastAsia" w:eastAsia="仿宋_GB2312" w:cs="仿宋_GB2312"/>
          <w:sz w:val="32"/>
          <w:szCs w:val="32"/>
        </w:rPr>
        <w:t>我单位无在编车辆。</w:t>
      </w:r>
    </w:p>
    <w:p w14:paraId="1C3891E3">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元，完成预算0%。</w:t>
      </w:r>
      <w:r>
        <w:rPr>
          <w:rFonts w:hint="eastAsia" w:eastAsia="仿宋_GB2312" w:cs="仿宋_GB2312"/>
          <w:sz w:val="32"/>
          <w:szCs w:val="32"/>
        </w:rPr>
        <w:t>我单位本年度无公务接待。</w:t>
      </w:r>
    </w:p>
    <w:p w14:paraId="2CBFC136">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出0万</w:t>
      </w:r>
      <w:r>
        <w:rPr>
          <w:rFonts w:hint="eastAsia" w:eastAsia="仿宋_GB2312" w:cs="仿宋_GB2312"/>
          <w:sz w:val="32"/>
          <w:szCs w:val="32"/>
        </w:rPr>
        <w:t>元。</w:t>
      </w:r>
    </w:p>
    <w:p w14:paraId="703A7EBA">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eastAsia="仿宋_GB2312" w:cs="仿宋_GB2312"/>
          <w:sz w:val="32"/>
          <w:szCs w:val="32"/>
        </w:rPr>
        <w:t>。</w:t>
      </w:r>
    </w:p>
    <w:p w14:paraId="37F0EAA0">
      <w:pPr>
        <w:spacing w:line="600" w:lineRule="exact"/>
        <w:ind w:firstLine="640"/>
        <w:outlineLvl w:val="1"/>
        <w:rPr>
          <w:rStyle w:val="32"/>
          <w:rFonts w:ascii="Times New Roman" w:hAnsi="Times New Roman" w:eastAsia="黑体"/>
        </w:rPr>
      </w:pPr>
      <w:bookmarkStart w:id="47" w:name="_Toc15377218"/>
      <w:bookmarkStart w:id="48" w:name="_Toc15396610"/>
      <w:r>
        <w:rPr>
          <w:rFonts w:hint="eastAsia" w:eastAsia="黑体"/>
          <w:sz w:val="32"/>
          <w:szCs w:val="32"/>
        </w:rPr>
        <w:t>八、</w:t>
      </w:r>
      <w:r>
        <w:rPr>
          <w:rStyle w:val="32"/>
          <w:rFonts w:hint="eastAsia" w:ascii="Times New Roman" w:hAnsi="Times New Roman" w:eastAsia="黑体"/>
          <w:b w:val="0"/>
        </w:rPr>
        <w:t>政府性基金预算支出决算情况说明</w:t>
      </w:r>
      <w:bookmarkEnd w:id="47"/>
      <w:bookmarkEnd w:id="48"/>
    </w:p>
    <w:p w14:paraId="4877EAF5">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2025年度政府性基金预算财政拨款支出0万元。</w:t>
      </w:r>
    </w:p>
    <w:p w14:paraId="1BCE4EB5">
      <w:pPr>
        <w:spacing w:line="600" w:lineRule="exact"/>
        <w:ind w:left="630"/>
        <w:outlineLvl w:val="1"/>
        <w:rPr>
          <w:rStyle w:val="32"/>
          <w:rFonts w:ascii="Times New Roman" w:hAnsi="Times New Roman" w:eastAsia="黑体"/>
          <w:b w:val="0"/>
        </w:rPr>
      </w:pPr>
      <w:bookmarkStart w:id="49" w:name="_Toc15377219"/>
      <w:bookmarkStart w:id="50" w:name="_Toc15396611"/>
      <w:r>
        <w:rPr>
          <w:rStyle w:val="32"/>
          <w:rFonts w:hint="eastAsia" w:ascii="Times New Roman" w:hAnsi="Times New Roman" w:eastAsia="黑体"/>
          <w:b w:val="0"/>
        </w:rPr>
        <w:t>九、国有资本经营预算支出决算情况说明</w:t>
      </w:r>
      <w:bookmarkEnd w:id="49"/>
      <w:bookmarkEnd w:id="50"/>
    </w:p>
    <w:p w14:paraId="68047CE6">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0万元。</w:t>
      </w:r>
    </w:p>
    <w:p w14:paraId="70038AA7">
      <w:pPr>
        <w:spacing w:line="600" w:lineRule="exact"/>
        <w:ind w:left="630"/>
        <w:outlineLvl w:val="1"/>
        <w:rPr>
          <w:rStyle w:val="32"/>
          <w:rFonts w:ascii="Times New Roman" w:hAnsi="Times New Roman" w:eastAsia="黑体"/>
          <w:b w:val="0"/>
        </w:rPr>
      </w:pPr>
      <w:bookmarkStart w:id="51" w:name="_Toc15377221"/>
      <w:bookmarkStart w:id="52" w:name="_Toc15396612"/>
      <w:r>
        <w:rPr>
          <w:rStyle w:val="32"/>
          <w:rFonts w:hint="eastAsia" w:ascii="Times New Roman" w:hAnsi="Times New Roman" w:eastAsia="黑体"/>
          <w:b w:val="0"/>
        </w:rPr>
        <w:t>十、其他重要事项的情况说明</w:t>
      </w:r>
      <w:bookmarkEnd w:id="51"/>
      <w:bookmarkEnd w:id="52"/>
    </w:p>
    <w:p w14:paraId="629C9218">
      <w:pPr>
        <w:spacing w:line="600" w:lineRule="exact"/>
        <w:ind w:firstLine="643" w:firstLineChars="200"/>
        <w:outlineLvl w:val="2"/>
        <w:rPr>
          <w:rFonts w:eastAsia="楷体_GB2312" w:cs="楷体_GB2312"/>
          <w:b/>
          <w:sz w:val="32"/>
          <w:szCs w:val="32"/>
        </w:rPr>
      </w:pPr>
      <w:bookmarkStart w:id="53" w:name="_Toc15377222"/>
      <w:r>
        <w:rPr>
          <w:rFonts w:hint="eastAsia" w:eastAsia="楷体_GB2312" w:cs="楷体_GB2312"/>
          <w:b/>
          <w:sz w:val="32"/>
          <w:szCs w:val="32"/>
        </w:rPr>
        <w:t>（一）机关运行经费支出情况</w:t>
      </w:r>
      <w:bookmarkEnd w:id="53"/>
    </w:p>
    <w:p w14:paraId="1BE56C6A">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，四川省攀枝花市交通建设工程服务中心机关运行经费支出13.48万</w:t>
      </w:r>
      <w:r>
        <w:rPr>
          <w:rFonts w:hint="eastAsia" w:eastAsia="仿宋_GB2312" w:cs="仿宋_GB2312"/>
          <w:sz w:val="32"/>
          <w:szCs w:val="32"/>
        </w:rPr>
        <w:t>元，比2024年度减少1.</w:t>
      </w:r>
      <w:r>
        <w:rPr>
          <w:rFonts w:eastAsia="仿宋_GB2312" w:cs="仿宋_GB2312"/>
          <w:sz w:val="32"/>
          <w:szCs w:val="32"/>
        </w:rPr>
        <w:t>4</w:t>
      </w:r>
      <w:r>
        <w:rPr>
          <w:rFonts w:hint="eastAsia" w:eastAsia="仿宋_GB2312" w:cs="仿宋_GB2312"/>
          <w:sz w:val="32"/>
          <w:szCs w:val="32"/>
        </w:rPr>
        <w:t>万元，减少</w:t>
      </w:r>
      <w:r>
        <w:rPr>
          <w:rFonts w:eastAsia="仿宋_GB2312" w:cs="仿宋_GB2312"/>
          <w:sz w:val="32"/>
          <w:szCs w:val="32"/>
        </w:rPr>
        <w:t>9.39%</w:t>
      </w:r>
      <w:r>
        <w:rPr>
          <w:rFonts w:hint="eastAsia" w:eastAsia="仿宋_GB2312" w:cs="仿宋_GB2312"/>
          <w:sz w:val="32"/>
          <w:szCs w:val="32"/>
        </w:rPr>
        <w:t>。主要原因是我单位车辆移交后，无车编，为完成检测任务租车款上涨。</w:t>
      </w:r>
    </w:p>
    <w:p w14:paraId="4BEE5BBC">
      <w:pPr>
        <w:spacing w:line="600" w:lineRule="exact"/>
        <w:ind w:firstLine="643" w:firstLineChars="200"/>
        <w:outlineLvl w:val="2"/>
        <w:rPr>
          <w:rFonts w:eastAsia="楷体_GB2312" w:cs="楷体_GB2312"/>
          <w:b/>
          <w:sz w:val="32"/>
          <w:szCs w:val="32"/>
        </w:rPr>
      </w:pPr>
      <w:bookmarkStart w:id="54" w:name="_Toc15377223"/>
      <w:r>
        <w:rPr>
          <w:rFonts w:hint="eastAsia" w:eastAsia="楷体_GB2312" w:cs="楷体_GB2312"/>
          <w:b/>
          <w:sz w:val="32"/>
          <w:szCs w:val="32"/>
        </w:rPr>
        <w:t>（二）政府采购支出情况</w:t>
      </w:r>
      <w:bookmarkEnd w:id="54"/>
    </w:p>
    <w:p w14:paraId="01A7DD08">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四川省攀枝花市交通建设工程服务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7EE91C78">
      <w:pPr>
        <w:spacing w:line="600" w:lineRule="exact"/>
        <w:ind w:firstLine="643" w:firstLineChars="200"/>
        <w:outlineLvl w:val="2"/>
        <w:rPr>
          <w:rFonts w:eastAsia="楷体_GB2312" w:cs="楷体_GB2312"/>
          <w:b/>
          <w:sz w:val="32"/>
          <w:szCs w:val="32"/>
        </w:rPr>
      </w:pPr>
      <w:bookmarkStart w:id="55" w:name="_Toc15377224"/>
      <w:r>
        <w:rPr>
          <w:rFonts w:hint="eastAsia" w:eastAsia="楷体_GB2312" w:cs="楷体_GB2312"/>
          <w:b/>
          <w:sz w:val="32"/>
          <w:szCs w:val="32"/>
        </w:rPr>
        <w:t>（三）国有资产占有使用情况</w:t>
      </w:r>
      <w:bookmarkEnd w:id="55"/>
    </w:p>
    <w:p w14:paraId="229C35D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截至2025年12月31日，四川省攀枝花市交通建设工程服务中心共有车辆0辆，其中：主要负责人用车0辆、机要通信用车0辆、应急保障用车0辆、其他用车0辆。单价100万元（含）以上设备（不含车辆）0台（套）</w:t>
      </w:r>
      <w:r>
        <w:rPr>
          <w:rFonts w:hint="eastAsia" w:eastAsia="仿宋_GB2312" w:cs="仿宋_GB2312"/>
          <w:sz w:val="32"/>
          <w:szCs w:val="32"/>
        </w:rPr>
        <w:t>。</w:t>
      </w:r>
    </w:p>
    <w:p w14:paraId="44DC6339">
      <w:pPr>
        <w:spacing w:line="600" w:lineRule="exact"/>
        <w:ind w:firstLine="640"/>
        <w:rPr>
          <w:rFonts w:eastAsia="仿宋_GB2312" w:cs="仿宋_GB2312"/>
          <w:sz w:val="32"/>
          <w:szCs w:val="32"/>
        </w:rPr>
      </w:pPr>
    </w:p>
    <w:p w14:paraId="2EAA95F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CD55B4E">
      <w:pPr>
        <w:spacing w:line="600" w:lineRule="exact"/>
        <w:ind w:firstLine="640"/>
        <w:rPr>
          <w:rFonts w:eastAsia="仿宋_GB2312" w:cs="仿宋_GB2312"/>
          <w:sz w:val="32"/>
          <w:szCs w:val="32"/>
        </w:rPr>
      </w:pPr>
      <w:r>
        <w:rPr>
          <w:rFonts w:hint="eastAsia" w:eastAsia="仿宋_GB2312" w:cs="仿宋_GB2312"/>
          <w:sz w:val="32"/>
          <w:szCs w:val="32"/>
        </w:rPr>
        <w:t>根据预算绩效管理要求，本单位在2025年度预算编制阶段，组织对交通工程建设服务业务运行费资金等1个项目开展了预算事前绩效评估，对1个项目编制了绩效目标，预算执行过程中，选取1个项目开展绩效监控。</w:t>
      </w:r>
    </w:p>
    <w:p w14:paraId="267876A3">
      <w:pPr>
        <w:spacing w:line="600" w:lineRule="exact"/>
        <w:ind w:firstLine="640"/>
        <w:rPr>
          <w:rFonts w:eastAsia="仿宋_GB2312" w:cs="仿宋_GB2312"/>
          <w:sz w:val="32"/>
          <w:szCs w:val="32"/>
        </w:rPr>
      </w:pPr>
      <w:r>
        <w:rPr>
          <w:rFonts w:hint="eastAsia" w:eastAsia="仿宋_GB2312" w:cs="仿宋_GB2312"/>
          <w:sz w:val="32"/>
          <w:szCs w:val="32"/>
        </w:rPr>
        <w:t>绩效自评报告详见附件。</w:t>
      </w:r>
    </w:p>
    <w:p w14:paraId="71BB27B7">
      <w:pPr>
        <w:spacing w:line="600" w:lineRule="exact"/>
        <w:ind w:firstLine="640"/>
        <w:rPr>
          <w:rFonts w:eastAsia="仿宋_GB2312" w:cs="仿宋_GB2312"/>
          <w:sz w:val="32"/>
          <w:szCs w:val="32"/>
        </w:rPr>
      </w:pPr>
    </w:p>
    <w:p w14:paraId="1AB75D51">
      <w:pPr>
        <w:rPr>
          <w:rFonts w:eastAsia="黑体"/>
          <w:sz w:val="44"/>
          <w:szCs w:val="44"/>
        </w:rPr>
      </w:pPr>
      <w:bookmarkStart w:id="56" w:name="_Toc15377225"/>
      <w:bookmarkStart w:id="57" w:name="_Toc15396613"/>
      <w:r>
        <w:rPr>
          <w:rFonts w:hint="eastAsia" w:eastAsia="黑体"/>
          <w:sz w:val="44"/>
          <w:szCs w:val="44"/>
        </w:rPr>
        <w:br w:type="page"/>
      </w:r>
    </w:p>
    <w:p w14:paraId="7DE546C9">
      <w:pPr>
        <w:spacing w:line="600" w:lineRule="exact"/>
        <w:jc w:val="center"/>
        <w:outlineLvl w:val="0"/>
        <w:rPr>
          <w:rFonts w:eastAsia="黑体"/>
          <w:sz w:val="44"/>
          <w:szCs w:val="44"/>
        </w:rPr>
      </w:pPr>
      <w:r>
        <w:rPr>
          <w:rFonts w:hint="eastAsia" w:eastAsia="黑体"/>
          <w:sz w:val="44"/>
          <w:szCs w:val="44"/>
        </w:rPr>
        <w:t>第三部分名词解释</w:t>
      </w:r>
      <w:bookmarkEnd w:id="56"/>
      <w:bookmarkEnd w:id="57"/>
    </w:p>
    <w:p w14:paraId="2BBFFC7E">
      <w:pPr>
        <w:spacing w:line="600" w:lineRule="exact"/>
        <w:jc w:val="left"/>
        <w:rPr>
          <w:b/>
          <w:sz w:val="44"/>
          <w:szCs w:val="44"/>
        </w:rPr>
      </w:pPr>
    </w:p>
    <w:p w14:paraId="1F50584D">
      <w:pPr>
        <w:pStyle w:val="29"/>
        <w:ind w:firstLine="640" w:firstLineChars="200"/>
        <w:rPr>
          <w:rFonts w:ascii="仿宋_GB2312" w:hAnsi="仿宋_GB2312" w:eastAsia="仿宋_GB2312" w:cs="仿宋_GB2312"/>
          <w:sz w:val="32"/>
          <w:szCs w:val="32"/>
        </w:rPr>
      </w:pPr>
      <w:bookmarkStart w:id="58" w:name="_Toc15377226"/>
      <w:r>
        <w:rPr>
          <w:rFonts w:hint="eastAsia" w:ascii="仿宋_GB2312" w:hAnsi="仿宋_GB2312" w:eastAsia="仿宋_GB2312" w:cs="仿宋_GB2312"/>
          <w:sz w:val="32"/>
          <w:szCs w:val="32"/>
        </w:rPr>
        <w:t>1.财政拨款收入：指单位从同级财政部门取得的财政预算资金。</w:t>
      </w:r>
    </w:p>
    <w:p w14:paraId="5C161BAA">
      <w:pPr>
        <w:pStyle w:val="29"/>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2.年初结转和结余：指以前年度尚未完成、结转到本年按有关规定继续使用的资金。</w:t>
      </w:r>
    </w:p>
    <w:p w14:paraId="1D4529E8">
      <w:pPr>
        <w:pStyle w:val="29"/>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3.社会保障和就业支出（类）行政事业单位养老支出（款）行政单位离退休（项）：指行政单位（包括实行公务员法管理的事业单位）开支的离退休经费。</w:t>
      </w:r>
    </w:p>
    <w:p w14:paraId="607178DC">
      <w:pPr>
        <w:pStyle w:val="29"/>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 社会保障和就业支出（类）行政事业单位养老支出（款）机关事业单位基本养老保险缴费支出（项）：指机关事业单位实施养老保险制度由单位缴纳的基本养老保险费支出。</w:t>
      </w:r>
    </w:p>
    <w:p w14:paraId="5B8433A6">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卫生健康支出（类）行政事业单位医疗（款）行政单位医疗（项）:反映财政部门安排的行政单位基本医疗保险缴费经费，未参加医疗保险的行政单位的公费医疗经费，按国家规定享受离休人员、红军老战士待遇人员的医疗经费。</w:t>
      </w:r>
    </w:p>
    <w:p w14:paraId="6C428B7D">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6.卫生健康支出（类）行政事业单位医疗（款）公务员医疗补助（项）:反映财政部门安排的公务员医疗补助经费。</w:t>
      </w:r>
    </w:p>
    <w:p w14:paraId="2688E6E7">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7.卫生健康支出（类）行政事业单位医疗（款）其他行政事业单位医疗支出（项）:反映除上述项目以外的其他用于行政事业单位医疗方面的支出。</w:t>
      </w:r>
    </w:p>
    <w:p w14:paraId="3D51EC3C">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8.农林水支出（类）农业农村（款）其他农业农村支出（项）:反映除上述项目以外其他用于农业农村方面的支出。</w:t>
      </w:r>
    </w:p>
    <w:p w14:paraId="4EF2980F">
      <w:pPr>
        <w:pStyle w:val="29"/>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9.交通运输支出（类）公路水路运输（款）行政运行（项）：指交通运输方面的行政单位（包括实行公务员法管理的事业单位）的基本支出。</w:t>
      </w:r>
    </w:p>
    <w:p w14:paraId="08050117">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10.交通运输支出（类）公路水路运输（款）其他公路水路运输支出（项）：指其他用于公路水路运输方面的支出，主要为省级补助的水路运输基础设施建设方面的资金等。</w:t>
      </w:r>
    </w:p>
    <w:p w14:paraId="06874DA7">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11.住房保障支出（类）住房改革支出（款）住房公积金（项）：指行政事业单位按人力资源和社会保障部、财政部规定的基本工资和津贴补贴以及规定比例为职工缴纳的住房公积金。</w:t>
      </w:r>
    </w:p>
    <w:p w14:paraId="0F6A822D">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12.基本支出：指为保障机构正常运转、完成日常工作任务而发生的人员支出和公用支出。</w:t>
      </w:r>
    </w:p>
    <w:p w14:paraId="5D25AA7B">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13.项目支出：指在基本支出之外为完成特定行政任务和事业发展目标所发生的支出。</w:t>
      </w:r>
    </w:p>
    <w:p w14:paraId="41506301">
      <w:pPr>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14.“三公”经费：指单位用财政拨款安排的因公出国（境）费、公务用车购置及运行费和公务接待费。其中，因公出国（境）费反映单位公务出国（境）的国际旅费、国外城市间交通费、住宿费、伙食费、培训费、公杂费等支出；</w:t>
      </w:r>
    </w:p>
    <w:p w14:paraId="783A3DD7">
      <w:pPr>
        <w:pStyle w:val="29"/>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7C7C61">
      <w:pPr>
        <w:spacing w:line="600" w:lineRule="exact"/>
        <w:jc w:val="center"/>
        <w:rPr>
          <w:rStyle w:val="31"/>
          <w:rFonts w:eastAsia="黑体"/>
          <w:b w:val="0"/>
        </w:rPr>
      </w:pPr>
      <w:r>
        <w:rPr>
          <w:rFonts w:hint="eastAsia" w:eastAsia="仿宋_GB2312" w:cs="仿宋_GB2312"/>
          <w:sz w:val="32"/>
          <w:szCs w:val="32"/>
        </w:rPr>
        <w:br w:type="page"/>
      </w:r>
      <w:bookmarkStart w:id="59" w:name="_Toc15396614"/>
      <w:r>
        <w:rPr>
          <w:rFonts w:hint="eastAsia" w:eastAsia="黑体"/>
          <w:sz w:val="44"/>
          <w:szCs w:val="44"/>
        </w:rPr>
        <w:t>第四部分 附件</w:t>
      </w:r>
      <w:bookmarkEnd w:id="59"/>
    </w:p>
    <w:p w14:paraId="1F73267B">
      <w:pPr>
        <w:spacing w:line="572" w:lineRule="exact"/>
        <w:jc w:val="left"/>
        <w:outlineLvl w:val="0"/>
        <w:rPr>
          <w:rFonts w:eastAsia="黑体" w:cs="黑体"/>
          <w:color w:val="FF0000"/>
          <w:sz w:val="32"/>
          <w:szCs w:val="32"/>
        </w:rPr>
      </w:pPr>
    </w:p>
    <w:p w14:paraId="1504B0C0">
      <w:pPr>
        <w:jc w:val="center"/>
        <w:outlineLvl w:val="0"/>
        <w:rPr>
          <w:rFonts w:ascii="宋体" w:hAnsi="宋体" w:cs="宋体"/>
          <w:b/>
          <w:kern w:val="0"/>
          <w:sz w:val="32"/>
          <w:szCs w:val="32"/>
        </w:rPr>
      </w:pPr>
      <w:r>
        <w:rPr>
          <w:rFonts w:hint="eastAsia" w:ascii="宋体" w:hAnsi="宋体" w:cs="宋体"/>
          <w:b/>
          <w:kern w:val="0"/>
          <w:sz w:val="32"/>
          <w:szCs w:val="32"/>
        </w:rPr>
        <w:t>《单位预算项目支出绩效自评表》</w:t>
      </w:r>
    </w:p>
    <w:p w14:paraId="0320575D">
      <w:pPr>
        <w:pStyle w:val="9"/>
        <w:spacing w:line="560" w:lineRule="exact"/>
        <w:ind w:left="0" w:leftChars="0" w:firstLine="640"/>
        <w:rPr>
          <w:rFonts w:ascii="Times New Roman" w:eastAsia="仿宋_GB2312"/>
          <w:sz w:val="32"/>
          <w:lang w:val="zh-CN"/>
        </w:rPr>
      </w:pPr>
    </w:p>
    <w:p w14:paraId="2A641E9E">
      <w:pPr>
        <w:pStyle w:val="9"/>
        <w:spacing w:line="560" w:lineRule="exact"/>
        <w:ind w:left="0" w:leftChars="0" w:firstLine="640"/>
        <w:rPr>
          <w:rFonts w:ascii="Times New Roman" w:eastAsia="仿宋_GB2312"/>
          <w:sz w:val="32"/>
        </w:rPr>
      </w:pPr>
      <w:r>
        <w:rPr>
          <w:rFonts w:hint="eastAsia" w:ascii="Times New Roman" w:eastAsia="仿宋_GB2312"/>
          <w:sz w:val="32"/>
          <w:lang w:val="zh-CN"/>
        </w:rPr>
        <w:t>附表：单位</w:t>
      </w:r>
      <w:r>
        <w:rPr>
          <w:rFonts w:hint="eastAsia" w:ascii="Times New Roman" w:eastAsia="仿宋_GB2312"/>
          <w:sz w:val="32"/>
        </w:rPr>
        <w:t>预算项目支出绩效自评表（2025年度）见附件1。</w:t>
      </w:r>
    </w:p>
    <w:p w14:paraId="445A15B4">
      <w:pPr>
        <w:pStyle w:val="9"/>
        <w:spacing w:line="560" w:lineRule="exact"/>
        <w:ind w:left="0" w:leftChars="0" w:firstLine="0" w:firstLineChars="0"/>
        <w:rPr>
          <w:rFonts w:ascii="Times New Roman"/>
          <w:sz w:val="32"/>
          <w:highlight w:val="yellow"/>
          <w:lang w:val="zh-CN"/>
        </w:rPr>
      </w:pPr>
    </w:p>
    <w:p w14:paraId="033BE183">
      <w:pPr>
        <w:rPr>
          <w:rFonts w:eastAsia="仿宋_GB2312" w:cs="仿宋_GB2312"/>
          <w:kern w:val="0"/>
          <w:sz w:val="32"/>
          <w:szCs w:val="32"/>
        </w:rPr>
      </w:pPr>
      <w:bookmarkStart w:id="60" w:name="_Toc15396618"/>
      <w:r>
        <w:rPr>
          <w:rFonts w:hint="eastAsia" w:eastAsia="仿宋_GB2312" w:cs="仿宋_GB2312"/>
          <w:kern w:val="0"/>
          <w:sz w:val="32"/>
          <w:szCs w:val="32"/>
        </w:rPr>
        <w:br w:type="page"/>
      </w:r>
    </w:p>
    <w:p w14:paraId="07B05E72">
      <w:pPr>
        <w:widowControl/>
        <w:jc w:val="center"/>
        <w:rPr>
          <w:rFonts w:eastAsia="仿宋"/>
        </w:rPr>
      </w:pPr>
      <w:r>
        <w:rPr>
          <w:rFonts w:hint="eastAsia" w:eastAsia="黑体"/>
          <w:sz w:val="44"/>
          <w:szCs w:val="44"/>
        </w:rPr>
        <w:t>第</w:t>
      </w:r>
      <w:r>
        <w:rPr>
          <w:rStyle w:val="31"/>
          <w:rFonts w:hint="eastAsia" w:eastAsia="黑体"/>
          <w:b w:val="0"/>
        </w:rPr>
        <w:t>五部分 附表</w:t>
      </w:r>
      <w:bookmarkEnd w:id="58"/>
      <w:bookmarkEnd w:id="60"/>
      <w:bookmarkStart w:id="61" w:name="_Toc15396619"/>
    </w:p>
    <w:p w14:paraId="424B32B0">
      <w:pPr>
        <w:pStyle w:val="16"/>
        <w:adjustRightInd w:val="0"/>
        <w:snapToGrid w:val="0"/>
        <w:spacing w:line="560" w:lineRule="exact"/>
        <w:jc w:val="left"/>
        <w:rPr>
          <w:rFonts w:eastAsia="仿宋_GB2312" w:cs="仿宋_GB2312"/>
          <w:sz w:val="32"/>
          <w:szCs w:val="32"/>
        </w:rPr>
      </w:pPr>
    </w:p>
    <w:p w14:paraId="20C293EB">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61"/>
    </w:p>
    <w:p w14:paraId="6DB66DDE">
      <w:pPr>
        <w:pStyle w:val="16"/>
        <w:adjustRightInd w:val="0"/>
        <w:snapToGrid w:val="0"/>
        <w:spacing w:line="560" w:lineRule="exact"/>
        <w:jc w:val="left"/>
        <w:rPr>
          <w:rFonts w:eastAsia="仿宋_GB2312" w:cs="仿宋_GB2312"/>
          <w:sz w:val="32"/>
          <w:szCs w:val="32"/>
        </w:rPr>
      </w:pPr>
      <w:bookmarkStart w:id="62" w:name="_Toc15396620"/>
      <w:r>
        <w:rPr>
          <w:rFonts w:hint="eastAsia" w:eastAsia="仿宋_GB2312" w:cs="仿宋_GB2312"/>
          <w:sz w:val="32"/>
          <w:szCs w:val="32"/>
        </w:rPr>
        <w:t>二、收入决算表</w:t>
      </w:r>
      <w:bookmarkEnd w:id="62"/>
    </w:p>
    <w:p w14:paraId="4D7F8424">
      <w:pPr>
        <w:pStyle w:val="16"/>
        <w:adjustRightInd w:val="0"/>
        <w:snapToGrid w:val="0"/>
        <w:spacing w:line="560" w:lineRule="exact"/>
        <w:jc w:val="left"/>
        <w:rPr>
          <w:rFonts w:eastAsia="仿宋_GB2312" w:cs="仿宋_GB2312"/>
          <w:sz w:val="32"/>
          <w:szCs w:val="32"/>
        </w:rPr>
      </w:pPr>
      <w:bookmarkStart w:id="63" w:name="_Toc15396621"/>
      <w:r>
        <w:rPr>
          <w:rFonts w:hint="eastAsia" w:eastAsia="仿宋_GB2312" w:cs="仿宋_GB2312"/>
          <w:sz w:val="32"/>
          <w:szCs w:val="32"/>
        </w:rPr>
        <w:t>三、支出决算表</w:t>
      </w:r>
      <w:bookmarkEnd w:id="63"/>
    </w:p>
    <w:p w14:paraId="707A0392">
      <w:pPr>
        <w:pStyle w:val="16"/>
        <w:adjustRightInd w:val="0"/>
        <w:snapToGrid w:val="0"/>
        <w:spacing w:line="560" w:lineRule="exact"/>
        <w:jc w:val="left"/>
        <w:rPr>
          <w:rFonts w:eastAsia="仿宋_GB2312" w:cs="仿宋_GB2312"/>
          <w:sz w:val="32"/>
          <w:szCs w:val="32"/>
        </w:rPr>
      </w:pPr>
      <w:bookmarkStart w:id="64" w:name="_Toc15396622"/>
      <w:r>
        <w:rPr>
          <w:rFonts w:hint="eastAsia" w:eastAsia="仿宋_GB2312" w:cs="仿宋_GB2312"/>
          <w:sz w:val="32"/>
          <w:szCs w:val="32"/>
        </w:rPr>
        <w:t>四、财政拨款收入支出决算总表</w:t>
      </w:r>
      <w:bookmarkEnd w:id="64"/>
    </w:p>
    <w:p w14:paraId="3BC7DB52">
      <w:pPr>
        <w:pStyle w:val="16"/>
        <w:adjustRightInd w:val="0"/>
        <w:snapToGrid w:val="0"/>
        <w:spacing w:line="560" w:lineRule="exact"/>
        <w:jc w:val="left"/>
        <w:rPr>
          <w:rFonts w:eastAsia="仿宋_GB2312" w:cs="仿宋_GB2312"/>
          <w:sz w:val="32"/>
          <w:szCs w:val="32"/>
        </w:rPr>
      </w:pPr>
      <w:bookmarkStart w:id="65" w:name="_Toc15396623"/>
      <w:r>
        <w:rPr>
          <w:rFonts w:hint="eastAsia" w:eastAsia="仿宋_GB2312" w:cs="仿宋_GB2312"/>
          <w:sz w:val="32"/>
          <w:szCs w:val="32"/>
        </w:rPr>
        <w:t>五、财政拨款支出决算明细表</w:t>
      </w:r>
      <w:bookmarkEnd w:id="65"/>
      <w:bookmarkStart w:id="66" w:name="_Toc15396624"/>
    </w:p>
    <w:p w14:paraId="37EE63D4">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6"/>
    </w:p>
    <w:p w14:paraId="6F9FCA63">
      <w:pPr>
        <w:pStyle w:val="16"/>
        <w:adjustRightInd w:val="0"/>
        <w:snapToGrid w:val="0"/>
        <w:spacing w:line="560" w:lineRule="exact"/>
        <w:jc w:val="left"/>
        <w:rPr>
          <w:rFonts w:eastAsia="仿宋_GB2312" w:cs="仿宋_GB2312"/>
          <w:sz w:val="32"/>
          <w:szCs w:val="32"/>
        </w:rPr>
      </w:pPr>
      <w:bookmarkStart w:id="67" w:name="_Toc15396625"/>
      <w:r>
        <w:rPr>
          <w:rFonts w:hint="eastAsia" w:eastAsia="仿宋_GB2312" w:cs="仿宋_GB2312"/>
          <w:sz w:val="32"/>
          <w:szCs w:val="32"/>
        </w:rPr>
        <w:t>七、一般公共预算财政拨款支出决算明细表</w:t>
      </w:r>
      <w:bookmarkEnd w:id="67"/>
    </w:p>
    <w:p w14:paraId="5627E4CD">
      <w:pPr>
        <w:pStyle w:val="16"/>
        <w:adjustRightInd w:val="0"/>
        <w:snapToGrid w:val="0"/>
        <w:spacing w:line="560" w:lineRule="exact"/>
        <w:jc w:val="left"/>
        <w:rPr>
          <w:rFonts w:eastAsia="仿宋_GB2312" w:cs="仿宋_GB2312"/>
          <w:sz w:val="32"/>
          <w:szCs w:val="32"/>
        </w:rPr>
      </w:pPr>
      <w:bookmarkStart w:id="68" w:name="_Toc15396626"/>
      <w:r>
        <w:rPr>
          <w:rFonts w:hint="eastAsia" w:eastAsia="仿宋_GB2312" w:cs="仿宋_GB2312"/>
          <w:sz w:val="32"/>
          <w:szCs w:val="32"/>
        </w:rPr>
        <w:t>八、一般公共预算财政拨款基本支出决算表</w:t>
      </w:r>
      <w:bookmarkEnd w:id="68"/>
    </w:p>
    <w:p w14:paraId="73B9FA59">
      <w:pPr>
        <w:pStyle w:val="16"/>
        <w:adjustRightInd w:val="0"/>
        <w:snapToGrid w:val="0"/>
        <w:spacing w:line="560" w:lineRule="exact"/>
        <w:jc w:val="left"/>
        <w:rPr>
          <w:rFonts w:eastAsia="仿宋_GB2312" w:cs="仿宋_GB2312"/>
          <w:sz w:val="32"/>
          <w:szCs w:val="32"/>
        </w:rPr>
      </w:pPr>
      <w:bookmarkStart w:id="69" w:name="_Toc15396627"/>
      <w:r>
        <w:rPr>
          <w:rFonts w:hint="eastAsia" w:eastAsia="仿宋_GB2312" w:cs="仿宋_GB2312"/>
          <w:sz w:val="32"/>
          <w:szCs w:val="32"/>
        </w:rPr>
        <w:t>九、一般公共预算财政拨款项目支出决算表</w:t>
      </w:r>
      <w:bookmarkEnd w:id="69"/>
    </w:p>
    <w:p w14:paraId="06BA2C93">
      <w:pPr>
        <w:pStyle w:val="16"/>
        <w:adjustRightInd w:val="0"/>
        <w:snapToGrid w:val="0"/>
        <w:spacing w:line="560" w:lineRule="exact"/>
        <w:jc w:val="left"/>
        <w:rPr>
          <w:rFonts w:eastAsia="仿宋_GB2312" w:cs="仿宋_GB2312"/>
          <w:sz w:val="32"/>
          <w:szCs w:val="32"/>
        </w:rPr>
      </w:pPr>
      <w:bookmarkStart w:id="70" w:name="_Toc15396628"/>
      <w:r>
        <w:rPr>
          <w:rFonts w:hint="eastAsia" w:eastAsia="仿宋_GB2312" w:cs="仿宋_GB2312"/>
          <w:sz w:val="32"/>
          <w:szCs w:val="32"/>
        </w:rPr>
        <w:t>十、</w:t>
      </w:r>
      <w:bookmarkEnd w:id="70"/>
      <w:r>
        <w:rPr>
          <w:rFonts w:hint="eastAsia" w:eastAsia="仿宋_GB2312" w:cs="仿宋_GB2312"/>
          <w:sz w:val="32"/>
          <w:szCs w:val="32"/>
        </w:rPr>
        <w:t>政府性基金预算财政拨款收入支出决算表</w:t>
      </w:r>
    </w:p>
    <w:p w14:paraId="744BF124">
      <w:pPr>
        <w:pStyle w:val="16"/>
        <w:adjustRightInd w:val="0"/>
        <w:snapToGrid w:val="0"/>
        <w:spacing w:line="560" w:lineRule="exact"/>
        <w:jc w:val="left"/>
        <w:rPr>
          <w:rFonts w:eastAsia="仿宋_GB2312" w:cs="仿宋_GB2312"/>
          <w:sz w:val="32"/>
          <w:szCs w:val="32"/>
        </w:rPr>
      </w:pPr>
      <w:bookmarkStart w:id="71" w:name="_Toc15396629"/>
      <w:r>
        <w:rPr>
          <w:rFonts w:hint="eastAsia" w:eastAsia="仿宋_GB2312" w:cs="仿宋_GB2312"/>
          <w:sz w:val="32"/>
          <w:szCs w:val="32"/>
        </w:rPr>
        <w:t>十一、</w:t>
      </w:r>
      <w:bookmarkEnd w:id="71"/>
      <w:r>
        <w:rPr>
          <w:rFonts w:hint="eastAsia" w:eastAsia="仿宋_GB2312" w:cs="仿宋_GB2312"/>
          <w:sz w:val="32"/>
          <w:szCs w:val="32"/>
        </w:rPr>
        <w:t>国有资本经营预算财政拨款收入支出决算表</w:t>
      </w:r>
    </w:p>
    <w:p w14:paraId="3779142D">
      <w:pPr>
        <w:pStyle w:val="16"/>
        <w:adjustRightInd w:val="0"/>
        <w:snapToGrid w:val="0"/>
        <w:spacing w:line="560" w:lineRule="exact"/>
        <w:jc w:val="left"/>
        <w:rPr>
          <w:rFonts w:eastAsia="仿宋_GB2312" w:cs="仿宋_GB2312"/>
          <w:sz w:val="32"/>
          <w:szCs w:val="32"/>
        </w:rPr>
      </w:pPr>
      <w:bookmarkStart w:id="72" w:name="_Toc15396630"/>
      <w:r>
        <w:rPr>
          <w:rFonts w:hint="eastAsia" w:eastAsia="仿宋_GB2312" w:cs="仿宋_GB2312"/>
          <w:sz w:val="32"/>
          <w:szCs w:val="32"/>
        </w:rPr>
        <w:t>十二、</w:t>
      </w:r>
      <w:bookmarkEnd w:id="72"/>
      <w:r>
        <w:rPr>
          <w:rFonts w:hint="eastAsia" w:eastAsia="仿宋_GB2312" w:cs="仿宋_GB2312"/>
          <w:sz w:val="32"/>
          <w:szCs w:val="32"/>
        </w:rPr>
        <w:t>国有资本经营预算财政拨款支出决算表</w:t>
      </w:r>
    </w:p>
    <w:p w14:paraId="40AB4A95">
      <w:pPr>
        <w:pStyle w:val="16"/>
        <w:adjustRightInd w:val="0"/>
        <w:snapToGrid w:val="0"/>
        <w:spacing w:line="560" w:lineRule="exact"/>
        <w:jc w:val="left"/>
        <w:rPr>
          <w:rFonts w:eastAsia="仿宋_GB2312" w:cs="仿宋_GB2312"/>
          <w:sz w:val="32"/>
          <w:szCs w:val="32"/>
        </w:rPr>
      </w:pPr>
      <w:bookmarkStart w:id="73" w:name="_Toc15396631"/>
      <w:r>
        <w:rPr>
          <w:rFonts w:hint="eastAsia" w:eastAsia="仿宋_GB2312" w:cs="仿宋_GB2312"/>
          <w:sz w:val="32"/>
          <w:szCs w:val="32"/>
        </w:rPr>
        <w:t>十三、</w:t>
      </w:r>
      <w:bookmarkEnd w:id="73"/>
      <w:r>
        <w:rPr>
          <w:rFonts w:hint="eastAsia" w:eastAsia="仿宋_GB2312" w:cs="仿宋_GB2312"/>
          <w:sz w:val="32"/>
          <w:szCs w:val="32"/>
        </w:rPr>
        <w:t>财政拨款“三公”经费支出决算表</w:t>
      </w:r>
    </w:p>
    <w:p w14:paraId="0EF9EF99">
      <w:pPr>
        <w:ind w:firstLine="320" w:firstLineChars="100"/>
      </w:pPr>
      <w:r>
        <w:rPr>
          <w:rFonts w:hint="eastAsia" w:hAnsi="宋体" w:cs="宋体"/>
          <w:sz w:val="32"/>
          <w:szCs w:val="32"/>
        </w:rPr>
        <w:t>此表见</w:t>
      </w:r>
      <w:r>
        <w:rPr>
          <w:rFonts w:hint="eastAsia"/>
          <w:sz w:val="32"/>
          <w:szCs w:val="32"/>
        </w:rPr>
        <w:t>附件2：2025年度决算报表公开</w:t>
      </w:r>
    </w:p>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A6AAB">
    <w:pPr>
      <w:pStyle w:val="12"/>
      <w:jc w:val="center"/>
    </w:pPr>
  </w:p>
  <w:p w14:paraId="50A00ACE">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CE29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196304"/>
    <w:multiLevelType w:val="singleLevel"/>
    <w:tmpl w:val="CA196304"/>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未知">
    <w15:presenceInfo w15:providerId="None" w15:userId="未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452EF"/>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2E4F"/>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44E6"/>
    <w:rsid w:val="0066343B"/>
    <w:rsid w:val="00664777"/>
    <w:rsid w:val="006748A4"/>
    <w:rsid w:val="00681A31"/>
    <w:rsid w:val="00683E73"/>
    <w:rsid w:val="006A3141"/>
    <w:rsid w:val="006A5E34"/>
    <w:rsid w:val="006B2422"/>
    <w:rsid w:val="006B2B9A"/>
    <w:rsid w:val="006C1937"/>
    <w:rsid w:val="006F020C"/>
    <w:rsid w:val="006F77E8"/>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A5EC2"/>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73"/>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58FB"/>
    <w:rsid w:val="00E568DF"/>
    <w:rsid w:val="00E64269"/>
    <w:rsid w:val="00E82267"/>
    <w:rsid w:val="00E853CE"/>
    <w:rsid w:val="00E867B6"/>
    <w:rsid w:val="00E87613"/>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3252B0"/>
    <w:rsid w:val="04916F1E"/>
    <w:rsid w:val="04E058BD"/>
    <w:rsid w:val="061E35DE"/>
    <w:rsid w:val="066E0107"/>
    <w:rsid w:val="07996F6E"/>
    <w:rsid w:val="07DFD8BA"/>
    <w:rsid w:val="08B9061E"/>
    <w:rsid w:val="09867E8F"/>
    <w:rsid w:val="09E11B9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A84BBA"/>
    <w:rsid w:val="1BE8440E"/>
    <w:rsid w:val="1D155CEE"/>
    <w:rsid w:val="1D1638FE"/>
    <w:rsid w:val="1E312DEB"/>
    <w:rsid w:val="1E4F2483"/>
    <w:rsid w:val="1E740ACF"/>
    <w:rsid w:val="1F5605C3"/>
    <w:rsid w:val="1FA732CE"/>
    <w:rsid w:val="1FF35744"/>
    <w:rsid w:val="1FF6BC77"/>
    <w:rsid w:val="2186353C"/>
    <w:rsid w:val="23860B96"/>
    <w:rsid w:val="240371BF"/>
    <w:rsid w:val="244F3473"/>
    <w:rsid w:val="24C51D3B"/>
    <w:rsid w:val="24C97D99"/>
    <w:rsid w:val="25A718F0"/>
    <w:rsid w:val="25BB59F6"/>
    <w:rsid w:val="260F557C"/>
    <w:rsid w:val="26592CCC"/>
    <w:rsid w:val="26970054"/>
    <w:rsid w:val="281408E2"/>
    <w:rsid w:val="2936507A"/>
    <w:rsid w:val="29426D86"/>
    <w:rsid w:val="29FD04D3"/>
    <w:rsid w:val="2BFF7BC6"/>
    <w:rsid w:val="2C8A61B5"/>
    <w:rsid w:val="2DF04E50"/>
    <w:rsid w:val="2E586DFA"/>
    <w:rsid w:val="2F040D46"/>
    <w:rsid w:val="2F6B035B"/>
    <w:rsid w:val="2F774854"/>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064AB"/>
    <w:rsid w:val="38D469F0"/>
    <w:rsid w:val="39627CCD"/>
    <w:rsid w:val="397BAF1F"/>
    <w:rsid w:val="3A2714DB"/>
    <w:rsid w:val="3AB79AF3"/>
    <w:rsid w:val="3AE834C0"/>
    <w:rsid w:val="3B7EF35A"/>
    <w:rsid w:val="3B9FDB6C"/>
    <w:rsid w:val="3BF5BC2F"/>
    <w:rsid w:val="3CEBA265"/>
    <w:rsid w:val="3D98207C"/>
    <w:rsid w:val="3DEE7CF3"/>
    <w:rsid w:val="3E185A38"/>
    <w:rsid w:val="3E740A63"/>
    <w:rsid w:val="3E78745D"/>
    <w:rsid w:val="3EE17838"/>
    <w:rsid w:val="3F55381A"/>
    <w:rsid w:val="3F7F7599"/>
    <w:rsid w:val="3FF4CAE0"/>
    <w:rsid w:val="3FF7B227"/>
    <w:rsid w:val="44E268DA"/>
    <w:rsid w:val="44E26B9E"/>
    <w:rsid w:val="450D13D7"/>
    <w:rsid w:val="45506656"/>
    <w:rsid w:val="46310896"/>
    <w:rsid w:val="46BF5637"/>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444318"/>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4D6A4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0A5DD6"/>
    <w:rsid w:val="712A28F1"/>
    <w:rsid w:val="715C0E4B"/>
    <w:rsid w:val="71992E7C"/>
    <w:rsid w:val="72233669"/>
    <w:rsid w:val="7233577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annotation text"/>
    <w:basedOn w:val="1"/>
    <w:link w:val="39"/>
    <w:semiHidden/>
    <w:unhideWhenUsed/>
    <w:qFormat/>
    <w:uiPriority w:val="99"/>
    <w:pPr>
      <w:jc w:val="left"/>
    </w:p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annotation subject"/>
    <w:basedOn w:val="6"/>
    <w:next w:val="6"/>
    <w:link w:val="40"/>
    <w:semiHidden/>
    <w:unhideWhenUsed/>
    <w:qFormat/>
    <w:uiPriority w:val="99"/>
    <w:rPr>
      <w:b/>
      <w:bCs/>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styleId="22">
    <w:name w:val="annotation reference"/>
    <w:basedOn w:val="19"/>
    <w:semiHidden/>
    <w:unhideWhenUsed/>
    <w:qFormat/>
    <w:uiPriority w:val="99"/>
    <w:rPr>
      <w:sz w:val="21"/>
      <w:szCs w:val="21"/>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字符"/>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字符"/>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字符"/>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9"/>
    <w:link w:val="3"/>
    <w:qFormat/>
    <w:uiPriority w:val="9"/>
    <w:rPr>
      <w:rFonts w:ascii="Times New Roman" w:hAnsi="Times New Roman"/>
      <w:b/>
      <w:bCs/>
      <w:kern w:val="44"/>
      <w:sz w:val="44"/>
      <w:szCs w:val="44"/>
    </w:rPr>
  </w:style>
  <w:style w:type="character" w:customStyle="1" w:styleId="32">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9"/>
    <w:link w:val="11"/>
    <w:semiHidden/>
    <w:qFormat/>
    <w:uiPriority w:val="99"/>
    <w:rPr>
      <w:rFonts w:ascii="Times New Roman" w:hAnsi="Times New Roman"/>
      <w:kern w:val="2"/>
      <w:sz w:val="18"/>
      <w:szCs w:val="18"/>
    </w:rPr>
  </w:style>
  <w:style w:type="character" w:customStyle="1" w:styleId="35">
    <w:name w:val="标题 3 字符"/>
    <w:basedOn w:val="19"/>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样式1"/>
    <w:basedOn w:val="14"/>
    <w:qFormat/>
    <w:uiPriority w:val="0"/>
    <w:rPr>
      <w:rFonts w:ascii="仿宋_GB2312" w:eastAsia="仿宋_GB2312"/>
    </w:rPr>
  </w:style>
  <w:style w:type="character" w:customStyle="1" w:styleId="39">
    <w:name w:val="批注文字 字符"/>
    <w:basedOn w:val="19"/>
    <w:link w:val="6"/>
    <w:semiHidden/>
    <w:qFormat/>
    <w:uiPriority w:val="99"/>
    <w:rPr>
      <w:kern w:val="2"/>
      <w:sz w:val="21"/>
      <w:szCs w:val="24"/>
    </w:rPr>
  </w:style>
  <w:style w:type="character" w:customStyle="1" w:styleId="40">
    <w:name w:val="批注主题 字符"/>
    <w:basedOn w:val="39"/>
    <w:link w:val="17"/>
    <w:semiHidden/>
    <w:qFormat/>
    <w:uiPriority w:val="99"/>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Workbook2.xls"/><Relationship Id="rId7" Type="http://schemas.openxmlformats.org/officeDocument/2006/relationships/image" Target="media/image1.emf"/><Relationship Id="rId6" Type="http://schemas.openxmlformats.org/officeDocument/2006/relationships/oleObject" Target="embeddings/Workbook1.xls"/><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microsoft.com/office/2011/relationships/people" Target="people.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Workbook7.xls"/><Relationship Id="rId17" Type="http://schemas.openxmlformats.org/officeDocument/2006/relationships/image" Target="media/image6.emf"/><Relationship Id="rId16" Type="http://schemas.openxmlformats.org/officeDocument/2006/relationships/oleObject" Target="embeddings/Workbook6.xls"/><Relationship Id="rId15" Type="http://schemas.openxmlformats.org/officeDocument/2006/relationships/image" Target="media/image5.emf"/><Relationship Id="rId14" Type="http://schemas.openxmlformats.org/officeDocument/2006/relationships/oleObject" Target="embeddings/Workbook5.xls"/><Relationship Id="rId13" Type="http://schemas.openxmlformats.org/officeDocument/2006/relationships/image" Target="media/image4.emf"/><Relationship Id="rId12" Type="http://schemas.openxmlformats.org/officeDocument/2006/relationships/oleObject" Target="embeddings/Workbook4.xls"/><Relationship Id="rId11" Type="http://schemas.openxmlformats.org/officeDocument/2006/relationships/image" Target="media/image3.emf"/><Relationship Id="rId10" Type="http://schemas.openxmlformats.org/officeDocument/2006/relationships/oleObject" Target="embeddings/Workbook3.xls"/><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19</Pages>
  <Words>810</Words>
  <Characters>4622</Characters>
  <Lines>38</Lines>
  <Paragraphs>10</Paragraphs>
  <TotalTime>3</TotalTime>
  <ScaleCrop>false</ScaleCrop>
  <LinksUpToDate>false</LinksUpToDate>
  <CharactersWithSpaces>5422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2026-09-14T01:11:00Z</dcterms:created>
  <dc:creator>曹颖</dc:creator>
  <cp:lastModifiedBy>熊锦秀</cp:lastModifiedBy>
  <cp:lastPrinted>2025-08-06T17:34:00Z</cp:lastPrinted>
  <dcterms:modified xsi:type="dcterms:W3CDTF">2026-09-14T08:28:13Z</dcterms:modified>
  <dc:title>四川省***</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04787F2533EB45DC91BCDE4AB213247F</vt:lpwstr>
  </property>
</Properties>
</file>