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AF34C">
      <w:pPr>
        <w:jc w:val="left"/>
        <w:rPr>
          <w:rFonts w:ascii="方正小标宋简体" w:hAnsi="宋体" w:eastAsia="方正小标宋简体"/>
          <w:szCs w:val="21"/>
        </w:rPr>
      </w:pPr>
      <w:bookmarkStart w:id="0" w:name="_Toc15306267"/>
    </w:p>
    <w:p w14:paraId="3EC490AA">
      <w:pPr>
        <w:spacing w:line="600" w:lineRule="exact"/>
        <w:jc w:val="center"/>
        <w:rPr>
          <w:rFonts w:ascii="方正小标宋简体" w:hAnsi="宋体" w:eastAsia="方正小标宋简体"/>
          <w:sz w:val="72"/>
          <w:szCs w:val="72"/>
        </w:rPr>
      </w:pPr>
    </w:p>
    <w:p w14:paraId="15EE97D6">
      <w:pPr>
        <w:spacing w:line="600" w:lineRule="exact"/>
        <w:jc w:val="center"/>
        <w:rPr>
          <w:rFonts w:ascii="方正小标宋简体" w:hAnsi="宋体" w:eastAsia="方正小标宋简体"/>
          <w:sz w:val="72"/>
          <w:szCs w:val="72"/>
        </w:rPr>
      </w:pPr>
    </w:p>
    <w:p w14:paraId="7D43AA8E">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0619"/>
      <w:bookmarkStart w:id="2" w:name="_Toc15377425"/>
      <w:bookmarkStart w:id="3" w:name="_Toc15378441"/>
      <w:bookmarkStart w:id="4" w:name="_Toc15377193"/>
      <w:bookmarkStart w:id="5" w:name="_Toc15396475"/>
      <w:bookmarkStart w:id="6" w:name="_Toc15396597"/>
      <w:r>
        <w:rPr>
          <w:rFonts w:hint="eastAsia" w:ascii="方正小标宋简体" w:hAnsi="方正小标宋简体" w:eastAsia="方正小标宋简体" w:cs="方正小标宋简体"/>
          <w:sz w:val="72"/>
          <w:szCs w:val="72"/>
        </w:rPr>
        <w:t>2025年度</w:t>
      </w:r>
      <w:bookmarkEnd w:id="1"/>
      <w:bookmarkEnd w:id="2"/>
      <w:bookmarkEnd w:id="3"/>
      <w:bookmarkEnd w:id="4"/>
      <w:bookmarkEnd w:id="5"/>
      <w:bookmarkEnd w:id="6"/>
    </w:p>
    <w:p w14:paraId="27F3042C">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7" w:name="_Toc15377194"/>
      <w:bookmarkStart w:id="8" w:name="_Toc15378442"/>
      <w:bookmarkStart w:id="9" w:name="_Toc15396476"/>
      <w:bookmarkStart w:id="10" w:name="_Toc8485"/>
      <w:bookmarkStart w:id="11" w:name="_Toc15396598"/>
      <w:bookmarkStart w:id="12" w:name="_Toc15377426"/>
      <w:r>
        <w:rPr>
          <w:rFonts w:hint="eastAsia" w:ascii="方正小标宋简体" w:hAnsi="方正小标宋简体" w:eastAsia="方正小标宋简体" w:cs="方正小标宋简体"/>
          <w:sz w:val="72"/>
          <w:szCs w:val="72"/>
        </w:rPr>
        <w:t>攀枝花市</w:t>
      </w:r>
      <w:bookmarkEnd w:id="0"/>
      <w:bookmarkStart w:id="13" w:name="_Toc15306268"/>
      <w:r>
        <w:rPr>
          <w:rFonts w:hint="eastAsia" w:ascii="方正小标宋简体" w:hAnsi="方正小标宋简体" w:eastAsia="方正小标宋简体" w:cs="方正小标宋简体"/>
          <w:sz w:val="72"/>
          <w:szCs w:val="72"/>
        </w:rPr>
        <w:t>交通运输局单位决算</w:t>
      </w:r>
      <w:bookmarkEnd w:id="7"/>
      <w:bookmarkEnd w:id="8"/>
      <w:bookmarkEnd w:id="9"/>
      <w:bookmarkEnd w:id="10"/>
      <w:bookmarkEnd w:id="11"/>
      <w:bookmarkEnd w:id="12"/>
      <w:bookmarkEnd w:id="13"/>
    </w:p>
    <w:p w14:paraId="30F3C5C1">
      <w:pPr>
        <w:widowControl/>
        <w:jc w:val="center"/>
        <w:rPr>
          <w:rFonts w:ascii="黑体" w:hAnsi="黑体" w:eastAsia="黑体"/>
          <w:sz w:val="48"/>
          <w:szCs w:val="48"/>
          <w:highlight w:val="none"/>
        </w:rPr>
      </w:pPr>
      <w:r>
        <w:rPr>
          <w:rFonts w:ascii="方正小标宋简体" w:hAnsi="宋体" w:eastAsia="方正小标宋简体"/>
          <w:sz w:val="36"/>
          <w:szCs w:val="36"/>
        </w:rPr>
        <w:br w:type="page"/>
      </w:r>
      <w:r>
        <w:rPr>
          <w:rFonts w:hint="eastAsia" w:ascii="黑体" w:hAnsi="黑体" w:eastAsia="黑体"/>
          <w:sz w:val="48"/>
          <w:szCs w:val="48"/>
          <w:highlight w:val="none"/>
        </w:rPr>
        <w:t>目录</w:t>
      </w:r>
    </w:p>
    <w:p w14:paraId="12F658AE">
      <w:pPr>
        <w:widowControl/>
        <w:jc w:val="center"/>
        <w:rPr>
          <w:rFonts w:ascii="黑体" w:hAnsi="黑体" w:eastAsia="黑体" w:cstheme="minorBidi"/>
          <w:sz w:val="28"/>
          <w:szCs w:val="28"/>
          <w:highlight w:val="none"/>
        </w:rPr>
      </w:pPr>
    </w:p>
    <w:p w14:paraId="0FB4BD57">
      <w:pPr>
        <w:pStyle w:val="14"/>
        <w:rPr>
          <w:highlight w:val="none"/>
        </w:rPr>
      </w:pPr>
      <w:r>
        <w:rPr>
          <w:rFonts w:hint="eastAsia"/>
          <w:highlight w:val="none"/>
        </w:rPr>
        <w:t>公开时间：2026年9月</w:t>
      </w:r>
      <w:r>
        <w:rPr>
          <w:rFonts w:hint="eastAsia"/>
          <w:highlight w:val="none"/>
          <w:lang w:val="en-US" w:eastAsia="zh-CN"/>
        </w:rPr>
        <w:t>15</w:t>
      </w:r>
      <w:r>
        <w:rPr>
          <w:rFonts w:hint="eastAsia"/>
          <w:highlight w:val="none"/>
        </w:rPr>
        <w:t>日</w:t>
      </w:r>
    </w:p>
    <w:p w14:paraId="23D079F0">
      <w:pPr>
        <w:rPr>
          <w:highlight w:val="none"/>
        </w:rPr>
      </w:pPr>
    </w:p>
    <w:sdt>
      <w:sdtPr>
        <w:rPr>
          <w:rFonts w:ascii="宋体" w:hAnsi="宋体"/>
          <w:highlight w:val="none"/>
        </w:rPr>
        <w:id w:val="147463811"/>
        <w15:color w:val="DBDBDB"/>
        <w:docPartObj>
          <w:docPartGallery w:val="Table of Contents"/>
          <w:docPartUnique/>
        </w:docPartObj>
      </w:sdtPr>
      <w:sdtEndPr>
        <w:rPr>
          <w:rFonts w:ascii="宋体" w:hAnsi="宋体"/>
          <w:b/>
          <w:highlight w:val="none"/>
        </w:rPr>
      </w:sdtEndPr>
      <w:sdtContent>
        <w:p w14:paraId="0FE2C308">
          <w:pPr>
            <w:jc w:val="center"/>
            <w:rPr>
              <w:highlight w:val="none"/>
            </w:rPr>
          </w:pPr>
          <w:bookmarkStart w:id="14" w:name="_Toc15396599"/>
          <w:bookmarkStart w:id="15" w:name="_Toc15377196"/>
        </w:p>
        <w:p w14:paraId="0960D164">
          <w:pPr>
            <w:pStyle w:val="37"/>
            <w:tabs>
              <w:tab w:val="right" w:leader="dot" w:pos="8306"/>
            </w:tabs>
            <w:rPr>
              <w:b/>
              <w:highlight w:val="none"/>
            </w:rPr>
          </w:pPr>
          <w:r>
            <w:rPr>
              <w:highlight w:val="none"/>
            </w:rPr>
            <w:fldChar w:fldCharType="begin"/>
          </w:r>
          <w:r>
            <w:rPr>
              <w:highlight w:val="none"/>
            </w:rPr>
            <w:instrText xml:space="preserve">TOC \o "1-2" \h \u </w:instrText>
          </w:r>
          <w:r>
            <w:rPr>
              <w:highlight w:val="none"/>
            </w:rPr>
            <w:fldChar w:fldCharType="separate"/>
          </w:r>
        </w:p>
        <w:p w14:paraId="624DA7BE">
          <w:pPr>
            <w:pStyle w:val="37"/>
            <w:tabs>
              <w:tab w:val="right" w:leader="dot" w:pos="8306"/>
            </w:tabs>
            <w:rPr>
              <w:b/>
              <w:highlight w:val="none"/>
            </w:rPr>
          </w:pPr>
          <w:r>
            <w:rPr>
              <w:highlight w:val="none"/>
            </w:rPr>
            <w:fldChar w:fldCharType="begin"/>
          </w:r>
          <w:r>
            <w:rPr>
              <w:highlight w:val="none"/>
            </w:rPr>
            <w:instrText xml:space="preserve"> HYPERLINK \l "_Toc14282" </w:instrText>
          </w:r>
          <w:r>
            <w:rPr>
              <w:highlight w:val="none"/>
            </w:rPr>
            <w:fldChar w:fldCharType="separate"/>
          </w:r>
          <w:r>
            <w:rPr>
              <w:rFonts w:hint="eastAsia" w:ascii="黑体" w:hAnsi="黑体" w:eastAsia="黑体"/>
              <w:b/>
              <w:highlight w:val="none"/>
            </w:rPr>
            <w:t>第一部分 单位概况</w:t>
          </w:r>
          <w:r>
            <w:rPr>
              <w:b/>
              <w:highlight w:val="none"/>
            </w:rPr>
            <w:tab/>
          </w:r>
          <w:r>
            <w:rPr>
              <w:b/>
              <w:highlight w:val="none"/>
            </w:rPr>
            <w:fldChar w:fldCharType="begin"/>
          </w:r>
          <w:r>
            <w:rPr>
              <w:b/>
              <w:highlight w:val="none"/>
            </w:rPr>
            <w:instrText xml:space="preserve"> PAGEREF _Toc14282 \h </w:instrText>
          </w:r>
          <w:r>
            <w:rPr>
              <w:b/>
              <w:highlight w:val="none"/>
            </w:rPr>
            <w:fldChar w:fldCharType="separate"/>
          </w:r>
          <w:r>
            <w:rPr>
              <w:b/>
              <w:highlight w:val="none"/>
            </w:rPr>
            <w:t>3</w:t>
          </w:r>
          <w:r>
            <w:rPr>
              <w:b/>
              <w:highlight w:val="none"/>
            </w:rPr>
            <w:fldChar w:fldCharType="end"/>
          </w:r>
          <w:r>
            <w:rPr>
              <w:b/>
              <w:highlight w:val="none"/>
            </w:rPr>
            <w:fldChar w:fldCharType="end"/>
          </w:r>
        </w:p>
        <w:p w14:paraId="582909A0">
          <w:pPr>
            <w:pStyle w:val="38"/>
            <w:tabs>
              <w:tab w:val="right" w:leader="dot" w:pos="8306"/>
            </w:tabs>
            <w:ind w:left="420"/>
            <w:rPr>
              <w:highlight w:val="none"/>
            </w:rPr>
          </w:pPr>
          <w:r>
            <w:rPr>
              <w:highlight w:val="none"/>
            </w:rPr>
            <w:fldChar w:fldCharType="begin"/>
          </w:r>
          <w:r>
            <w:rPr>
              <w:highlight w:val="none"/>
            </w:rPr>
            <w:instrText xml:space="preserve"> HYPERLINK \l "_Toc20834" </w:instrText>
          </w:r>
          <w:r>
            <w:rPr>
              <w:highlight w:val="none"/>
            </w:rPr>
            <w:fldChar w:fldCharType="separate"/>
          </w:r>
          <w:r>
            <w:rPr>
              <w:rFonts w:hint="eastAsia" w:ascii="黑体" w:hAnsi="黑体" w:eastAsia="黑体"/>
              <w:highlight w:val="none"/>
            </w:rPr>
            <w:t>一、 主要职责</w:t>
          </w:r>
          <w:r>
            <w:rPr>
              <w:highlight w:val="none"/>
            </w:rPr>
            <w:tab/>
          </w:r>
          <w:r>
            <w:rPr>
              <w:highlight w:val="none"/>
            </w:rPr>
            <w:fldChar w:fldCharType="begin"/>
          </w:r>
          <w:r>
            <w:rPr>
              <w:highlight w:val="none"/>
            </w:rPr>
            <w:instrText xml:space="preserve"> PAGEREF _Toc20834 \h </w:instrText>
          </w:r>
          <w:r>
            <w:rPr>
              <w:highlight w:val="none"/>
            </w:rPr>
            <w:fldChar w:fldCharType="separate"/>
          </w:r>
          <w:r>
            <w:rPr>
              <w:highlight w:val="none"/>
            </w:rPr>
            <w:t>3</w:t>
          </w:r>
          <w:r>
            <w:rPr>
              <w:highlight w:val="none"/>
            </w:rPr>
            <w:fldChar w:fldCharType="end"/>
          </w:r>
          <w:r>
            <w:rPr>
              <w:highlight w:val="none"/>
            </w:rPr>
            <w:fldChar w:fldCharType="end"/>
          </w:r>
        </w:p>
        <w:p w14:paraId="396324A7">
          <w:pPr>
            <w:pStyle w:val="38"/>
            <w:tabs>
              <w:tab w:val="right" w:leader="dot" w:pos="8306"/>
            </w:tabs>
            <w:ind w:left="420"/>
            <w:rPr>
              <w:highlight w:val="none"/>
            </w:rPr>
          </w:pPr>
          <w:r>
            <w:rPr>
              <w:highlight w:val="none"/>
            </w:rPr>
            <w:fldChar w:fldCharType="begin"/>
          </w:r>
          <w:r>
            <w:rPr>
              <w:highlight w:val="none"/>
            </w:rPr>
            <w:instrText xml:space="preserve"> HYPERLINK \l "_Toc10419" </w:instrText>
          </w:r>
          <w:r>
            <w:rPr>
              <w:highlight w:val="none"/>
            </w:rPr>
            <w:fldChar w:fldCharType="separate"/>
          </w:r>
          <w:r>
            <w:rPr>
              <w:rFonts w:hint="eastAsia" w:ascii="黑体" w:hAnsi="黑体" w:eastAsia="黑体"/>
              <w:highlight w:val="none"/>
            </w:rPr>
            <w:t>二、机构设置</w:t>
          </w:r>
          <w:r>
            <w:rPr>
              <w:highlight w:val="none"/>
            </w:rPr>
            <w:tab/>
          </w:r>
          <w:r>
            <w:rPr>
              <w:highlight w:val="none"/>
            </w:rPr>
            <w:fldChar w:fldCharType="begin"/>
          </w:r>
          <w:r>
            <w:rPr>
              <w:highlight w:val="none"/>
            </w:rPr>
            <w:instrText xml:space="preserve"> PAGEREF _Toc10419 \h </w:instrText>
          </w:r>
          <w:r>
            <w:rPr>
              <w:highlight w:val="none"/>
            </w:rPr>
            <w:fldChar w:fldCharType="separate"/>
          </w:r>
          <w:r>
            <w:rPr>
              <w:highlight w:val="none"/>
            </w:rPr>
            <w:t>5</w:t>
          </w:r>
          <w:r>
            <w:rPr>
              <w:highlight w:val="none"/>
            </w:rPr>
            <w:fldChar w:fldCharType="end"/>
          </w:r>
          <w:r>
            <w:rPr>
              <w:highlight w:val="none"/>
            </w:rPr>
            <w:fldChar w:fldCharType="end"/>
          </w:r>
        </w:p>
        <w:p w14:paraId="2B81F93B">
          <w:pPr>
            <w:pStyle w:val="37"/>
            <w:tabs>
              <w:tab w:val="right" w:leader="dot" w:pos="8306"/>
            </w:tabs>
            <w:rPr>
              <w:b/>
              <w:highlight w:val="none"/>
            </w:rPr>
          </w:pPr>
          <w:r>
            <w:rPr>
              <w:highlight w:val="none"/>
            </w:rPr>
            <w:fldChar w:fldCharType="begin"/>
          </w:r>
          <w:r>
            <w:rPr>
              <w:highlight w:val="none"/>
            </w:rPr>
            <w:instrText xml:space="preserve"> HYPERLINK \l "_Toc16484" </w:instrText>
          </w:r>
          <w:r>
            <w:rPr>
              <w:highlight w:val="none"/>
            </w:rPr>
            <w:fldChar w:fldCharType="separate"/>
          </w:r>
          <w:r>
            <w:rPr>
              <w:rFonts w:hint="eastAsia" w:ascii="黑体" w:hAnsi="黑体" w:eastAsia="黑体"/>
              <w:b/>
              <w:highlight w:val="none"/>
            </w:rPr>
            <w:t>第二部分 2025年度</w:t>
          </w:r>
          <w:r>
            <w:rPr>
              <w:rFonts w:hint="eastAsia" w:ascii="黑体" w:hAnsi="黑体" w:eastAsia="黑体"/>
              <w:b/>
              <w:bCs/>
              <w:highlight w:val="none"/>
            </w:rPr>
            <w:t>单位决算情况说明</w:t>
          </w:r>
          <w:r>
            <w:rPr>
              <w:b/>
              <w:highlight w:val="none"/>
            </w:rPr>
            <w:tab/>
          </w:r>
          <w:r>
            <w:rPr>
              <w:b/>
              <w:highlight w:val="none"/>
            </w:rPr>
            <w:fldChar w:fldCharType="begin"/>
          </w:r>
          <w:r>
            <w:rPr>
              <w:b/>
              <w:highlight w:val="none"/>
            </w:rPr>
            <w:instrText xml:space="preserve"> PAGEREF _Toc16484 \h </w:instrText>
          </w:r>
          <w:r>
            <w:rPr>
              <w:b/>
              <w:highlight w:val="none"/>
            </w:rPr>
            <w:fldChar w:fldCharType="separate"/>
          </w:r>
          <w:r>
            <w:rPr>
              <w:b/>
              <w:highlight w:val="none"/>
            </w:rPr>
            <w:t>6</w:t>
          </w:r>
          <w:r>
            <w:rPr>
              <w:b/>
              <w:highlight w:val="none"/>
            </w:rPr>
            <w:fldChar w:fldCharType="end"/>
          </w:r>
          <w:r>
            <w:rPr>
              <w:b/>
              <w:highlight w:val="none"/>
            </w:rPr>
            <w:fldChar w:fldCharType="end"/>
          </w:r>
        </w:p>
        <w:p w14:paraId="344308C0">
          <w:pPr>
            <w:pStyle w:val="38"/>
            <w:tabs>
              <w:tab w:val="right" w:leader="dot" w:pos="8306"/>
            </w:tabs>
            <w:ind w:left="420"/>
            <w:rPr>
              <w:highlight w:val="none"/>
            </w:rPr>
          </w:pPr>
          <w:r>
            <w:rPr>
              <w:highlight w:val="none"/>
            </w:rPr>
            <w:fldChar w:fldCharType="begin"/>
          </w:r>
          <w:r>
            <w:rPr>
              <w:highlight w:val="none"/>
            </w:rPr>
            <w:instrText xml:space="preserve"> HYPERLINK \l "_Toc17048" </w:instrText>
          </w:r>
          <w:r>
            <w:rPr>
              <w:highlight w:val="none"/>
            </w:rPr>
            <w:fldChar w:fldCharType="separate"/>
          </w:r>
          <w:r>
            <w:rPr>
              <w:rFonts w:ascii="黑体" w:hAnsi="黑体" w:eastAsia="黑体"/>
              <w:highlight w:val="none"/>
            </w:rPr>
            <w:t xml:space="preserve">一、 </w:t>
          </w:r>
          <w:r>
            <w:rPr>
              <w:rFonts w:hint="eastAsia" w:ascii="黑体" w:hAnsi="黑体" w:eastAsia="黑体"/>
              <w:szCs w:val="32"/>
              <w:highlight w:val="none"/>
            </w:rPr>
            <w:t>收</w:t>
          </w:r>
          <w:r>
            <w:rPr>
              <w:rFonts w:hint="eastAsia" w:ascii="黑体" w:hAnsi="黑体" w:eastAsia="黑体"/>
              <w:highlight w:val="none"/>
            </w:rPr>
            <w:t>入支出决算总体情况说明</w:t>
          </w:r>
          <w:r>
            <w:rPr>
              <w:highlight w:val="none"/>
            </w:rPr>
            <w:tab/>
          </w:r>
          <w:r>
            <w:rPr>
              <w:highlight w:val="none"/>
            </w:rPr>
            <w:fldChar w:fldCharType="begin"/>
          </w:r>
          <w:r>
            <w:rPr>
              <w:highlight w:val="none"/>
            </w:rPr>
            <w:instrText xml:space="preserve"> PAGEREF _Toc17048 \h </w:instrText>
          </w:r>
          <w:r>
            <w:rPr>
              <w:highlight w:val="none"/>
            </w:rPr>
            <w:fldChar w:fldCharType="separate"/>
          </w:r>
          <w:r>
            <w:rPr>
              <w:highlight w:val="none"/>
            </w:rPr>
            <w:t>6</w:t>
          </w:r>
          <w:r>
            <w:rPr>
              <w:highlight w:val="none"/>
            </w:rPr>
            <w:fldChar w:fldCharType="end"/>
          </w:r>
          <w:r>
            <w:rPr>
              <w:highlight w:val="none"/>
            </w:rPr>
            <w:fldChar w:fldCharType="end"/>
          </w:r>
        </w:p>
        <w:p w14:paraId="0AB3900F">
          <w:pPr>
            <w:pStyle w:val="38"/>
            <w:tabs>
              <w:tab w:val="right" w:leader="dot" w:pos="8306"/>
            </w:tabs>
            <w:ind w:left="420"/>
            <w:rPr>
              <w:highlight w:val="none"/>
            </w:rPr>
          </w:pPr>
          <w:r>
            <w:rPr>
              <w:highlight w:val="none"/>
            </w:rPr>
            <w:fldChar w:fldCharType="begin"/>
          </w:r>
          <w:r>
            <w:rPr>
              <w:highlight w:val="none"/>
            </w:rPr>
            <w:instrText xml:space="preserve"> HYPERLINK \l "_Toc14740" </w:instrText>
          </w:r>
          <w:r>
            <w:rPr>
              <w:highlight w:val="none"/>
            </w:rPr>
            <w:fldChar w:fldCharType="separate"/>
          </w:r>
          <w:r>
            <w:rPr>
              <w:rFonts w:ascii="黑体" w:hAnsi="黑体" w:eastAsia="黑体"/>
              <w:highlight w:val="none"/>
            </w:rPr>
            <w:t xml:space="preserve">二、 </w:t>
          </w:r>
          <w:r>
            <w:rPr>
              <w:rFonts w:hint="eastAsia" w:ascii="黑体" w:hAnsi="黑体" w:eastAsia="黑体"/>
              <w:szCs w:val="32"/>
              <w:highlight w:val="none"/>
            </w:rPr>
            <w:t>收</w:t>
          </w:r>
          <w:r>
            <w:rPr>
              <w:rFonts w:hint="eastAsia" w:ascii="黑体" w:hAnsi="黑体" w:eastAsia="黑体"/>
              <w:highlight w:val="none"/>
            </w:rPr>
            <w:t>入决算情况说明</w:t>
          </w:r>
          <w:r>
            <w:rPr>
              <w:highlight w:val="none"/>
            </w:rPr>
            <w:tab/>
          </w:r>
          <w:r>
            <w:rPr>
              <w:highlight w:val="none"/>
            </w:rPr>
            <w:fldChar w:fldCharType="begin"/>
          </w:r>
          <w:r>
            <w:rPr>
              <w:highlight w:val="none"/>
            </w:rPr>
            <w:instrText xml:space="preserve"> PAGEREF _Toc14740 \h </w:instrText>
          </w:r>
          <w:r>
            <w:rPr>
              <w:highlight w:val="none"/>
            </w:rPr>
            <w:fldChar w:fldCharType="separate"/>
          </w:r>
          <w:r>
            <w:rPr>
              <w:highlight w:val="none"/>
            </w:rPr>
            <w:t>6</w:t>
          </w:r>
          <w:r>
            <w:rPr>
              <w:highlight w:val="none"/>
            </w:rPr>
            <w:fldChar w:fldCharType="end"/>
          </w:r>
          <w:r>
            <w:rPr>
              <w:highlight w:val="none"/>
            </w:rPr>
            <w:fldChar w:fldCharType="end"/>
          </w:r>
        </w:p>
        <w:p w14:paraId="25AA4EEA">
          <w:pPr>
            <w:pStyle w:val="38"/>
            <w:tabs>
              <w:tab w:val="right" w:leader="dot" w:pos="8306"/>
            </w:tabs>
            <w:ind w:left="420"/>
            <w:rPr>
              <w:highlight w:val="none"/>
            </w:rPr>
          </w:pPr>
          <w:r>
            <w:rPr>
              <w:highlight w:val="none"/>
            </w:rPr>
            <w:fldChar w:fldCharType="begin"/>
          </w:r>
          <w:r>
            <w:rPr>
              <w:highlight w:val="none"/>
            </w:rPr>
            <w:instrText xml:space="preserve"> HYPERLINK \l "_Toc502" </w:instrText>
          </w:r>
          <w:r>
            <w:rPr>
              <w:highlight w:val="none"/>
            </w:rPr>
            <w:fldChar w:fldCharType="separate"/>
          </w:r>
          <w:r>
            <w:rPr>
              <w:rFonts w:ascii="黑体" w:hAnsi="黑体" w:eastAsia="黑体"/>
              <w:highlight w:val="none"/>
            </w:rPr>
            <w:t xml:space="preserve">三、 </w:t>
          </w:r>
          <w:r>
            <w:rPr>
              <w:rFonts w:hint="eastAsia" w:ascii="黑体" w:hAnsi="黑体" w:eastAsia="黑体"/>
              <w:szCs w:val="32"/>
              <w:highlight w:val="none"/>
            </w:rPr>
            <w:t>支</w:t>
          </w:r>
          <w:r>
            <w:rPr>
              <w:rFonts w:hint="eastAsia" w:ascii="黑体" w:hAnsi="黑体" w:eastAsia="黑体"/>
              <w:highlight w:val="none"/>
            </w:rPr>
            <w:t>出决算情况说明</w:t>
          </w:r>
          <w:r>
            <w:rPr>
              <w:highlight w:val="none"/>
            </w:rPr>
            <w:tab/>
          </w:r>
          <w:r>
            <w:rPr>
              <w:highlight w:val="none"/>
            </w:rPr>
            <w:fldChar w:fldCharType="begin"/>
          </w:r>
          <w:r>
            <w:rPr>
              <w:highlight w:val="none"/>
            </w:rPr>
            <w:instrText xml:space="preserve"> PAGEREF _Toc502 \h </w:instrText>
          </w:r>
          <w:r>
            <w:rPr>
              <w:highlight w:val="none"/>
            </w:rPr>
            <w:fldChar w:fldCharType="separate"/>
          </w:r>
          <w:r>
            <w:rPr>
              <w:highlight w:val="none"/>
            </w:rPr>
            <w:t>7</w:t>
          </w:r>
          <w:r>
            <w:rPr>
              <w:highlight w:val="none"/>
            </w:rPr>
            <w:fldChar w:fldCharType="end"/>
          </w:r>
          <w:r>
            <w:rPr>
              <w:highlight w:val="none"/>
            </w:rPr>
            <w:fldChar w:fldCharType="end"/>
          </w:r>
        </w:p>
        <w:p w14:paraId="11A23B15">
          <w:pPr>
            <w:pStyle w:val="38"/>
            <w:tabs>
              <w:tab w:val="right" w:leader="dot" w:pos="8306"/>
            </w:tabs>
            <w:ind w:left="420"/>
            <w:rPr>
              <w:highlight w:val="none"/>
            </w:rPr>
          </w:pPr>
          <w:r>
            <w:rPr>
              <w:highlight w:val="none"/>
            </w:rPr>
            <w:fldChar w:fldCharType="begin"/>
          </w:r>
          <w:r>
            <w:rPr>
              <w:highlight w:val="none"/>
            </w:rPr>
            <w:instrText xml:space="preserve"> HYPERLINK \l "_Toc14088" </w:instrText>
          </w:r>
          <w:r>
            <w:rPr>
              <w:highlight w:val="none"/>
            </w:rP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rPr>
              <w:highlight w:val="none"/>
            </w:rPr>
            <w:tab/>
          </w:r>
          <w:r>
            <w:rPr>
              <w:highlight w:val="none"/>
            </w:rPr>
            <w:fldChar w:fldCharType="begin"/>
          </w:r>
          <w:r>
            <w:rPr>
              <w:highlight w:val="none"/>
            </w:rPr>
            <w:instrText xml:space="preserve"> PAGEREF _Toc14088 \h </w:instrText>
          </w:r>
          <w:r>
            <w:rPr>
              <w:highlight w:val="none"/>
            </w:rPr>
            <w:fldChar w:fldCharType="separate"/>
          </w:r>
          <w:r>
            <w:rPr>
              <w:highlight w:val="none"/>
            </w:rPr>
            <w:t>8</w:t>
          </w:r>
          <w:r>
            <w:rPr>
              <w:highlight w:val="none"/>
            </w:rPr>
            <w:fldChar w:fldCharType="end"/>
          </w:r>
          <w:r>
            <w:rPr>
              <w:highlight w:val="none"/>
            </w:rPr>
            <w:fldChar w:fldCharType="end"/>
          </w:r>
        </w:p>
        <w:p w14:paraId="17C14077">
          <w:pPr>
            <w:pStyle w:val="38"/>
            <w:tabs>
              <w:tab w:val="right" w:leader="dot" w:pos="8306"/>
            </w:tabs>
            <w:ind w:left="420"/>
            <w:rPr>
              <w:highlight w:val="none"/>
            </w:rPr>
          </w:pPr>
          <w:r>
            <w:rPr>
              <w:highlight w:val="none"/>
            </w:rPr>
            <w:fldChar w:fldCharType="begin"/>
          </w:r>
          <w:r>
            <w:rPr>
              <w:highlight w:val="none"/>
            </w:rPr>
            <w:instrText xml:space="preserve"> HYPERLINK \l "_Toc31766" </w:instrText>
          </w:r>
          <w:r>
            <w:rPr>
              <w:highlight w:val="none"/>
            </w:rP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rPr>
              <w:highlight w:val="none"/>
            </w:rPr>
            <w:tab/>
          </w:r>
          <w:r>
            <w:rPr>
              <w:highlight w:val="none"/>
            </w:rPr>
            <w:fldChar w:fldCharType="begin"/>
          </w:r>
          <w:r>
            <w:rPr>
              <w:highlight w:val="none"/>
            </w:rPr>
            <w:instrText xml:space="preserve"> PAGEREF _Toc31766 \h </w:instrText>
          </w:r>
          <w:r>
            <w:rPr>
              <w:highlight w:val="none"/>
            </w:rPr>
            <w:fldChar w:fldCharType="separate"/>
          </w:r>
          <w:r>
            <w:rPr>
              <w:highlight w:val="none"/>
            </w:rPr>
            <w:t>8</w:t>
          </w:r>
          <w:r>
            <w:rPr>
              <w:highlight w:val="none"/>
            </w:rPr>
            <w:fldChar w:fldCharType="end"/>
          </w:r>
          <w:r>
            <w:rPr>
              <w:highlight w:val="none"/>
            </w:rPr>
            <w:fldChar w:fldCharType="end"/>
          </w:r>
        </w:p>
        <w:p w14:paraId="6BD2D2AB">
          <w:pPr>
            <w:pStyle w:val="38"/>
            <w:tabs>
              <w:tab w:val="right" w:leader="dot" w:pos="8306"/>
            </w:tabs>
            <w:ind w:left="420"/>
            <w:rPr>
              <w:highlight w:val="none"/>
            </w:rPr>
          </w:pPr>
          <w:r>
            <w:rPr>
              <w:highlight w:val="none"/>
            </w:rPr>
            <w:fldChar w:fldCharType="begin"/>
          </w:r>
          <w:r>
            <w:rPr>
              <w:highlight w:val="none"/>
            </w:rPr>
            <w:instrText xml:space="preserve"> HYPERLINK \l "_Toc13753" </w:instrText>
          </w:r>
          <w:r>
            <w:rPr>
              <w:highlight w:val="none"/>
            </w:rP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rPr>
              <w:highlight w:val="none"/>
            </w:rPr>
            <w:tab/>
          </w:r>
          <w:r>
            <w:rPr>
              <w:highlight w:val="none"/>
            </w:rPr>
            <w:fldChar w:fldCharType="begin"/>
          </w:r>
          <w:r>
            <w:rPr>
              <w:highlight w:val="none"/>
            </w:rPr>
            <w:instrText xml:space="preserve"> PAGEREF _Toc13753 \h </w:instrText>
          </w:r>
          <w:r>
            <w:rPr>
              <w:highlight w:val="none"/>
            </w:rPr>
            <w:fldChar w:fldCharType="separate"/>
          </w:r>
          <w:r>
            <w:rPr>
              <w:highlight w:val="none"/>
            </w:rPr>
            <w:t>12</w:t>
          </w:r>
          <w:r>
            <w:rPr>
              <w:highlight w:val="none"/>
            </w:rPr>
            <w:fldChar w:fldCharType="end"/>
          </w:r>
          <w:r>
            <w:rPr>
              <w:highlight w:val="none"/>
            </w:rPr>
            <w:fldChar w:fldCharType="end"/>
          </w:r>
        </w:p>
        <w:p w14:paraId="11E8E83B">
          <w:pPr>
            <w:pStyle w:val="38"/>
            <w:tabs>
              <w:tab w:val="right" w:leader="dot" w:pos="8306"/>
            </w:tabs>
            <w:ind w:left="420"/>
            <w:rPr>
              <w:highlight w:val="none"/>
            </w:rPr>
          </w:pPr>
          <w:r>
            <w:rPr>
              <w:highlight w:val="none"/>
            </w:rPr>
            <w:fldChar w:fldCharType="begin"/>
          </w:r>
          <w:r>
            <w:rPr>
              <w:highlight w:val="none"/>
            </w:rPr>
            <w:instrText xml:space="preserve"> HYPERLINK \l "_Toc7829" </w:instrText>
          </w:r>
          <w:r>
            <w:rPr>
              <w:highlight w:val="none"/>
            </w:rP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rPr>
              <w:highlight w:val="none"/>
            </w:rPr>
            <w:tab/>
          </w:r>
          <w:r>
            <w:rPr>
              <w:highlight w:val="none"/>
            </w:rPr>
            <w:fldChar w:fldCharType="begin"/>
          </w:r>
          <w:r>
            <w:rPr>
              <w:highlight w:val="none"/>
            </w:rPr>
            <w:instrText xml:space="preserve"> PAGEREF _Toc7829 \h </w:instrText>
          </w:r>
          <w:r>
            <w:rPr>
              <w:highlight w:val="none"/>
            </w:rPr>
            <w:fldChar w:fldCharType="separate"/>
          </w:r>
          <w:r>
            <w:rPr>
              <w:highlight w:val="none"/>
            </w:rPr>
            <w:t>13</w:t>
          </w:r>
          <w:r>
            <w:rPr>
              <w:highlight w:val="none"/>
            </w:rPr>
            <w:fldChar w:fldCharType="end"/>
          </w:r>
          <w:r>
            <w:rPr>
              <w:highlight w:val="none"/>
            </w:rPr>
            <w:fldChar w:fldCharType="end"/>
          </w:r>
        </w:p>
        <w:p w14:paraId="2F21C786">
          <w:pPr>
            <w:pStyle w:val="38"/>
            <w:tabs>
              <w:tab w:val="right" w:leader="dot" w:pos="8306"/>
            </w:tabs>
            <w:ind w:left="420"/>
            <w:rPr>
              <w:highlight w:val="none"/>
            </w:rPr>
          </w:pPr>
          <w:r>
            <w:rPr>
              <w:highlight w:val="none"/>
            </w:rPr>
            <w:fldChar w:fldCharType="begin"/>
          </w:r>
          <w:r>
            <w:rPr>
              <w:highlight w:val="none"/>
            </w:rPr>
            <w:instrText xml:space="preserve"> HYPERLINK \l "_Toc21026" </w:instrText>
          </w:r>
          <w:r>
            <w:rPr>
              <w:highlight w:val="none"/>
            </w:rP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rPr>
              <w:highlight w:val="none"/>
            </w:rPr>
            <w:tab/>
          </w:r>
          <w:r>
            <w:rPr>
              <w:highlight w:val="none"/>
            </w:rPr>
            <w:fldChar w:fldCharType="begin"/>
          </w:r>
          <w:r>
            <w:rPr>
              <w:highlight w:val="none"/>
            </w:rPr>
            <w:instrText xml:space="preserve"> PAGEREF _Toc21026 \h </w:instrText>
          </w:r>
          <w:r>
            <w:rPr>
              <w:highlight w:val="none"/>
            </w:rPr>
            <w:fldChar w:fldCharType="separate"/>
          </w:r>
          <w:r>
            <w:rPr>
              <w:highlight w:val="none"/>
            </w:rPr>
            <w:t>15</w:t>
          </w:r>
          <w:r>
            <w:rPr>
              <w:highlight w:val="none"/>
            </w:rPr>
            <w:fldChar w:fldCharType="end"/>
          </w:r>
          <w:r>
            <w:rPr>
              <w:highlight w:val="none"/>
            </w:rPr>
            <w:fldChar w:fldCharType="end"/>
          </w:r>
        </w:p>
        <w:p w14:paraId="3DF019F9">
          <w:pPr>
            <w:pStyle w:val="38"/>
            <w:tabs>
              <w:tab w:val="right" w:leader="dot" w:pos="8306"/>
            </w:tabs>
            <w:ind w:left="420"/>
            <w:rPr>
              <w:highlight w:val="none"/>
            </w:rPr>
          </w:pPr>
          <w:r>
            <w:rPr>
              <w:highlight w:val="none"/>
            </w:rPr>
            <w:fldChar w:fldCharType="begin"/>
          </w:r>
          <w:r>
            <w:rPr>
              <w:highlight w:val="none"/>
            </w:rPr>
            <w:instrText xml:space="preserve"> HYPERLINK \l "_Toc7881" </w:instrText>
          </w:r>
          <w:r>
            <w:rPr>
              <w:highlight w:val="none"/>
            </w:rPr>
            <w:fldChar w:fldCharType="separate"/>
          </w:r>
          <w:r>
            <w:rPr>
              <w:rFonts w:hint="eastAsia" w:ascii="黑体" w:hAnsi="黑体" w:eastAsia="黑体"/>
              <w:highlight w:val="none"/>
            </w:rPr>
            <w:t>九、 国有资本经营预算支出决算情况说明</w:t>
          </w:r>
          <w:r>
            <w:rPr>
              <w:highlight w:val="none"/>
            </w:rPr>
            <w:tab/>
          </w:r>
          <w:r>
            <w:rPr>
              <w:highlight w:val="none"/>
            </w:rPr>
            <w:fldChar w:fldCharType="begin"/>
          </w:r>
          <w:r>
            <w:rPr>
              <w:highlight w:val="none"/>
            </w:rPr>
            <w:instrText xml:space="preserve"> PAGEREF _Toc7881 \h </w:instrText>
          </w:r>
          <w:r>
            <w:rPr>
              <w:highlight w:val="none"/>
            </w:rPr>
            <w:fldChar w:fldCharType="separate"/>
          </w:r>
          <w:r>
            <w:rPr>
              <w:highlight w:val="none"/>
            </w:rPr>
            <w:t>15</w:t>
          </w:r>
          <w:r>
            <w:rPr>
              <w:highlight w:val="none"/>
            </w:rPr>
            <w:fldChar w:fldCharType="end"/>
          </w:r>
          <w:r>
            <w:rPr>
              <w:highlight w:val="none"/>
            </w:rPr>
            <w:fldChar w:fldCharType="end"/>
          </w:r>
        </w:p>
        <w:p w14:paraId="3F214B6F">
          <w:pPr>
            <w:pStyle w:val="38"/>
            <w:tabs>
              <w:tab w:val="right" w:leader="dot" w:pos="8306"/>
            </w:tabs>
            <w:ind w:left="420"/>
            <w:rPr>
              <w:highlight w:val="none"/>
            </w:rPr>
          </w:pPr>
          <w:r>
            <w:rPr>
              <w:highlight w:val="none"/>
            </w:rPr>
            <w:fldChar w:fldCharType="begin"/>
          </w:r>
          <w:r>
            <w:rPr>
              <w:highlight w:val="none"/>
            </w:rPr>
            <w:instrText xml:space="preserve"> HYPERLINK \l "_Toc11739" </w:instrText>
          </w:r>
          <w:r>
            <w:rPr>
              <w:highlight w:val="none"/>
            </w:rPr>
            <w:fldChar w:fldCharType="separate"/>
          </w:r>
          <w:r>
            <w:rPr>
              <w:rFonts w:hint="eastAsia" w:ascii="黑体" w:hAnsi="黑体" w:eastAsia="黑体"/>
              <w:highlight w:val="none"/>
            </w:rPr>
            <w:t>十、 其他重要事项的情况说明</w:t>
          </w:r>
          <w:r>
            <w:rPr>
              <w:highlight w:val="none"/>
            </w:rPr>
            <w:tab/>
          </w:r>
          <w:r>
            <w:rPr>
              <w:highlight w:val="none"/>
            </w:rPr>
            <w:fldChar w:fldCharType="begin"/>
          </w:r>
          <w:r>
            <w:rPr>
              <w:highlight w:val="none"/>
            </w:rPr>
            <w:instrText xml:space="preserve"> PAGEREF _Toc11739 \h </w:instrText>
          </w:r>
          <w:r>
            <w:rPr>
              <w:highlight w:val="none"/>
            </w:rPr>
            <w:fldChar w:fldCharType="separate"/>
          </w:r>
          <w:r>
            <w:rPr>
              <w:highlight w:val="none"/>
            </w:rPr>
            <w:t>15</w:t>
          </w:r>
          <w:r>
            <w:rPr>
              <w:highlight w:val="none"/>
            </w:rPr>
            <w:fldChar w:fldCharType="end"/>
          </w:r>
          <w:r>
            <w:rPr>
              <w:highlight w:val="none"/>
            </w:rPr>
            <w:fldChar w:fldCharType="end"/>
          </w:r>
        </w:p>
        <w:p w14:paraId="7B57C354">
          <w:pPr>
            <w:pStyle w:val="37"/>
            <w:tabs>
              <w:tab w:val="right" w:leader="dot" w:pos="8306"/>
            </w:tabs>
            <w:rPr>
              <w:b/>
              <w:highlight w:val="none"/>
            </w:rPr>
          </w:pPr>
          <w:r>
            <w:rPr>
              <w:highlight w:val="none"/>
            </w:rPr>
            <w:fldChar w:fldCharType="begin"/>
          </w:r>
          <w:r>
            <w:rPr>
              <w:highlight w:val="none"/>
            </w:rPr>
            <w:instrText xml:space="preserve"> HYPERLINK \l "_Toc24770" </w:instrText>
          </w:r>
          <w:r>
            <w:rPr>
              <w:highlight w:val="none"/>
            </w:rPr>
            <w:fldChar w:fldCharType="separate"/>
          </w:r>
          <w:r>
            <w:rPr>
              <w:rFonts w:hint="eastAsia" w:ascii="黑体" w:hAnsi="黑体" w:eastAsia="黑体" w:cs="黑体"/>
              <w:b/>
              <w:szCs w:val="44"/>
              <w:highlight w:val="none"/>
            </w:rPr>
            <w:t xml:space="preserve">第三部分 </w:t>
          </w:r>
          <w:r>
            <w:rPr>
              <w:rFonts w:hint="eastAsia" w:ascii="黑体" w:hAnsi="黑体" w:eastAsia="黑体"/>
              <w:b/>
              <w:szCs w:val="44"/>
              <w:highlight w:val="none"/>
            </w:rPr>
            <w:t>名</w:t>
          </w:r>
          <w:r>
            <w:rPr>
              <w:rFonts w:hint="eastAsia" w:ascii="黑体" w:hAnsi="黑体" w:eastAsia="黑体"/>
              <w:b/>
              <w:highlight w:val="none"/>
            </w:rPr>
            <w:t>词解释</w:t>
          </w:r>
          <w:r>
            <w:rPr>
              <w:b/>
              <w:highlight w:val="none"/>
            </w:rPr>
            <w:tab/>
          </w:r>
          <w:r>
            <w:rPr>
              <w:b/>
              <w:highlight w:val="none"/>
            </w:rPr>
            <w:fldChar w:fldCharType="begin"/>
          </w:r>
          <w:r>
            <w:rPr>
              <w:b/>
              <w:highlight w:val="none"/>
            </w:rPr>
            <w:instrText xml:space="preserve"> PAGEREF _Toc24770 \h </w:instrText>
          </w:r>
          <w:r>
            <w:rPr>
              <w:b/>
              <w:highlight w:val="none"/>
            </w:rPr>
            <w:fldChar w:fldCharType="separate"/>
          </w:r>
          <w:r>
            <w:rPr>
              <w:b/>
              <w:highlight w:val="none"/>
            </w:rPr>
            <w:t>18</w:t>
          </w:r>
          <w:r>
            <w:rPr>
              <w:b/>
              <w:highlight w:val="none"/>
            </w:rPr>
            <w:fldChar w:fldCharType="end"/>
          </w:r>
          <w:r>
            <w:rPr>
              <w:b/>
              <w:highlight w:val="none"/>
            </w:rPr>
            <w:fldChar w:fldCharType="end"/>
          </w:r>
        </w:p>
        <w:p w14:paraId="70ED5DD5">
          <w:pPr>
            <w:pStyle w:val="37"/>
            <w:tabs>
              <w:tab w:val="right" w:leader="dot" w:pos="8306"/>
            </w:tabs>
            <w:rPr>
              <w:b/>
              <w:highlight w:val="none"/>
            </w:rPr>
          </w:pPr>
          <w:r>
            <w:rPr>
              <w:highlight w:val="none"/>
            </w:rPr>
            <w:fldChar w:fldCharType="begin"/>
          </w:r>
          <w:r>
            <w:rPr>
              <w:highlight w:val="none"/>
            </w:rPr>
            <w:instrText xml:space="preserve"> HYPERLINK \l "_Toc10788" </w:instrText>
          </w:r>
          <w:r>
            <w:rPr>
              <w:highlight w:val="none"/>
            </w:rPr>
            <w:fldChar w:fldCharType="separate"/>
          </w:r>
          <w:r>
            <w:rPr>
              <w:rFonts w:hint="eastAsia" w:ascii="黑体" w:hAnsi="黑体" w:eastAsia="黑体"/>
              <w:b/>
              <w:szCs w:val="44"/>
              <w:highlight w:val="none"/>
            </w:rPr>
            <w:t>第</w:t>
          </w:r>
          <w:r>
            <w:rPr>
              <w:rFonts w:hint="eastAsia" w:ascii="黑体" w:hAnsi="黑体" w:eastAsia="黑体"/>
              <w:b/>
              <w:highlight w:val="none"/>
            </w:rPr>
            <w:t>四部分 附件</w:t>
          </w:r>
          <w:r>
            <w:rPr>
              <w:b/>
              <w:highlight w:val="none"/>
            </w:rPr>
            <w:tab/>
          </w:r>
          <w:r>
            <w:rPr>
              <w:b/>
              <w:highlight w:val="none"/>
            </w:rPr>
            <w:fldChar w:fldCharType="begin"/>
          </w:r>
          <w:r>
            <w:rPr>
              <w:b/>
              <w:highlight w:val="none"/>
            </w:rPr>
            <w:instrText xml:space="preserve"> PAGEREF _Toc10788 \h </w:instrText>
          </w:r>
          <w:r>
            <w:rPr>
              <w:b/>
              <w:highlight w:val="none"/>
            </w:rPr>
            <w:fldChar w:fldCharType="separate"/>
          </w:r>
          <w:r>
            <w:rPr>
              <w:b/>
              <w:highlight w:val="none"/>
            </w:rPr>
            <w:t>23</w:t>
          </w:r>
          <w:r>
            <w:rPr>
              <w:b/>
              <w:highlight w:val="none"/>
            </w:rPr>
            <w:fldChar w:fldCharType="end"/>
          </w:r>
          <w:r>
            <w:rPr>
              <w:b/>
              <w:highlight w:val="none"/>
            </w:rPr>
            <w:fldChar w:fldCharType="end"/>
          </w:r>
        </w:p>
        <w:p w14:paraId="5D359902">
          <w:pPr>
            <w:pStyle w:val="37"/>
            <w:tabs>
              <w:tab w:val="right" w:leader="dot" w:pos="8306"/>
            </w:tabs>
            <w:rPr>
              <w:b/>
              <w:highlight w:val="none"/>
            </w:rPr>
          </w:pPr>
          <w:r>
            <w:rPr>
              <w:highlight w:val="none"/>
            </w:rPr>
            <w:fldChar w:fldCharType="begin"/>
          </w:r>
          <w:r>
            <w:rPr>
              <w:highlight w:val="none"/>
            </w:rPr>
            <w:instrText xml:space="preserve"> HYPERLINK \l "_Toc24683" </w:instrText>
          </w:r>
          <w:r>
            <w:rPr>
              <w:highlight w:val="none"/>
            </w:rPr>
            <w:fldChar w:fldCharType="separate"/>
          </w:r>
          <w:r>
            <w:rPr>
              <w:rFonts w:hint="eastAsia" w:ascii="仿宋_GB2312" w:hAnsi="仿宋_GB2312" w:eastAsia="仿宋_GB2312" w:cs="仿宋_GB2312"/>
              <w:b/>
              <w:szCs w:val="32"/>
              <w:highlight w:val="none"/>
            </w:rPr>
            <w:t>部门预算项目支出绩效自评表（2025年度）</w:t>
          </w:r>
          <w:r>
            <w:rPr>
              <w:b/>
              <w:highlight w:val="none"/>
            </w:rPr>
            <w:tab/>
          </w:r>
          <w:r>
            <w:rPr>
              <w:b/>
              <w:highlight w:val="none"/>
            </w:rPr>
            <w:fldChar w:fldCharType="begin"/>
          </w:r>
          <w:r>
            <w:rPr>
              <w:b/>
              <w:highlight w:val="none"/>
            </w:rPr>
            <w:instrText xml:space="preserve"> PAGEREF _Toc24683 \h </w:instrText>
          </w:r>
          <w:r>
            <w:rPr>
              <w:b/>
              <w:highlight w:val="none"/>
            </w:rPr>
            <w:fldChar w:fldCharType="separate"/>
          </w:r>
          <w:r>
            <w:rPr>
              <w:b/>
              <w:highlight w:val="none"/>
            </w:rPr>
            <w:t>23</w:t>
          </w:r>
          <w:r>
            <w:rPr>
              <w:b/>
              <w:highlight w:val="none"/>
            </w:rPr>
            <w:fldChar w:fldCharType="end"/>
          </w:r>
          <w:r>
            <w:rPr>
              <w:b/>
              <w:highlight w:val="none"/>
            </w:rPr>
            <w:fldChar w:fldCharType="end"/>
          </w:r>
        </w:p>
        <w:p w14:paraId="6C3BB977">
          <w:pPr>
            <w:pStyle w:val="37"/>
            <w:tabs>
              <w:tab w:val="right" w:leader="dot" w:pos="8306"/>
            </w:tabs>
            <w:rPr>
              <w:b/>
              <w:highlight w:val="none"/>
            </w:rPr>
          </w:pPr>
          <w:r>
            <w:rPr>
              <w:highlight w:val="none"/>
            </w:rPr>
            <w:fldChar w:fldCharType="begin"/>
          </w:r>
          <w:r>
            <w:rPr>
              <w:highlight w:val="none"/>
            </w:rPr>
            <w:instrText xml:space="preserve"> HYPERLINK \l "_Toc7232" </w:instrText>
          </w:r>
          <w:r>
            <w:rPr>
              <w:highlight w:val="none"/>
            </w:rPr>
            <w:fldChar w:fldCharType="separate"/>
          </w:r>
          <w:r>
            <w:rPr>
              <w:rFonts w:hint="eastAsia" w:ascii="黑体" w:hAnsi="黑体" w:eastAsia="黑体"/>
              <w:b/>
              <w:szCs w:val="44"/>
              <w:highlight w:val="none"/>
            </w:rPr>
            <w:t>第</w:t>
          </w:r>
          <w:r>
            <w:rPr>
              <w:rFonts w:hint="eastAsia" w:ascii="黑体" w:hAnsi="黑体" w:eastAsia="黑体"/>
              <w:b/>
              <w:highlight w:val="none"/>
            </w:rPr>
            <w:t>五部分 附表</w:t>
          </w:r>
          <w:r>
            <w:rPr>
              <w:b/>
              <w:highlight w:val="none"/>
            </w:rPr>
            <w:tab/>
          </w:r>
          <w:r>
            <w:rPr>
              <w:b/>
              <w:highlight w:val="none"/>
            </w:rPr>
            <w:fldChar w:fldCharType="begin"/>
          </w:r>
          <w:r>
            <w:rPr>
              <w:b/>
              <w:highlight w:val="none"/>
            </w:rPr>
            <w:instrText xml:space="preserve"> PAGEREF _Toc7232 \h </w:instrText>
          </w:r>
          <w:r>
            <w:rPr>
              <w:b/>
              <w:highlight w:val="none"/>
            </w:rPr>
            <w:fldChar w:fldCharType="separate"/>
          </w:r>
          <w:r>
            <w:rPr>
              <w:b/>
              <w:highlight w:val="none"/>
            </w:rPr>
            <w:t>24</w:t>
          </w:r>
          <w:r>
            <w:rPr>
              <w:b/>
              <w:highlight w:val="none"/>
            </w:rPr>
            <w:fldChar w:fldCharType="end"/>
          </w:r>
          <w:r>
            <w:rPr>
              <w:b/>
              <w:highlight w:val="none"/>
            </w:rPr>
            <w:fldChar w:fldCharType="end"/>
          </w:r>
        </w:p>
        <w:p w14:paraId="4A46FEF8">
          <w:pPr>
            <w:pStyle w:val="38"/>
            <w:tabs>
              <w:tab w:val="right" w:leader="dot" w:pos="8306"/>
            </w:tabs>
            <w:ind w:left="420"/>
            <w:rPr>
              <w:highlight w:val="none"/>
            </w:rPr>
          </w:pPr>
          <w:r>
            <w:rPr>
              <w:highlight w:val="none"/>
            </w:rPr>
            <w:fldChar w:fldCharType="begin"/>
          </w:r>
          <w:r>
            <w:rPr>
              <w:highlight w:val="none"/>
            </w:rPr>
            <w:instrText xml:space="preserve"> HYPERLINK \l "_Toc19189" </w:instrText>
          </w:r>
          <w:r>
            <w:rPr>
              <w:highlight w:val="none"/>
            </w:rPr>
            <w:fldChar w:fldCharType="separate"/>
          </w:r>
          <w:r>
            <w:rPr>
              <w:rFonts w:hint="eastAsia" w:ascii="仿宋" w:hAnsi="仿宋" w:eastAsia="仿宋"/>
              <w:highlight w:val="none"/>
            </w:rPr>
            <w:t>一、收入支出决算总表</w:t>
          </w:r>
          <w:r>
            <w:rPr>
              <w:highlight w:val="none"/>
            </w:rPr>
            <w:tab/>
          </w:r>
          <w:r>
            <w:rPr>
              <w:highlight w:val="none"/>
            </w:rPr>
            <w:fldChar w:fldCharType="begin"/>
          </w:r>
          <w:r>
            <w:rPr>
              <w:highlight w:val="none"/>
            </w:rPr>
            <w:instrText xml:space="preserve"> PAGEREF _Toc19189 \h </w:instrText>
          </w:r>
          <w:r>
            <w:rPr>
              <w:highlight w:val="none"/>
            </w:rPr>
            <w:fldChar w:fldCharType="separate"/>
          </w:r>
          <w:r>
            <w:rPr>
              <w:highlight w:val="none"/>
            </w:rPr>
            <w:t>24</w:t>
          </w:r>
          <w:r>
            <w:rPr>
              <w:highlight w:val="none"/>
            </w:rPr>
            <w:fldChar w:fldCharType="end"/>
          </w:r>
          <w:r>
            <w:rPr>
              <w:highlight w:val="none"/>
            </w:rPr>
            <w:fldChar w:fldCharType="end"/>
          </w:r>
        </w:p>
        <w:p w14:paraId="20B049EF">
          <w:pPr>
            <w:pStyle w:val="38"/>
            <w:tabs>
              <w:tab w:val="right" w:leader="dot" w:pos="8306"/>
            </w:tabs>
            <w:ind w:left="420"/>
            <w:rPr>
              <w:highlight w:val="none"/>
            </w:rPr>
          </w:pPr>
          <w:r>
            <w:rPr>
              <w:highlight w:val="none"/>
            </w:rPr>
            <w:fldChar w:fldCharType="begin"/>
          </w:r>
          <w:r>
            <w:rPr>
              <w:highlight w:val="none"/>
            </w:rPr>
            <w:instrText xml:space="preserve"> HYPERLINK \l "_Toc23980" </w:instrText>
          </w:r>
          <w:r>
            <w:rPr>
              <w:highlight w:val="none"/>
            </w:rPr>
            <w:fldChar w:fldCharType="separate"/>
          </w:r>
          <w:r>
            <w:rPr>
              <w:rFonts w:hint="eastAsia" w:ascii="仿宋" w:hAnsi="仿宋" w:eastAsia="仿宋"/>
              <w:highlight w:val="none"/>
            </w:rPr>
            <w:t>二、收入决算表</w:t>
          </w:r>
          <w:r>
            <w:rPr>
              <w:highlight w:val="none"/>
            </w:rPr>
            <w:tab/>
          </w:r>
          <w:r>
            <w:rPr>
              <w:highlight w:val="none"/>
            </w:rPr>
            <w:fldChar w:fldCharType="begin"/>
          </w:r>
          <w:r>
            <w:rPr>
              <w:highlight w:val="none"/>
            </w:rPr>
            <w:instrText xml:space="preserve"> PAGEREF _Toc23980 \h </w:instrText>
          </w:r>
          <w:r>
            <w:rPr>
              <w:highlight w:val="none"/>
            </w:rPr>
            <w:fldChar w:fldCharType="separate"/>
          </w:r>
          <w:r>
            <w:rPr>
              <w:highlight w:val="none"/>
            </w:rPr>
            <w:t>24</w:t>
          </w:r>
          <w:r>
            <w:rPr>
              <w:highlight w:val="none"/>
            </w:rPr>
            <w:fldChar w:fldCharType="end"/>
          </w:r>
          <w:r>
            <w:rPr>
              <w:highlight w:val="none"/>
            </w:rPr>
            <w:fldChar w:fldCharType="end"/>
          </w:r>
        </w:p>
        <w:p w14:paraId="2611277F">
          <w:pPr>
            <w:pStyle w:val="38"/>
            <w:tabs>
              <w:tab w:val="right" w:leader="dot" w:pos="8306"/>
            </w:tabs>
            <w:ind w:left="420"/>
            <w:rPr>
              <w:highlight w:val="none"/>
            </w:rPr>
          </w:pPr>
          <w:r>
            <w:rPr>
              <w:highlight w:val="none"/>
            </w:rPr>
            <w:fldChar w:fldCharType="begin"/>
          </w:r>
          <w:r>
            <w:rPr>
              <w:highlight w:val="none"/>
            </w:rPr>
            <w:instrText xml:space="preserve"> HYPERLINK \l "_Toc14510" </w:instrText>
          </w:r>
          <w:r>
            <w:rPr>
              <w:highlight w:val="none"/>
            </w:rPr>
            <w:fldChar w:fldCharType="separate"/>
          </w:r>
          <w:r>
            <w:rPr>
              <w:rFonts w:hint="eastAsia" w:ascii="仿宋" w:hAnsi="仿宋" w:eastAsia="仿宋"/>
              <w:highlight w:val="none"/>
            </w:rPr>
            <w:t>三、支出决算表</w:t>
          </w:r>
          <w:r>
            <w:rPr>
              <w:highlight w:val="none"/>
            </w:rPr>
            <w:tab/>
          </w:r>
          <w:r>
            <w:rPr>
              <w:highlight w:val="none"/>
            </w:rPr>
            <w:fldChar w:fldCharType="begin"/>
          </w:r>
          <w:r>
            <w:rPr>
              <w:highlight w:val="none"/>
            </w:rPr>
            <w:instrText xml:space="preserve"> PAGEREF _Toc14510 \h </w:instrText>
          </w:r>
          <w:r>
            <w:rPr>
              <w:highlight w:val="none"/>
            </w:rPr>
            <w:fldChar w:fldCharType="separate"/>
          </w:r>
          <w:r>
            <w:rPr>
              <w:highlight w:val="none"/>
            </w:rPr>
            <w:t>24</w:t>
          </w:r>
          <w:r>
            <w:rPr>
              <w:highlight w:val="none"/>
            </w:rPr>
            <w:fldChar w:fldCharType="end"/>
          </w:r>
          <w:r>
            <w:rPr>
              <w:highlight w:val="none"/>
            </w:rPr>
            <w:fldChar w:fldCharType="end"/>
          </w:r>
        </w:p>
        <w:p w14:paraId="7B250C86">
          <w:pPr>
            <w:pStyle w:val="38"/>
            <w:tabs>
              <w:tab w:val="right" w:leader="dot" w:pos="8306"/>
            </w:tabs>
            <w:ind w:left="420"/>
            <w:rPr>
              <w:highlight w:val="none"/>
            </w:rPr>
          </w:pPr>
          <w:r>
            <w:rPr>
              <w:highlight w:val="none"/>
            </w:rPr>
            <w:fldChar w:fldCharType="begin"/>
          </w:r>
          <w:r>
            <w:rPr>
              <w:highlight w:val="none"/>
            </w:rPr>
            <w:instrText xml:space="preserve"> HYPERLINK \l "_Toc24355" </w:instrText>
          </w:r>
          <w:r>
            <w:rPr>
              <w:highlight w:val="none"/>
            </w:rPr>
            <w:fldChar w:fldCharType="separate"/>
          </w:r>
          <w:r>
            <w:rPr>
              <w:rFonts w:hint="eastAsia" w:ascii="仿宋" w:hAnsi="仿宋" w:eastAsia="仿宋"/>
              <w:highlight w:val="none"/>
            </w:rPr>
            <w:t>四、财政拨款收入支出决算总表</w:t>
          </w:r>
          <w:r>
            <w:rPr>
              <w:highlight w:val="none"/>
            </w:rPr>
            <w:tab/>
          </w:r>
          <w:r>
            <w:rPr>
              <w:highlight w:val="none"/>
            </w:rPr>
            <w:fldChar w:fldCharType="begin"/>
          </w:r>
          <w:r>
            <w:rPr>
              <w:highlight w:val="none"/>
            </w:rPr>
            <w:instrText xml:space="preserve"> PAGEREF _Toc24355 \h </w:instrText>
          </w:r>
          <w:r>
            <w:rPr>
              <w:highlight w:val="none"/>
            </w:rPr>
            <w:fldChar w:fldCharType="separate"/>
          </w:r>
          <w:r>
            <w:rPr>
              <w:highlight w:val="none"/>
            </w:rPr>
            <w:t>24</w:t>
          </w:r>
          <w:r>
            <w:rPr>
              <w:highlight w:val="none"/>
            </w:rPr>
            <w:fldChar w:fldCharType="end"/>
          </w:r>
          <w:r>
            <w:rPr>
              <w:highlight w:val="none"/>
            </w:rPr>
            <w:fldChar w:fldCharType="end"/>
          </w:r>
        </w:p>
        <w:p w14:paraId="575E6544">
          <w:pPr>
            <w:pStyle w:val="38"/>
            <w:tabs>
              <w:tab w:val="right" w:leader="dot" w:pos="8306"/>
            </w:tabs>
            <w:ind w:left="420"/>
            <w:rPr>
              <w:highlight w:val="none"/>
            </w:rPr>
          </w:pPr>
          <w:r>
            <w:rPr>
              <w:highlight w:val="none"/>
            </w:rPr>
            <w:fldChar w:fldCharType="begin"/>
          </w:r>
          <w:r>
            <w:rPr>
              <w:highlight w:val="none"/>
            </w:rPr>
            <w:instrText xml:space="preserve"> HYPERLINK \l "_Toc12936" </w:instrText>
          </w:r>
          <w:r>
            <w:rPr>
              <w:highlight w:val="none"/>
            </w:rPr>
            <w:fldChar w:fldCharType="separate"/>
          </w:r>
          <w:r>
            <w:rPr>
              <w:rFonts w:hint="eastAsia" w:ascii="仿宋" w:hAnsi="仿宋" w:eastAsia="仿宋"/>
              <w:highlight w:val="none"/>
            </w:rPr>
            <w:t>五、财政拨款支出决算明细表</w:t>
          </w:r>
          <w:r>
            <w:rPr>
              <w:highlight w:val="none"/>
            </w:rPr>
            <w:tab/>
          </w:r>
          <w:r>
            <w:rPr>
              <w:highlight w:val="none"/>
            </w:rPr>
            <w:fldChar w:fldCharType="begin"/>
          </w:r>
          <w:r>
            <w:rPr>
              <w:highlight w:val="none"/>
            </w:rPr>
            <w:instrText xml:space="preserve"> PAGEREF _Toc12936 \h </w:instrText>
          </w:r>
          <w:r>
            <w:rPr>
              <w:highlight w:val="none"/>
            </w:rPr>
            <w:fldChar w:fldCharType="separate"/>
          </w:r>
          <w:r>
            <w:rPr>
              <w:highlight w:val="none"/>
            </w:rPr>
            <w:t>24</w:t>
          </w:r>
          <w:r>
            <w:rPr>
              <w:highlight w:val="none"/>
            </w:rPr>
            <w:fldChar w:fldCharType="end"/>
          </w:r>
          <w:r>
            <w:rPr>
              <w:highlight w:val="none"/>
            </w:rPr>
            <w:fldChar w:fldCharType="end"/>
          </w:r>
        </w:p>
        <w:p w14:paraId="5B5FD3D1">
          <w:pPr>
            <w:pStyle w:val="38"/>
            <w:tabs>
              <w:tab w:val="right" w:leader="dot" w:pos="8306"/>
            </w:tabs>
            <w:ind w:left="420"/>
            <w:rPr>
              <w:highlight w:val="none"/>
            </w:rPr>
          </w:pPr>
          <w:r>
            <w:rPr>
              <w:highlight w:val="none"/>
            </w:rPr>
            <w:fldChar w:fldCharType="begin"/>
          </w:r>
          <w:r>
            <w:rPr>
              <w:highlight w:val="none"/>
            </w:rPr>
            <w:instrText xml:space="preserve"> HYPERLINK \l "_Toc23679" </w:instrText>
          </w:r>
          <w:r>
            <w:rPr>
              <w:highlight w:val="none"/>
            </w:rPr>
            <w:fldChar w:fldCharType="separate"/>
          </w:r>
          <w:r>
            <w:rPr>
              <w:rFonts w:hint="eastAsia" w:ascii="仿宋" w:hAnsi="仿宋" w:eastAsia="仿宋"/>
              <w:highlight w:val="none"/>
            </w:rPr>
            <w:t>六、一般公共预算财政拨款支出决算表</w:t>
          </w:r>
          <w:r>
            <w:rPr>
              <w:highlight w:val="none"/>
            </w:rPr>
            <w:tab/>
          </w:r>
          <w:r>
            <w:rPr>
              <w:highlight w:val="none"/>
            </w:rPr>
            <w:fldChar w:fldCharType="begin"/>
          </w:r>
          <w:r>
            <w:rPr>
              <w:highlight w:val="none"/>
            </w:rPr>
            <w:instrText xml:space="preserve"> PAGEREF _Toc23679 \h </w:instrText>
          </w:r>
          <w:r>
            <w:rPr>
              <w:highlight w:val="none"/>
            </w:rPr>
            <w:fldChar w:fldCharType="separate"/>
          </w:r>
          <w:r>
            <w:rPr>
              <w:highlight w:val="none"/>
            </w:rPr>
            <w:t>24</w:t>
          </w:r>
          <w:r>
            <w:rPr>
              <w:highlight w:val="none"/>
            </w:rPr>
            <w:fldChar w:fldCharType="end"/>
          </w:r>
          <w:r>
            <w:rPr>
              <w:highlight w:val="none"/>
            </w:rPr>
            <w:fldChar w:fldCharType="end"/>
          </w:r>
        </w:p>
        <w:p w14:paraId="064DEB45">
          <w:pPr>
            <w:pStyle w:val="38"/>
            <w:tabs>
              <w:tab w:val="right" w:leader="dot" w:pos="8306"/>
            </w:tabs>
            <w:ind w:left="420"/>
            <w:rPr>
              <w:highlight w:val="none"/>
            </w:rPr>
          </w:pPr>
          <w:r>
            <w:rPr>
              <w:highlight w:val="none"/>
            </w:rPr>
            <w:fldChar w:fldCharType="begin"/>
          </w:r>
          <w:r>
            <w:rPr>
              <w:highlight w:val="none"/>
            </w:rPr>
            <w:instrText xml:space="preserve"> HYPERLINK \l "_Toc18649" </w:instrText>
          </w:r>
          <w:r>
            <w:rPr>
              <w:highlight w:val="none"/>
            </w:rPr>
            <w:fldChar w:fldCharType="separate"/>
          </w:r>
          <w:r>
            <w:rPr>
              <w:rFonts w:hint="eastAsia" w:ascii="仿宋" w:hAnsi="仿宋" w:eastAsia="仿宋"/>
              <w:highlight w:val="none"/>
            </w:rPr>
            <w:t>七、一般公共预算财政拨款支出决算明细表</w:t>
          </w:r>
          <w:r>
            <w:rPr>
              <w:highlight w:val="none"/>
            </w:rPr>
            <w:tab/>
          </w:r>
          <w:r>
            <w:rPr>
              <w:highlight w:val="none"/>
            </w:rPr>
            <w:fldChar w:fldCharType="begin"/>
          </w:r>
          <w:r>
            <w:rPr>
              <w:highlight w:val="none"/>
            </w:rPr>
            <w:instrText xml:space="preserve"> PAGEREF _Toc18649 \h </w:instrText>
          </w:r>
          <w:r>
            <w:rPr>
              <w:highlight w:val="none"/>
            </w:rPr>
            <w:fldChar w:fldCharType="separate"/>
          </w:r>
          <w:r>
            <w:rPr>
              <w:highlight w:val="none"/>
            </w:rPr>
            <w:t>24</w:t>
          </w:r>
          <w:r>
            <w:rPr>
              <w:highlight w:val="none"/>
            </w:rPr>
            <w:fldChar w:fldCharType="end"/>
          </w:r>
          <w:r>
            <w:rPr>
              <w:highlight w:val="none"/>
            </w:rPr>
            <w:fldChar w:fldCharType="end"/>
          </w:r>
        </w:p>
        <w:p w14:paraId="76477095">
          <w:pPr>
            <w:pStyle w:val="38"/>
            <w:tabs>
              <w:tab w:val="right" w:leader="dot" w:pos="8306"/>
            </w:tabs>
            <w:ind w:left="420"/>
            <w:rPr>
              <w:highlight w:val="none"/>
            </w:rPr>
          </w:pPr>
          <w:r>
            <w:rPr>
              <w:highlight w:val="none"/>
            </w:rPr>
            <w:fldChar w:fldCharType="begin"/>
          </w:r>
          <w:r>
            <w:rPr>
              <w:highlight w:val="none"/>
            </w:rPr>
            <w:instrText xml:space="preserve"> HYPERLINK \l "_Toc255" </w:instrText>
          </w:r>
          <w:r>
            <w:rPr>
              <w:highlight w:val="none"/>
            </w:rPr>
            <w:fldChar w:fldCharType="separate"/>
          </w:r>
          <w:r>
            <w:rPr>
              <w:rFonts w:hint="eastAsia" w:ascii="仿宋" w:hAnsi="仿宋" w:eastAsia="仿宋"/>
              <w:highlight w:val="none"/>
            </w:rPr>
            <w:t>八、一般公共预算财政拨款基本支出决算表</w:t>
          </w:r>
          <w:r>
            <w:rPr>
              <w:highlight w:val="none"/>
            </w:rPr>
            <w:tab/>
          </w:r>
          <w:r>
            <w:rPr>
              <w:highlight w:val="none"/>
            </w:rPr>
            <w:fldChar w:fldCharType="begin"/>
          </w:r>
          <w:r>
            <w:rPr>
              <w:highlight w:val="none"/>
            </w:rPr>
            <w:instrText xml:space="preserve"> PAGEREF _Toc255 \h </w:instrText>
          </w:r>
          <w:r>
            <w:rPr>
              <w:highlight w:val="none"/>
            </w:rPr>
            <w:fldChar w:fldCharType="separate"/>
          </w:r>
          <w:r>
            <w:rPr>
              <w:highlight w:val="none"/>
            </w:rPr>
            <w:t>24</w:t>
          </w:r>
          <w:r>
            <w:rPr>
              <w:highlight w:val="none"/>
            </w:rPr>
            <w:fldChar w:fldCharType="end"/>
          </w:r>
          <w:r>
            <w:rPr>
              <w:highlight w:val="none"/>
            </w:rPr>
            <w:fldChar w:fldCharType="end"/>
          </w:r>
        </w:p>
        <w:p w14:paraId="2DB6FF03">
          <w:pPr>
            <w:pStyle w:val="38"/>
            <w:tabs>
              <w:tab w:val="right" w:leader="dot" w:pos="8306"/>
            </w:tabs>
            <w:ind w:left="420"/>
            <w:rPr>
              <w:highlight w:val="none"/>
            </w:rPr>
          </w:pPr>
          <w:r>
            <w:rPr>
              <w:highlight w:val="none"/>
            </w:rPr>
            <w:fldChar w:fldCharType="begin"/>
          </w:r>
          <w:r>
            <w:rPr>
              <w:highlight w:val="none"/>
            </w:rPr>
            <w:instrText xml:space="preserve"> HYPERLINK \l "_Toc27932" </w:instrText>
          </w:r>
          <w:r>
            <w:rPr>
              <w:highlight w:val="none"/>
            </w:rPr>
            <w:fldChar w:fldCharType="separate"/>
          </w:r>
          <w:r>
            <w:rPr>
              <w:rFonts w:hint="eastAsia" w:ascii="仿宋" w:hAnsi="仿宋" w:eastAsia="仿宋"/>
              <w:highlight w:val="none"/>
            </w:rPr>
            <w:t>九、一般公共预算财政拨款项目支出决算表</w:t>
          </w:r>
          <w:r>
            <w:rPr>
              <w:highlight w:val="none"/>
            </w:rPr>
            <w:tab/>
          </w:r>
          <w:r>
            <w:rPr>
              <w:highlight w:val="none"/>
            </w:rPr>
            <w:fldChar w:fldCharType="begin"/>
          </w:r>
          <w:r>
            <w:rPr>
              <w:highlight w:val="none"/>
            </w:rPr>
            <w:instrText xml:space="preserve"> PAGEREF _Toc27932 \h </w:instrText>
          </w:r>
          <w:r>
            <w:rPr>
              <w:highlight w:val="none"/>
            </w:rPr>
            <w:fldChar w:fldCharType="separate"/>
          </w:r>
          <w:r>
            <w:rPr>
              <w:highlight w:val="none"/>
            </w:rPr>
            <w:t>24</w:t>
          </w:r>
          <w:r>
            <w:rPr>
              <w:highlight w:val="none"/>
            </w:rPr>
            <w:fldChar w:fldCharType="end"/>
          </w:r>
          <w:r>
            <w:rPr>
              <w:highlight w:val="none"/>
            </w:rPr>
            <w:fldChar w:fldCharType="end"/>
          </w:r>
        </w:p>
        <w:p w14:paraId="6061EBBB">
          <w:pPr>
            <w:pStyle w:val="38"/>
            <w:tabs>
              <w:tab w:val="right" w:leader="dot" w:pos="8306"/>
            </w:tabs>
            <w:ind w:left="420"/>
            <w:rPr>
              <w:highlight w:val="none"/>
            </w:rPr>
          </w:pPr>
          <w:r>
            <w:rPr>
              <w:highlight w:val="none"/>
            </w:rPr>
            <w:fldChar w:fldCharType="begin"/>
          </w:r>
          <w:r>
            <w:rPr>
              <w:highlight w:val="none"/>
            </w:rPr>
            <w:instrText xml:space="preserve"> HYPERLINK \l "_Toc1668" </w:instrText>
          </w:r>
          <w:r>
            <w:rPr>
              <w:highlight w:val="none"/>
            </w:rPr>
            <w:fldChar w:fldCharType="separate"/>
          </w:r>
          <w:r>
            <w:rPr>
              <w:rFonts w:hint="eastAsia" w:ascii="仿宋" w:hAnsi="仿宋" w:eastAsia="仿宋"/>
              <w:highlight w:val="none"/>
            </w:rPr>
            <w:t>十、政府性基金预算财政拨款收入支出决算表</w:t>
          </w:r>
          <w:r>
            <w:rPr>
              <w:highlight w:val="none"/>
            </w:rPr>
            <w:tab/>
          </w:r>
          <w:r>
            <w:rPr>
              <w:highlight w:val="none"/>
            </w:rPr>
            <w:fldChar w:fldCharType="begin"/>
          </w:r>
          <w:r>
            <w:rPr>
              <w:highlight w:val="none"/>
            </w:rPr>
            <w:instrText xml:space="preserve"> PAGEREF _Toc1668 \h </w:instrText>
          </w:r>
          <w:r>
            <w:rPr>
              <w:highlight w:val="none"/>
            </w:rPr>
            <w:fldChar w:fldCharType="separate"/>
          </w:r>
          <w:r>
            <w:rPr>
              <w:highlight w:val="none"/>
            </w:rPr>
            <w:t>24</w:t>
          </w:r>
          <w:r>
            <w:rPr>
              <w:highlight w:val="none"/>
            </w:rPr>
            <w:fldChar w:fldCharType="end"/>
          </w:r>
          <w:r>
            <w:rPr>
              <w:highlight w:val="none"/>
            </w:rPr>
            <w:fldChar w:fldCharType="end"/>
          </w:r>
        </w:p>
        <w:p w14:paraId="279D5660">
          <w:pPr>
            <w:pStyle w:val="38"/>
            <w:tabs>
              <w:tab w:val="right" w:leader="dot" w:pos="8306"/>
            </w:tabs>
            <w:ind w:left="420"/>
            <w:rPr>
              <w:highlight w:val="none"/>
            </w:rPr>
          </w:pPr>
          <w:r>
            <w:rPr>
              <w:highlight w:val="none"/>
            </w:rPr>
            <w:fldChar w:fldCharType="begin"/>
          </w:r>
          <w:r>
            <w:rPr>
              <w:highlight w:val="none"/>
            </w:rPr>
            <w:instrText xml:space="preserve"> HYPERLINK \l "_Toc3773" </w:instrText>
          </w:r>
          <w:r>
            <w:rPr>
              <w:highlight w:val="none"/>
            </w:rPr>
            <w:fldChar w:fldCharType="separate"/>
          </w:r>
          <w:r>
            <w:rPr>
              <w:rFonts w:hint="eastAsia" w:ascii="仿宋" w:hAnsi="仿宋" w:eastAsia="仿宋"/>
              <w:highlight w:val="none"/>
            </w:rPr>
            <w:t>十一、国有资本经营预算财政拨款收入支出决算表（此表无数据）</w:t>
          </w:r>
          <w:r>
            <w:rPr>
              <w:highlight w:val="none"/>
            </w:rPr>
            <w:tab/>
          </w:r>
          <w:r>
            <w:rPr>
              <w:highlight w:val="none"/>
            </w:rPr>
            <w:fldChar w:fldCharType="begin"/>
          </w:r>
          <w:r>
            <w:rPr>
              <w:highlight w:val="none"/>
            </w:rPr>
            <w:instrText xml:space="preserve"> PAGEREF _Toc3773 \h </w:instrText>
          </w:r>
          <w:r>
            <w:rPr>
              <w:highlight w:val="none"/>
            </w:rPr>
            <w:fldChar w:fldCharType="separate"/>
          </w:r>
          <w:r>
            <w:rPr>
              <w:highlight w:val="none"/>
            </w:rPr>
            <w:t>24</w:t>
          </w:r>
          <w:r>
            <w:rPr>
              <w:highlight w:val="none"/>
            </w:rPr>
            <w:fldChar w:fldCharType="end"/>
          </w:r>
          <w:r>
            <w:rPr>
              <w:highlight w:val="none"/>
            </w:rPr>
            <w:fldChar w:fldCharType="end"/>
          </w:r>
        </w:p>
        <w:p w14:paraId="5A077ADD">
          <w:pPr>
            <w:pStyle w:val="38"/>
            <w:tabs>
              <w:tab w:val="right" w:leader="dot" w:pos="8306"/>
            </w:tabs>
            <w:ind w:left="420"/>
            <w:rPr>
              <w:highlight w:val="none"/>
            </w:rPr>
          </w:pPr>
          <w:r>
            <w:rPr>
              <w:highlight w:val="none"/>
            </w:rPr>
            <w:fldChar w:fldCharType="begin"/>
          </w:r>
          <w:r>
            <w:rPr>
              <w:highlight w:val="none"/>
            </w:rPr>
            <w:instrText xml:space="preserve"> HYPERLINK \l "_Toc28592" </w:instrText>
          </w:r>
          <w:r>
            <w:rPr>
              <w:highlight w:val="none"/>
            </w:rPr>
            <w:fldChar w:fldCharType="separate"/>
          </w:r>
          <w:r>
            <w:rPr>
              <w:rFonts w:hint="eastAsia" w:ascii="仿宋" w:hAnsi="仿宋" w:eastAsia="仿宋"/>
              <w:highlight w:val="none"/>
            </w:rPr>
            <w:t>十二、国有资本经营预算财政拨款支出决算表（此表无数据）</w:t>
          </w:r>
          <w:r>
            <w:rPr>
              <w:highlight w:val="none"/>
            </w:rPr>
            <w:tab/>
          </w:r>
          <w:r>
            <w:rPr>
              <w:highlight w:val="none"/>
            </w:rPr>
            <w:fldChar w:fldCharType="begin"/>
          </w:r>
          <w:r>
            <w:rPr>
              <w:highlight w:val="none"/>
            </w:rPr>
            <w:instrText xml:space="preserve"> PAGEREF _Toc28592 \h </w:instrText>
          </w:r>
          <w:r>
            <w:rPr>
              <w:highlight w:val="none"/>
            </w:rPr>
            <w:fldChar w:fldCharType="separate"/>
          </w:r>
          <w:r>
            <w:rPr>
              <w:highlight w:val="none"/>
            </w:rPr>
            <w:t>24</w:t>
          </w:r>
          <w:r>
            <w:rPr>
              <w:highlight w:val="none"/>
            </w:rPr>
            <w:fldChar w:fldCharType="end"/>
          </w:r>
          <w:r>
            <w:rPr>
              <w:highlight w:val="none"/>
            </w:rPr>
            <w:fldChar w:fldCharType="end"/>
          </w:r>
        </w:p>
        <w:p w14:paraId="6C014FE4">
          <w:pPr>
            <w:pStyle w:val="38"/>
            <w:tabs>
              <w:tab w:val="right" w:leader="dot" w:pos="8306"/>
            </w:tabs>
            <w:ind w:left="420"/>
            <w:rPr>
              <w:highlight w:val="none"/>
            </w:rPr>
          </w:pPr>
          <w:r>
            <w:rPr>
              <w:highlight w:val="none"/>
            </w:rPr>
            <w:fldChar w:fldCharType="begin"/>
          </w:r>
          <w:r>
            <w:rPr>
              <w:highlight w:val="none"/>
            </w:rPr>
            <w:instrText xml:space="preserve"> HYPERLINK \l "_Toc15153" </w:instrText>
          </w:r>
          <w:r>
            <w:rPr>
              <w:highlight w:val="none"/>
            </w:rPr>
            <w:fldChar w:fldCharType="separate"/>
          </w:r>
          <w:r>
            <w:rPr>
              <w:rFonts w:hint="eastAsia" w:ascii="仿宋" w:hAnsi="仿宋" w:eastAsia="仿宋"/>
              <w:highlight w:val="none"/>
            </w:rPr>
            <w:t>十三、财政拨款“三公”经费支出决算表</w:t>
          </w:r>
          <w:r>
            <w:rPr>
              <w:highlight w:val="none"/>
            </w:rPr>
            <w:tab/>
          </w:r>
          <w:r>
            <w:rPr>
              <w:highlight w:val="none"/>
            </w:rPr>
            <w:fldChar w:fldCharType="begin"/>
          </w:r>
          <w:r>
            <w:rPr>
              <w:highlight w:val="none"/>
            </w:rPr>
            <w:instrText xml:space="preserve"> PAGEREF _Toc15153 \h </w:instrText>
          </w:r>
          <w:r>
            <w:rPr>
              <w:highlight w:val="none"/>
            </w:rPr>
            <w:fldChar w:fldCharType="separate"/>
          </w:r>
          <w:r>
            <w:rPr>
              <w:highlight w:val="none"/>
            </w:rPr>
            <w:t>24</w:t>
          </w:r>
          <w:r>
            <w:rPr>
              <w:highlight w:val="none"/>
            </w:rPr>
            <w:fldChar w:fldCharType="end"/>
          </w:r>
          <w:r>
            <w:rPr>
              <w:highlight w:val="none"/>
            </w:rPr>
            <w:fldChar w:fldCharType="end"/>
          </w:r>
        </w:p>
        <w:p w14:paraId="0962D558">
          <w:pPr>
            <w:rPr>
              <w:highlight w:val="none"/>
            </w:rPr>
          </w:pPr>
          <w:r>
            <w:rPr>
              <w:b/>
              <w:highlight w:val="none"/>
            </w:rPr>
            <w:fldChar w:fldCharType="end"/>
          </w:r>
        </w:p>
      </w:sdtContent>
    </w:sdt>
    <w:p w14:paraId="2F9F39A8">
      <w:pPr>
        <w:pStyle w:val="5"/>
        <w:jc w:val="center"/>
        <w:rPr>
          <w:rStyle w:val="30"/>
          <w:rFonts w:ascii="黑体" w:hAnsi="黑体" w:eastAsia="黑体"/>
          <w:b/>
          <w:bCs w:val="0"/>
          <w:highlight w:val="none"/>
        </w:rPr>
      </w:pPr>
      <w:bookmarkStart w:id="16" w:name="_Toc14282"/>
      <w:r>
        <w:rPr>
          <w:rFonts w:hint="eastAsia" w:ascii="黑体" w:hAnsi="黑体" w:eastAsia="黑体"/>
          <w:b w:val="0"/>
          <w:highlight w:val="none"/>
        </w:rPr>
        <w:t>第一部分 单位</w:t>
      </w:r>
      <w:r>
        <w:rPr>
          <w:rStyle w:val="30"/>
          <w:rFonts w:hint="eastAsia" w:ascii="黑体" w:hAnsi="黑体" w:eastAsia="黑体"/>
          <w:b w:val="0"/>
          <w:bCs w:val="0"/>
          <w:highlight w:val="none"/>
        </w:rPr>
        <w:t>概况</w:t>
      </w:r>
      <w:bookmarkEnd w:id="14"/>
      <w:bookmarkEnd w:id="15"/>
      <w:bookmarkEnd w:id="16"/>
    </w:p>
    <w:p w14:paraId="0A73ADB6">
      <w:pPr>
        <w:pStyle w:val="6"/>
        <w:numPr>
          <w:ilvl w:val="0"/>
          <w:numId w:val="1"/>
        </w:numPr>
        <w:rPr>
          <w:rStyle w:val="31"/>
          <w:rFonts w:ascii="黑体" w:hAnsi="黑体" w:eastAsia="黑体"/>
          <w:b w:val="0"/>
          <w:bCs w:val="0"/>
          <w:highlight w:val="none"/>
        </w:rPr>
      </w:pPr>
      <w:bookmarkStart w:id="17" w:name="_Toc20834"/>
      <w:bookmarkStart w:id="18" w:name="_Toc15396600"/>
      <w:bookmarkStart w:id="19" w:name="_Toc15377197"/>
      <w:r>
        <w:rPr>
          <w:rStyle w:val="31"/>
          <w:rFonts w:hint="eastAsia" w:ascii="黑体" w:hAnsi="黑体" w:eastAsia="黑体"/>
          <w:b w:val="0"/>
          <w:bCs w:val="0"/>
          <w:highlight w:val="none"/>
        </w:rPr>
        <w:t>主要职责</w:t>
      </w:r>
      <w:bookmarkEnd w:id="17"/>
    </w:p>
    <w:p w14:paraId="12DBE42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贯彻执行国家有关交通运输行业的方针、政策和法律、法规，贯彻执行省地方性法规、规章、交通运输行业规划、政策和规范性文件。组织拟订并监督实施公路、水路等行业发展战略、政策，会同有关部门组织编制综合运输体系规划。</w:t>
      </w:r>
    </w:p>
    <w:p w14:paraId="18CB84A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（2）负责本系统、本部门依法行政工作，落实行政执法责任制；指导公路、水路行业有关体制改革和机制转换工作；参与拟定物流业发展战略和规划。</w:t>
      </w:r>
    </w:p>
    <w:p w14:paraId="52ABE8A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（3）承担道路、水路交通运输市场监管责任，组织实施并监督执行道路、水路运输有关政策、技术标准和运营规范；指导城乡客运管理工作，指导出租车行业管理工作；会同有关部门制定运价。</w:t>
      </w:r>
    </w:p>
    <w:p w14:paraId="28086805">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和参与事故调查处理工作。</w:t>
      </w:r>
    </w:p>
    <w:p w14:paraId="658B412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（5）负责提出公路、水路固定资产投资规模和方向、市财政资金安排建议，按照程序报批国家、省、市规划内和年度计划规模内固定资产投资项目。指导交通运输行业审计工作。</w:t>
      </w:r>
    </w:p>
    <w:p w14:paraId="2A4EB3D5">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承担公路、水路建设市场监管工作。组织实施并监督执行公路、水路工程建设相关政策、制度、技术标准，组织协调公路、水路有关重点工程建设，负责工程质量、安全生产监督管理工作；负责对交通行业和产业项目的招投标活动进行监督、指导；指导交通运输基础设施管理和维护，承担有关重要设施的管理和维护；按规定负责港口规划和港口岸线管理工作，指导交通运输行业特许经营管理，会同有关部门组织实施交通运输行业职业资格管理工作。</w:t>
      </w:r>
    </w:p>
    <w:p w14:paraId="2855BD3C">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指导公路、水路行业安全生产和应急管理工作。按规定组织协调国家、省、市重点物资、危险货物运输和紧急客货运输，负责全市干线路网运行监测和协调；组织协调地方交通战备工作，承担国防动员有关工作。</w:t>
      </w:r>
    </w:p>
    <w:p w14:paraId="7C496BE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承担交通运输科技项目开发和研究的组织实施工作，负责交通运输科研成果的推广、应用工作。指导全市交通运输信息化建设，监测分析运行情况，开展相关统计工作，发布有关信息。指导公路、水路行业环境保护和节能减排工作。</w:t>
      </w:r>
    </w:p>
    <w:p w14:paraId="27BC82B6">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（9）负责公路、水路有关涉外工作，开展经济技术交流和合作，指导全市交通运输行业招商引资和利用外部资金工作。</w:t>
      </w:r>
    </w:p>
    <w:p w14:paraId="05EF5038">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（10）承担市政府公布的有关行政审批事项。</w:t>
      </w:r>
    </w:p>
    <w:p w14:paraId="48E52E7D">
      <w:pPr>
        <w:ind w:firstLine="640" w:firstLineChars="200"/>
        <w:rPr>
          <w:highlight w:val="none"/>
        </w:rPr>
      </w:pPr>
      <w:r>
        <w:rPr>
          <w:rFonts w:hint="eastAsia" w:ascii="仿宋_GB2312" w:hAnsi="仿宋_GB2312" w:eastAsia="仿宋_GB2312" w:cs="仿宋_GB2312"/>
          <w:sz w:val="32"/>
          <w:szCs w:val="32"/>
          <w:highlight w:val="none"/>
        </w:rPr>
        <w:t>（11）承办市政府交办的其他事项</w:t>
      </w:r>
    </w:p>
    <w:p w14:paraId="1B354974">
      <w:pPr>
        <w:pStyle w:val="6"/>
        <w:rPr>
          <w:rFonts w:ascii="黑体" w:hAnsi="黑体" w:eastAsia="黑体"/>
          <w:b w:val="0"/>
          <w:highlight w:val="none"/>
        </w:rPr>
      </w:pPr>
      <w:bookmarkStart w:id="20" w:name="_Toc10419"/>
      <w:r>
        <w:rPr>
          <w:rFonts w:hint="eastAsia" w:ascii="黑体" w:hAnsi="黑体" w:eastAsia="黑体"/>
          <w:b w:val="0"/>
          <w:highlight w:val="none"/>
        </w:rPr>
        <w:t>二、机构设置</w:t>
      </w:r>
      <w:bookmarkEnd w:id="20"/>
    </w:p>
    <w:bookmarkEnd w:id="18"/>
    <w:bookmarkEnd w:id="19"/>
    <w:p w14:paraId="664FAB06">
      <w:pPr>
        <w:widowControl/>
        <w:ind w:firstLine="640" w:firstLineChars="200"/>
        <w:jc w:val="left"/>
        <w:rPr>
          <w:rFonts w:ascii="仿宋" w:hAnsi="仿宋" w:eastAsia="仿宋"/>
          <w:kern w:val="0"/>
          <w:sz w:val="32"/>
          <w:szCs w:val="32"/>
          <w:highlight w:val="none"/>
        </w:rPr>
      </w:pPr>
      <w:r>
        <w:rPr>
          <w:rFonts w:hint="eastAsia" w:ascii="仿宋_GB2312" w:hAnsi="仿宋_GB2312" w:eastAsia="仿宋_GB2312" w:cs="仿宋_GB2312"/>
          <w:sz w:val="32"/>
          <w:szCs w:val="32"/>
          <w:highlight w:val="none"/>
        </w:rPr>
        <w:t>内设科室16个，包括办公室、政策研究室、综合规划科、发展促进科、建设管理科、公路管理科、农村公路建设指导科、道路运输管理科、水运管理科、安全与环保监督科、科技和信息化科、法规科、行政审批科、财务审计科、干部人事科、组织宣传科。</w:t>
      </w:r>
      <w:r>
        <w:rPr>
          <w:rFonts w:ascii="仿宋" w:hAnsi="仿宋" w:eastAsia="仿宋"/>
          <w:sz w:val="32"/>
          <w:szCs w:val="32"/>
          <w:highlight w:val="none"/>
        </w:rPr>
        <w:br w:type="page"/>
      </w:r>
    </w:p>
    <w:p w14:paraId="1960F4C0">
      <w:pPr>
        <w:pStyle w:val="5"/>
        <w:ind w:right="440"/>
        <w:jc w:val="center"/>
        <w:rPr>
          <w:rStyle w:val="30"/>
          <w:rFonts w:ascii="黑体" w:hAnsi="黑体" w:eastAsia="黑体"/>
          <w:b w:val="0"/>
          <w:bCs/>
          <w:highlight w:val="none"/>
        </w:rPr>
      </w:pPr>
      <w:bookmarkStart w:id="21" w:name="_Toc16484"/>
      <w:bookmarkStart w:id="22" w:name="_Toc15377204"/>
      <w:bookmarkStart w:id="23" w:name="_Toc15396602"/>
      <w:r>
        <w:rPr>
          <w:rFonts w:hint="eastAsia" w:ascii="黑体" w:hAnsi="黑体" w:eastAsia="黑体"/>
          <w:b w:val="0"/>
          <w:highlight w:val="none"/>
        </w:rPr>
        <w:t>第二部分 2025年度</w:t>
      </w:r>
      <w:r>
        <w:rPr>
          <w:rStyle w:val="30"/>
          <w:rFonts w:hint="eastAsia" w:ascii="黑体" w:hAnsi="黑体" w:eastAsia="黑体"/>
          <w:b w:val="0"/>
          <w:bCs/>
          <w:highlight w:val="none"/>
        </w:rPr>
        <w:t>单位决算情况说明</w:t>
      </w:r>
      <w:bookmarkEnd w:id="21"/>
      <w:bookmarkEnd w:id="22"/>
      <w:bookmarkEnd w:id="23"/>
    </w:p>
    <w:p w14:paraId="379A2EFC">
      <w:pPr>
        <w:rPr>
          <w:highlight w:val="none"/>
        </w:rPr>
      </w:pPr>
    </w:p>
    <w:p w14:paraId="31094D18">
      <w:pPr>
        <w:pStyle w:val="29"/>
        <w:numPr>
          <w:ilvl w:val="0"/>
          <w:numId w:val="2"/>
        </w:numPr>
        <w:spacing w:line="600" w:lineRule="exact"/>
        <w:ind w:firstLineChars="0"/>
        <w:outlineLvl w:val="1"/>
        <w:rPr>
          <w:rStyle w:val="31"/>
          <w:rFonts w:ascii="黑体" w:hAnsi="黑体" w:eastAsia="黑体"/>
          <w:b w:val="0"/>
          <w:highlight w:val="none"/>
        </w:rPr>
      </w:pPr>
      <w:bookmarkStart w:id="24" w:name="_Toc15377205"/>
      <w:bookmarkStart w:id="25" w:name="_Toc15396603"/>
      <w:bookmarkStart w:id="26" w:name="_Toc17048"/>
      <w:r>
        <w:rPr>
          <w:rFonts w:hint="eastAsia" w:ascii="黑体" w:hAnsi="黑体" w:eastAsia="黑体"/>
          <w:sz w:val="32"/>
          <w:szCs w:val="32"/>
          <w:highlight w:val="none"/>
        </w:rPr>
        <w:t>收</w:t>
      </w:r>
      <w:r>
        <w:rPr>
          <w:rStyle w:val="31"/>
          <w:rFonts w:hint="eastAsia" w:ascii="黑体" w:hAnsi="黑体" w:eastAsia="黑体"/>
          <w:b w:val="0"/>
          <w:highlight w:val="none"/>
        </w:rPr>
        <w:t>入支出决算总体情况说明</w:t>
      </w:r>
      <w:bookmarkEnd w:id="24"/>
      <w:bookmarkEnd w:id="25"/>
      <w:bookmarkEnd w:id="26"/>
    </w:p>
    <w:p w14:paraId="4CDF5980">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2025年度收入、支出总计均为37372.01万元。与2024年度相比，收、支总计各增加9531.05万元，增长34.2%。主要变动原因是项目支出增加。</w:t>
      </w:r>
    </w:p>
    <w:p w14:paraId="2F795DCA">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（图1：收、支决算总计变动情况图）</w:t>
      </w:r>
    </w:p>
    <w:p w14:paraId="5E0FE380">
      <w:pPr>
        <w:spacing w:line="600" w:lineRule="exact"/>
        <w:ind w:firstLine="640" w:firstLineChars="200"/>
        <w:jc w:val="left"/>
        <w:rPr>
          <w:rFonts w:ascii="仿宋_GB2312" w:eastAsia="仿宋_GB2312"/>
          <w:sz w:val="32"/>
          <w:szCs w:val="32"/>
          <w:highlight w:val="none"/>
        </w:rPr>
      </w:pPr>
      <w:r>
        <w:rPr>
          <w:rFonts w:hint="eastAsia" w:ascii="仿宋_GB2312" w:hAnsi="仿宋_GB2312" w:eastAsia="仿宋_GB2312" w:cs="仿宋_GB2312"/>
          <w:sz w:val="32"/>
          <w:szCs w:val="32"/>
          <w:highlight w:val="none"/>
        </w:rPr>
        <w:drawing>
          <wp:anchor distT="0" distB="0" distL="114300" distR="114300" simplePos="0" relativeHeight="251659264" behindDoc="1" locked="0" layoutInCell="1" allowOverlap="1">
            <wp:simplePos x="0" y="0"/>
            <wp:positionH relativeFrom="column">
              <wp:posOffset>226695</wp:posOffset>
            </wp:positionH>
            <wp:positionV relativeFrom="paragraph">
              <wp:posOffset>114300</wp:posOffset>
            </wp:positionV>
            <wp:extent cx="4480560" cy="3066415"/>
            <wp:effectExtent l="4445" t="5080" r="10795" b="14605"/>
            <wp:wrapTight wrapText="bothSides">
              <wp:wrapPolygon>
                <wp:start x="-21" y="-36"/>
                <wp:lineTo x="-21" y="21434"/>
                <wp:lineTo x="21560" y="21434"/>
                <wp:lineTo x="21560" y="-36"/>
                <wp:lineTo x="-21" y="-36"/>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22978C87">
      <w:pPr>
        <w:pStyle w:val="29"/>
        <w:numPr>
          <w:ilvl w:val="0"/>
          <w:numId w:val="2"/>
        </w:numPr>
        <w:spacing w:line="600" w:lineRule="exact"/>
        <w:ind w:firstLineChars="0"/>
        <w:outlineLvl w:val="1"/>
        <w:rPr>
          <w:rStyle w:val="31"/>
          <w:rFonts w:ascii="黑体" w:hAnsi="黑体" w:eastAsia="黑体"/>
          <w:b w:val="0"/>
          <w:highlight w:val="none"/>
        </w:rPr>
      </w:pPr>
      <w:bookmarkStart w:id="27" w:name="_Toc15396604"/>
      <w:bookmarkStart w:id="28" w:name="_Toc15377206"/>
      <w:bookmarkStart w:id="29" w:name="_Toc14740"/>
      <w:r>
        <w:rPr>
          <w:rFonts w:hint="eastAsia" w:ascii="黑体" w:hAnsi="黑体" w:eastAsia="黑体"/>
          <w:sz w:val="32"/>
          <w:szCs w:val="32"/>
          <w:highlight w:val="none"/>
        </w:rPr>
        <w:t>收</w:t>
      </w:r>
      <w:r>
        <w:rPr>
          <w:rStyle w:val="31"/>
          <w:rFonts w:hint="eastAsia" w:ascii="黑体" w:hAnsi="黑体" w:eastAsia="黑体"/>
          <w:b w:val="0"/>
          <w:highlight w:val="none"/>
        </w:rPr>
        <w:t>入决算情况说明</w:t>
      </w:r>
      <w:bookmarkEnd w:id="27"/>
      <w:bookmarkEnd w:id="28"/>
      <w:bookmarkEnd w:id="29"/>
    </w:p>
    <w:p w14:paraId="2AF6E784">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本年收入合计37372.01万元，其中：一般公共预算财政拨款收入16882.59万元，占45.2%；政府性基金预算财政拨款收入20489.43万元，占54.8%；国有资本经营预算财政拨款收入0万元，占0%；上级补助收入0万元，占0%；事业收入0万元，占0%；经营收入0万元，占0%；附属单位上缴收入0万元，占0%；其他收入0万元，占0%。（图2：收入决算结构图）</w:t>
      </w:r>
    </w:p>
    <w:p w14:paraId="5D1C8FF0">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drawing>
          <wp:anchor distT="0" distB="0" distL="114300" distR="114300" simplePos="0" relativeHeight="251660288" behindDoc="1" locked="0" layoutInCell="1" allowOverlap="1">
            <wp:simplePos x="0" y="0"/>
            <wp:positionH relativeFrom="column">
              <wp:posOffset>480060</wp:posOffset>
            </wp:positionH>
            <wp:positionV relativeFrom="paragraph">
              <wp:posOffset>128905</wp:posOffset>
            </wp:positionV>
            <wp:extent cx="3970655" cy="3219450"/>
            <wp:effectExtent l="4445" t="5080" r="6350" b="13970"/>
            <wp:wrapTight wrapText="bothSides">
              <wp:wrapPolygon>
                <wp:start x="-24" y="-34"/>
                <wp:lineTo x="-24" y="21566"/>
                <wp:lineTo x="21531" y="21566"/>
                <wp:lineTo x="21531" y="-34"/>
                <wp:lineTo x="-24" y="-34"/>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2BCAD3FD">
      <w:pPr>
        <w:pStyle w:val="29"/>
        <w:numPr>
          <w:ilvl w:val="0"/>
          <w:numId w:val="2"/>
        </w:numPr>
        <w:spacing w:line="600" w:lineRule="exact"/>
        <w:ind w:firstLineChars="0"/>
        <w:outlineLvl w:val="1"/>
        <w:rPr>
          <w:rStyle w:val="31"/>
          <w:rFonts w:ascii="黑体" w:hAnsi="黑体" w:eastAsia="黑体"/>
          <w:b w:val="0"/>
          <w:highlight w:val="none"/>
        </w:rPr>
      </w:pPr>
      <w:bookmarkStart w:id="30" w:name="_Toc15377207"/>
      <w:bookmarkStart w:id="31" w:name="_Toc15396605"/>
      <w:bookmarkStart w:id="32" w:name="_Toc502"/>
      <w:r>
        <w:rPr>
          <w:rFonts w:hint="eastAsia" w:ascii="黑体" w:hAnsi="黑体" w:eastAsia="黑体"/>
          <w:sz w:val="32"/>
          <w:szCs w:val="32"/>
          <w:highlight w:val="none"/>
        </w:rPr>
        <w:t>支</w:t>
      </w:r>
      <w:r>
        <w:rPr>
          <w:rStyle w:val="31"/>
          <w:rFonts w:hint="eastAsia" w:ascii="黑体" w:hAnsi="黑体" w:eastAsia="黑体"/>
          <w:b w:val="0"/>
          <w:highlight w:val="none"/>
        </w:rPr>
        <w:t>出决算情况说明</w:t>
      </w:r>
      <w:bookmarkEnd w:id="30"/>
      <w:bookmarkEnd w:id="31"/>
      <w:bookmarkEnd w:id="32"/>
    </w:p>
    <w:p w14:paraId="1F3356AC">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2025年度本年支出合计37372.01万元，其中：基本支出1482.72万元，占4%；项目支出35889.29万元，占96%；上缴上级支出0万元，占0%；经营支出0万元，占0%；对附属单位补助支出0万元，占0%。（图3：支出决算结构图）</w:t>
      </w:r>
    </w:p>
    <w:p w14:paraId="0F90BC16">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drawing>
          <wp:anchor distT="0" distB="0" distL="114300" distR="114300" simplePos="0" relativeHeight="251661312" behindDoc="1" locked="0" layoutInCell="1" allowOverlap="1">
            <wp:simplePos x="0" y="0"/>
            <wp:positionH relativeFrom="column">
              <wp:posOffset>537845</wp:posOffset>
            </wp:positionH>
            <wp:positionV relativeFrom="paragraph">
              <wp:posOffset>108585</wp:posOffset>
            </wp:positionV>
            <wp:extent cx="3964940" cy="2721610"/>
            <wp:effectExtent l="4445" t="4445" r="12065" b="74295"/>
            <wp:wrapTight wrapText="bothSides">
              <wp:wrapPolygon>
                <wp:start x="-24" y="-35"/>
                <wp:lineTo x="-24" y="21434"/>
                <wp:lineTo x="21562" y="21434"/>
                <wp:lineTo x="21562" y="-35"/>
                <wp:lineTo x="-24" y="-35"/>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E8C42ED">
      <w:pPr>
        <w:spacing w:line="600" w:lineRule="exact"/>
        <w:ind w:firstLine="640" w:firstLineChars="200"/>
        <w:rPr>
          <w:rFonts w:ascii="仿宋_GB2312" w:hAnsi="仿宋_GB2312" w:eastAsia="仿宋_GB2312" w:cs="仿宋_GB2312"/>
          <w:sz w:val="32"/>
          <w:szCs w:val="32"/>
          <w:highlight w:val="none"/>
        </w:rPr>
      </w:pPr>
      <w:bookmarkStart w:id="33" w:name="_Toc15396606"/>
      <w:bookmarkStart w:id="34" w:name="_Toc15377208"/>
    </w:p>
    <w:p w14:paraId="25F05B03">
      <w:pPr>
        <w:spacing w:line="600" w:lineRule="exact"/>
        <w:ind w:firstLine="640" w:firstLineChars="200"/>
        <w:rPr>
          <w:rFonts w:ascii="黑体" w:hAnsi="黑体" w:eastAsia="黑体"/>
          <w:sz w:val="32"/>
          <w:szCs w:val="32"/>
          <w:highlight w:val="none"/>
        </w:rPr>
      </w:pPr>
    </w:p>
    <w:p w14:paraId="10E03E8F">
      <w:pPr>
        <w:spacing w:line="600" w:lineRule="exact"/>
        <w:ind w:firstLine="640" w:firstLineChars="200"/>
        <w:rPr>
          <w:rFonts w:ascii="黑体" w:hAnsi="黑体" w:eastAsia="黑体"/>
          <w:sz w:val="32"/>
          <w:szCs w:val="32"/>
          <w:highlight w:val="none"/>
        </w:rPr>
      </w:pPr>
    </w:p>
    <w:p w14:paraId="05CCBDD5">
      <w:pPr>
        <w:spacing w:line="600" w:lineRule="exact"/>
        <w:ind w:firstLine="640" w:firstLineChars="200"/>
        <w:rPr>
          <w:rFonts w:ascii="黑体" w:hAnsi="黑体" w:eastAsia="黑体"/>
          <w:sz w:val="32"/>
          <w:szCs w:val="32"/>
          <w:highlight w:val="none"/>
        </w:rPr>
      </w:pPr>
    </w:p>
    <w:p w14:paraId="1A9B4B9B">
      <w:pPr>
        <w:spacing w:line="600" w:lineRule="exact"/>
        <w:ind w:firstLine="640" w:firstLineChars="200"/>
        <w:rPr>
          <w:rFonts w:ascii="黑体" w:hAnsi="黑体" w:eastAsia="黑体"/>
          <w:sz w:val="32"/>
          <w:szCs w:val="32"/>
          <w:highlight w:val="none"/>
        </w:rPr>
      </w:pPr>
    </w:p>
    <w:p w14:paraId="52B027C3">
      <w:pPr>
        <w:spacing w:line="600" w:lineRule="exact"/>
        <w:ind w:firstLine="640" w:firstLineChars="200"/>
        <w:rPr>
          <w:rFonts w:ascii="黑体" w:hAnsi="黑体" w:eastAsia="黑体"/>
          <w:sz w:val="32"/>
          <w:szCs w:val="32"/>
          <w:highlight w:val="none"/>
        </w:rPr>
      </w:pPr>
    </w:p>
    <w:p w14:paraId="4AF2555B">
      <w:pPr>
        <w:spacing w:line="600" w:lineRule="exact"/>
        <w:ind w:firstLine="640" w:firstLineChars="200"/>
        <w:rPr>
          <w:rFonts w:ascii="黑体" w:hAnsi="黑体" w:eastAsia="黑体"/>
          <w:sz w:val="32"/>
          <w:szCs w:val="32"/>
          <w:highlight w:val="none"/>
        </w:rPr>
      </w:pPr>
    </w:p>
    <w:p w14:paraId="4DC16504">
      <w:pPr>
        <w:spacing w:line="600" w:lineRule="exact"/>
        <w:ind w:firstLine="640" w:firstLineChars="200"/>
        <w:outlineLvl w:val="1"/>
        <w:rPr>
          <w:rStyle w:val="31"/>
          <w:rFonts w:ascii="黑体" w:hAnsi="黑体" w:eastAsia="黑体"/>
          <w:b w:val="0"/>
          <w:highlight w:val="none"/>
        </w:rPr>
      </w:pPr>
      <w:bookmarkStart w:id="35" w:name="_Toc14088"/>
      <w:r>
        <w:rPr>
          <w:rFonts w:hint="eastAsia" w:ascii="黑体" w:hAnsi="黑体" w:eastAsia="黑体"/>
          <w:sz w:val="32"/>
          <w:szCs w:val="32"/>
          <w:highlight w:val="none"/>
        </w:rPr>
        <w:t>四、财</w:t>
      </w:r>
      <w:r>
        <w:rPr>
          <w:rStyle w:val="31"/>
          <w:rFonts w:hint="eastAsia" w:ascii="黑体" w:hAnsi="黑体" w:eastAsia="黑体"/>
          <w:b w:val="0"/>
          <w:highlight w:val="none"/>
        </w:rPr>
        <w:t>政拨款收入支出决算总体情况说明</w:t>
      </w:r>
      <w:bookmarkEnd w:id="33"/>
      <w:bookmarkEnd w:id="34"/>
      <w:bookmarkEnd w:id="35"/>
    </w:p>
    <w:p w14:paraId="0F4D25F2">
      <w:pPr>
        <w:spacing w:line="60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2025年度财政拨款收入、支出总计均为37372.01万元。与2024年度相比，财政拨款收入总计、支出总计各增加9531.05万元，增长34.2%。主要变动原因是项目支出增加。</w:t>
      </w:r>
    </w:p>
    <w:p w14:paraId="1DB56013">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drawing>
          <wp:anchor distT="0" distB="0" distL="114300" distR="114300" simplePos="0" relativeHeight="251662336" behindDoc="1" locked="0" layoutInCell="1" allowOverlap="1">
            <wp:simplePos x="0" y="0"/>
            <wp:positionH relativeFrom="column">
              <wp:posOffset>220345</wp:posOffset>
            </wp:positionH>
            <wp:positionV relativeFrom="paragraph">
              <wp:posOffset>550545</wp:posOffset>
            </wp:positionV>
            <wp:extent cx="4994910" cy="3343910"/>
            <wp:effectExtent l="4445" t="4445" r="10795" b="23495"/>
            <wp:wrapTight wrapText="bothSides">
              <wp:wrapPolygon>
                <wp:start x="-19" y="-29"/>
                <wp:lineTo x="-19" y="21506"/>
                <wp:lineTo x="21564" y="21506"/>
                <wp:lineTo x="21564" y="-29"/>
                <wp:lineTo x="-19" y="-29"/>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_GB2312" w:hAnsi="仿宋_GB2312" w:eastAsia="仿宋_GB2312" w:cs="仿宋_GB2312"/>
          <w:sz w:val="32"/>
          <w:szCs w:val="32"/>
          <w:highlight w:val="none"/>
        </w:rPr>
        <w:t>（图4：财政拨款收、支决算总计变动情况）</w:t>
      </w:r>
    </w:p>
    <w:p w14:paraId="5233845B">
      <w:pPr>
        <w:spacing w:line="600" w:lineRule="exact"/>
        <w:ind w:firstLine="640"/>
        <w:rPr>
          <w:rFonts w:ascii="仿宋" w:hAnsi="仿宋" w:eastAsia="仿宋"/>
          <w:b/>
          <w:sz w:val="32"/>
          <w:szCs w:val="32"/>
          <w:highlight w:val="none"/>
        </w:rPr>
      </w:pPr>
    </w:p>
    <w:p w14:paraId="1D696D87">
      <w:pPr>
        <w:spacing w:line="600" w:lineRule="exact"/>
        <w:ind w:firstLine="640" w:firstLineChars="200"/>
        <w:outlineLvl w:val="1"/>
        <w:rPr>
          <w:rStyle w:val="31"/>
          <w:rFonts w:ascii="黑体" w:hAnsi="黑体" w:eastAsia="黑体"/>
          <w:b w:val="0"/>
          <w:highlight w:val="none"/>
        </w:rPr>
      </w:pPr>
      <w:bookmarkStart w:id="36" w:name="_Toc15396607"/>
      <w:bookmarkStart w:id="37" w:name="_Toc15377209"/>
      <w:bookmarkStart w:id="38" w:name="_Toc31766"/>
      <w:r>
        <w:rPr>
          <w:rFonts w:hint="eastAsia" w:ascii="黑体" w:hAnsi="黑体" w:eastAsia="黑体"/>
          <w:sz w:val="32"/>
          <w:szCs w:val="32"/>
          <w:highlight w:val="none"/>
        </w:rPr>
        <w:t>五、</w:t>
      </w:r>
      <w:r>
        <w:rPr>
          <w:rFonts w:hint="eastAsia" w:ascii="黑体" w:hAnsi="黑体" w:eastAsia="黑体"/>
          <w:b/>
          <w:sz w:val="32"/>
          <w:szCs w:val="32"/>
          <w:highlight w:val="none"/>
        </w:rPr>
        <w:t>一</w:t>
      </w:r>
      <w:r>
        <w:rPr>
          <w:rStyle w:val="31"/>
          <w:rFonts w:hint="eastAsia" w:ascii="黑体" w:hAnsi="黑体" w:eastAsia="黑体"/>
          <w:b w:val="0"/>
          <w:highlight w:val="none"/>
        </w:rPr>
        <w:t>般公共预算财政拨款支出决算情况说明</w:t>
      </w:r>
      <w:bookmarkEnd w:id="36"/>
      <w:bookmarkEnd w:id="37"/>
      <w:bookmarkEnd w:id="38"/>
    </w:p>
    <w:p w14:paraId="709B9F0B">
      <w:pPr>
        <w:spacing w:line="600" w:lineRule="exact"/>
        <w:ind w:firstLine="643" w:firstLineChars="200"/>
        <w:outlineLvl w:val="2"/>
        <w:rPr>
          <w:rFonts w:ascii="仿宋" w:hAnsi="仿宋" w:eastAsia="仿宋"/>
          <w:b/>
          <w:sz w:val="32"/>
          <w:szCs w:val="32"/>
          <w:highlight w:val="none"/>
        </w:rPr>
      </w:pPr>
      <w:bookmarkStart w:id="39" w:name="_Toc15377210"/>
      <w:r>
        <w:rPr>
          <w:rFonts w:hint="eastAsia" w:ascii="仿宋" w:hAnsi="仿宋" w:eastAsia="仿宋"/>
          <w:b/>
          <w:sz w:val="32"/>
          <w:szCs w:val="32"/>
          <w:highlight w:val="none"/>
        </w:rPr>
        <w:t>（一）一般公共预算财政拨款支出决算总体情况</w:t>
      </w:r>
      <w:bookmarkEnd w:id="39"/>
    </w:p>
    <w:p w14:paraId="1D316262">
      <w:pPr>
        <w:spacing w:line="600" w:lineRule="exact"/>
        <w:ind w:firstLine="640"/>
        <w:rPr>
          <w:rFonts w:eastAsia="仿宋_GB2312" w:cs="仿宋_GB2312"/>
          <w:sz w:val="32"/>
          <w:szCs w:val="32"/>
          <w:highlight w:val="none"/>
        </w:rPr>
      </w:pPr>
      <w:r>
        <w:rPr>
          <w:rFonts w:hint="eastAsia" w:ascii="仿宋_GB2312" w:hAnsi="仿宋_GB2312" w:eastAsia="仿宋_GB2312" w:cs="仿宋_GB2312"/>
          <w:sz w:val="32"/>
          <w:szCs w:val="32"/>
          <w:highlight w:val="none"/>
        </w:rPr>
        <w:t>2025年度一般公共预算财政拨款支出16882.59万元，占本年支出合计的45.2%。与2024年度相比，一般公共预算财政拨款支出增加6158.12万元，增长57.</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%。主要变动原因是项目支出增加。</w:t>
      </w:r>
    </w:p>
    <w:p w14:paraId="0A9806F9">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（图5：一般公共预算财政拨款支出决算变动情况）</w:t>
      </w:r>
    </w:p>
    <w:p w14:paraId="055028DF">
      <w:pPr>
        <w:spacing w:line="600" w:lineRule="exact"/>
        <w:ind w:firstLine="643" w:firstLineChars="200"/>
        <w:rPr>
          <w:rFonts w:ascii="仿宋" w:hAnsi="仿宋" w:eastAsia="仿宋"/>
          <w:b/>
          <w:sz w:val="32"/>
          <w:szCs w:val="32"/>
          <w:highlight w:val="none"/>
        </w:rPr>
      </w:pPr>
      <w:bookmarkStart w:id="40" w:name="_Toc15377211"/>
    </w:p>
    <w:p w14:paraId="4F1846E6">
      <w:pPr>
        <w:spacing w:line="600" w:lineRule="exact"/>
        <w:ind w:firstLine="640" w:firstLineChars="200"/>
        <w:outlineLvl w:val="2"/>
        <w:rPr>
          <w:rFonts w:hint="eastAsia" w:ascii="仿宋" w:hAnsi="仿宋" w:eastAsia="仿宋"/>
          <w:b/>
          <w:sz w:val="32"/>
          <w:szCs w:val="32"/>
          <w:highlight w:val="none"/>
        </w:rPr>
      </w:pPr>
      <w:r>
        <w:rPr>
          <w:rFonts w:hint="eastAsia" w:hAnsi="仿宋_GB2312" w:cs="仿宋_GB2312"/>
          <w:sz w:val="32"/>
          <w:szCs w:val="32"/>
          <w:highlight w:val="none"/>
        </w:rPr>
        <w:drawing>
          <wp:anchor distT="0" distB="0" distL="114300" distR="114300" simplePos="0" relativeHeight="251664384" behindDoc="1" locked="0" layoutInCell="1" allowOverlap="1">
            <wp:simplePos x="0" y="0"/>
            <wp:positionH relativeFrom="column">
              <wp:posOffset>149860</wp:posOffset>
            </wp:positionH>
            <wp:positionV relativeFrom="paragraph">
              <wp:posOffset>50800</wp:posOffset>
            </wp:positionV>
            <wp:extent cx="4834890" cy="2893060"/>
            <wp:effectExtent l="4445" t="4445" r="18415" b="17145"/>
            <wp:wrapTight wrapText="bothSides">
              <wp:wrapPolygon>
                <wp:start x="-20" y="-33"/>
                <wp:lineTo x="-20" y="21444"/>
                <wp:lineTo x="21512" y="21444"/>
                <wp:lineTo x="21512" y="-33"/>
                <wp:lineTo x="-20" y="-33"/>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6E40172">
      <w:pPr>
        <w:spacing w:line="600" w:lineRule="exact"/>
        <w:ind w:firstLine="643" w:firstLineChars="200"/>
        <w:outlineLvl w:val="2"/>
        <w:rPr>
          <w:rFonts w:hint="eastAsia" w:ascii="仿宋" w:hAnsi="仿宋" w:eastAsia="仿宋"/>
          <w:b/>
          <w:sz w:val="32"/>
          <w:szCs w:val="32"/>
          <w:highlight w:val="none"/>
        </w:rPr>
      </w:pPr>
    </w:p>
    <w:p w14:paraId="26338D22">
      <w:pPr>
        <w:spacing w:line="600" w:lineRule="exact"/>
        <w:ind w:firstLine="643" w:firstLineChars="200"/>
        <w:outlineLvl w:val="2"/>
        <w:rPr>
          <w:rFonts w:hint="eastAsia" w:ascii="仿宋" w:hAnsi="仿宋" w:eastAsia="仿宋"/>
          <w:b/>
          <w:sz w:val="32"/>
          <w:szCs w:val="32"/>
          <w:highlight w:val="none"/>
        </w:rPr>
      </w:pPr>
    </w:p>
    <w:p w14:paraId="22DA6268">
      <w:pPr>
        <w:pStyle w:val="2"/>
        <w:rPr>
          <w:rFonts w:hint="eastAsia" w:ascii="仿宋" w:hAnsi="仿宋" w:eastAsia="仿宋"/>
          <w:b/>
          <w:sz w:val="32"/>
          <w:szCs w:val="32"/>
          <w:highlight w:val="none"/>
        </w:rPr>
      </w:pPr>
    </w:p>
    <w:p w14:paraId="1F9B82D8">
      <w:pPr>
        <w:pStyle w:val="3"/>
        <w:rPr>
          <w:rFonts w:hint="eastAsia"/>
          <w:highlight w:val="none"/>
        </w:rPr>
      </w:pPr>
    </w:p>
    <w:p w14:paraId="6F3C9F24">
      <w:pPr>
        <w:spacing w:line="600" w:lineRule="exact"/>
        <w:ind w:firstLine="643" w:firstLineChars="200"/>
        <w:outlineLvl w:val="2"/>
        <w:rPr>
          <w:rFonts w:ascii="仿宋" w:hAnsi="仿宋" w:eastAsia="仿宋"/>
          <w:b/>
          <w:sz w:val="32"/>
          <w:szCs w:val="32"/>
          <w:highlight w:val="none"/>
        </w:rPr>
      </w:pPr>
      <w:r>
        <w:rPr>
          <w:rFonts w:hint="eastAsia" w:ascii="仿宋" w:hAnsi="仿宋" w:eastAsia="仿宋"/>
          <w:b/>
          <w:sz w:val="32"/>
          <w:szCs w:val="32"/>
          <w:highlight w:val="none"/>
        </w:rPr>
        <w:t>（二）一般公共预算财政拨款支出决算结构情况</w:t>
      </w:r>
      <w:bookmarkEnd w:id="40"/>
    </w:p>
    <w:p w14:paraId="03B227C3">
      <w:pPr>
        <w:spacing w:line="600" w:lineRule="exact"/>
        <w:ind w:firstLine="640"/>
        <w:rPr>
          <w:rFonts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rPr>
        <w:t>2025年度一般公共预算财政拨款支出16882.59万元，主要用于以下方面:</w:t>
      </w:r>
      <w:r>
        <w:rPr>
          <w:rFonts w:hint="eastAsia" w:ascii="仿宋_GB2312" w:hAnsi="仿宋_GB2312" w:eastAsia="仿宋_GB2312" w:cs="仿宋_GB2312"/>
          <w:b/>
          <w:sz w:val="32"/>
          <w:szCs w:val="32"/>
          <w:highlight w:val="none"/>
        </w:rPr>
        <w:t>一般公共服务</w:t>
      </w:r>
      <w:r>
        <w:rPr>
          <w:rFonts w:hint="eastAsia" w:ascii="仿宋_GB2312" w:hAnsi="仿宋_GB2312" w:eastAsia="仿宋_GB2312" w:cs="仿宋_GB2312"/>
          <w:b/>
          <w:bCs/>
          <w:sz w:val="32"/>
          <w:szCs w:val="32"/>
          <w:highlight w:val="none"/>
        </w:rPr>
        <w:t>支出</w:t>
      </w:r>
      <w:r>
        <w:rPr>
          <w:rFonts w:hint="eastAsia" w:ascii="仿宋_GB2312" w:hAnsi="仿宋_GB2312" w:eastAsia="仿宋_GB2312" w:cs="仿宋_GB2312"/>
          <w:sz w:val="32"/>
          <w:szCs w:val="32"/>
          <w:highlight w:val="none"/>
        </w:rPr>
        <w:t>10.6万元，占0.1%；</w:t>
      </w:r>
      <w:r>
        <w:rPr>
          <w:rFonts w:hint="eastAsia" w:ascii="仿宋_GB2312" w:hAnsi="仿宋_GB2312" w:eastAsia="仿宋_GB2312" w:cs="仿宋_GB2312"/>
          <w:b/>
          <w:sz w:val="32"/>
          <w:szCs w:val="32"/>
          <w:highlight w:val="none"/>
        </w:rPr>
        <w:t>社会保障和就业</w:t>
      </w:r>
      <w:r>
        <w:rPr>
          <w:rFonts w:hint="eastAsia" w:ascii="仿宋_GB2312" w:hAnsi="仿宋_GB2312" w:eastAsia="仿宋_GB2312" w:cs="仿宋_GB2312"/>
          <w:b/>
          <w:bCs/>
          <w:sz w:val="32"/>
          <w:szCs w:val="32"/>
          <w:highlight w:val="none"/>
        </w:rPr>
        <w:t>支出</w:t>
      </w:r>
      <w:r>
        <w:rPr>
          <w:rFonts w:hint="eastAsia" w:ascii="仿宋_GB2312" w:hAnsi="仿宋_GB2312" w:eastAsia="仿宋_GB2312" w:cs="仿宋_GB2312"/>
          <w:sz w:val="32"/>
          <w:szCs w:val="32"/>
          <w:highlight w:val="none"/>
        </w:rPr>
        <w:t>399.36万元，占2.4%；</w:t>
      </w:r>
      <w:r>
        <w:rPr>
          <w:rFonts w:hint="eastAsia" w:ascii="仿宋_GB2312" w:hAnsi="仿宋_GB2312" w:eastAsia="仿宋_GB2312" w:cs="仿宋_GB2312"/>
          <w:b/>
          <w:bCs/>
          <w:sz w:val="32"/>
          <w:szCs w:val="32"/>
          <w:highlight w:val="none"/>
        </w:rPr>
        <w:t>卫生健康支出</w:t>
      </w:r>
      <w:r>
        <w:rPr>
          <w:rFonts w:hint="eastAsia" w:ascii="仿宋_GB2312" w:hAnsi="仿宋_GB2312" w:eastAsia="仿宋_GB2312" w:cs="仿宋_GB2312"/>
          <w:sz w:val="32"/>
          <w:szCs w:val="32"/>
          <w:highlight w:val="none"/>
        </w:rPr>
        <w:t>58.75万元，占0.3%；</w:t>
      </w:r>
      <w:r>
        <w:rPr>
          <w:rFonts w:hint="eastAsia" w:ascii="仿宋_GB2312" w:hAnsi="仿宋_GB2312" w:eastAsia="仿宋_GB2312" w:cs="仿宋_GB2312"/>
          <w:b/>
          <w:bCs/>
          <w:sz w:val="32"/>
          <w:szCs w:val="32"/>
          <w:highlight w:val="none"/>
        </w:rPr>
        <w:t>农林水支出</w:t>
      </w:r>
      <w:r>
        <w:rPr>
          <w:rFonts w:hint="eastAsia" w:ascii="仿宋_GB2312" w:hAnsi="仿宋_GB2312" w:eastAsia="仿宋_GB2312" w:cs="仿宋_GB2312"/>
          <w:sz w:val="32"/>
          <w:szCs w:val="32"/>
          <w:highlight w:val="none"/>
        </w:rPr>
        <w:t>6100万元，占36.1%；</w:t>
      </w:r>
      <w:r>
        <w:rPr>
          <w:rFonts w:hint="eastAsia" w:ascii="仿宋_GB2312" w:hAnsi="仿宋_GB2312" w:eastAsia="仿宋_GB2312" w:cs="仿宋_GB2312"/>
          <w:b/>
          <w:bCs/>
          <w:sz w:val="32"/>
          <w:szCs w:val="32"/>
          <w:highlight w:val="none"/>
        </w:rPr>
        <w:t>交通运输支出</w:t>
      </w:r>
      <w:r>
        <w:rPr>
          <w:rFonts w:hint="eastAsia" w:ascii="仿宋_GB2312" w:hAnsi="仿宋_GB2312" w:eastAsia="仿宋_GB2312" w:cs="仿宋_GB2312"/>
          <w:sz w:val="32"/>
          <w:szCs w:val="32"/>
          <w:highlight w:val="none"/>
        </w:rPr>
        <w:t>10151.91万元，占60.1%；</w:t>
      </w:r>
      <w:r>
        <w:rPr>
          <w:rFonts w:hint="eastAsia" w:ascii="仿宋_GB2312" w:hAnsi="仿宋_GB2312" w:eastAsia="仿宋_GB2312" w:cs="仿宋_GB2312"/>
          <w:b/>
          <w:bCs/>
          <w:sz w:val="32"/>
          <w:szCs w:val="32"/>
          <w:highlight w:val="none"/>
        </w:rPr>
        <w:t>住房保障支出</w:t>
      </w:r>
      <w:r>
        <w:rPr>
          <w:rFonts w:hint="eastAsia" w:ascii="仿宋_GB2312" w:hAnsi="仿宋_GB2312" w:eastAsia="仿宋_GB2312" w:cs="仿宋_GB2312"/>
          <w:sz w:val="32"/>
          <w:szCs w:val="32"/>
          <w:highlight w:val="none"/>
        </w:rPr>
        <w:t>81.97万元，占0.5%；</w:t>
      </w:r>
      <w:r>
        <w:rPr>
          <w:rFonts w:hint="eastAsia" w:ascii="仿宋_GB2312" w:hAnsi="仿宋_GB2312" w:eastAsia="仿宋_GB2312" w:cs="仿宋_GB2312"/>
          <w:b/>
          <w:bCs/>
          <w:sz w:val="32"/>
          <w:szCs w:val="32"/>
          <w:highlight w:val="none"/>
        </w:rPr>
        <w:t>其他支出</w:t>
      </w:r>
      <w:r>
        <w:rPr>
          <w:rFonts w:hint="eastAsia" w:ascii="仿宋_GB2312" w:hAnsi="仿宋_GB2312" w:eastAsia="仿宋_GB2312" w:cs="仿宋_GB2312"/>
          <w:sz w:val="32"/>
          <w:szCs w:val="32"/>
          <w:highlight w:val="none"/>
        </w:rPr>
        <w:t>80万元，占0.5%。</w:t>
      </w:r>
    </w:p>
    <w:p w14:paraId="64AC04BB">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（图6：一般公共预算财政拨款支出决算结构）</w:t>
      </w:r>
    </w:p>
    <w:p w14:paraId="363E702C">
      <w:pPr>
        <w:spacing w:line="600" w:lineRule="exact"/>
        <w:ind w:firstLine="640" w:firstLineChars="200"/>
        <w:rPr>
          <w:rFonts w:ascii="仿宋" w:hAnsi="仿宋" w:eastAsia="仿宋"/>
          <w:sz w:val="32"/>
          <w:szCs w:val="32"/>
          <w:highlight w:val="none"/>
        </w:rPr>
      </w:pPr>
      <w:r>
        <w:rPr>
          <w:rFonts w:hint="eastAsia" w:ascii="仿宋_GB2312" w:hAnsi="仿宋_GB2312" w:eastAsia="仿宋_GB2312" w:cs="仿宋_GB2312"/>
          <w:sz w:val="32"/>
          <w:szCs w:val="32"/>
          <w:highlight w:val="none"/>
        </w:rPr>
        <w:drawing>
          <wp:anchor distT="0" distB="0" distL="114300" distR="114300" simplePos="0" relativeHeight="251663360" behindDoc="0" locked="0" layoutInCell="1" allowOverlap="1">
            <wp:simplePos x="0" y="0"/>
            <wp:positionH relativeFrom="column">
              <wp:posOffset>168275</wp:posOffset>
            </wp:positionH>
            <wp:positionV relativeFrom="paragraph">
              <wp:posOffset>145415</wp:posOffset>
            </wp:positionV>
            <wp:extent cx="4965065" cy="3444875"/>
            <wp:effectExtent l="4445" t="4445" r="21590" b="1778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4621397">
      <w:pPr>
        <w:spacing w:line="600" w:lineRule="exact"/>
        <w:ind w:firstLine="643" w:firstLineChars="200"/>
        <w:outlineLvl w:val="2"/>
        <w:rPr>
          <w:rFonts w:ascii="仿宋" w:hAnsi="仿宋" w:eastAsia="仿宋"/>
          <w:b/>
          <w:sz w:val="32"/>
          <w:szCs w:val="32"/>
          <w:highlight w:val="none"/>
        </w:rPr>
      </w:pPr>
      <w:bookmarkStart w:id="41" w:name="_Toc15377212"/>
      <w:r>
        <w:rPr>
          <w:rFonts w:hint="eastAsia" w:ascii="仿宋" w:hAnsi="仿宋" w:eastAsia="仿宋"/>
          <w:b/>
          <w:sz w:val="32"/>
          <w:szCs w:val="32"/>
          <w:highlight w:val="none"/>
        </w:rPr>
        <w:t>（三）一般公共预算财政拨款支出决算具体情况</w:t>
      </w:r>
      <w:bookmarkEnd w:id="41"/>
    </w:p>
    <w:p w14:paraId="119645E6">
      <w:pPr>
        <w:ind w:firstLine="640" w:firstLineChars="200"/>
        <w:rPr>
          <w:rStyle w:val="19"/>
          <w:rFonts w:ascii="仿宋" w:hAnsi="仿宋" w:eastAsia="仿宋"/>
          <w:bCs/>
          <w:sz w:val="32"/>
          <w:szCs w:val="32"/>
          <w:highlight w:val="none"/>
        </w:rPr>
      </w:pPr>
      <w:bookmarkStart w:id="42" w:name="_Toc15378460"/>
      <w:bookmarkStart w:id="43" w:name="_Toc15377444"/>
      <w:bookmarkStart w:id="44" w:name="_Toc15377213"/>
      <w:r>
        <w:rPr>
          <w:rFonts w:hint="eastAsia" w:eastAsia="仿宋_GB2312" w:cs="仿宋_GB2312"/>
          <w:sz w:val="32"/>
          <w:szCs w:val="32"/>
          <w:highlight w:val="none"/>
        </w:rPr>
        <w:t>2025年度一般公共预算财政拨款支出决算数为</w:t>
      </w:r>
      <w:r>
        <w:rPr>
          <w:rFonts w:hint="eastAsia" w:ascii="仿宋_GB2312" w:hAnsi="仿宋_GB2312" w:eastAsia="仿宋_GB2312" w:cs="仿宋_GB2312"/>
          <w:sz w:val="32"/>
          <w:szCs w:val="32"/>
          <w:highlight w:val="none"/>
        </w:rPr>
        <w:t>16882.59万元</w:t>
      </w:r>
      <w:r>
        <w:rPr>
          <w:rFonts w:hint="eastAsia" w:ascii="仿宋" w:hAnsi="仿宋" w:eastAsia="仿宋"/>
          <w:sz w:val="32"/>
          <w:szCs w:val="32"/>
          <w:highlight w:val="none"/>
        </w:rPr>
        <w:t>，</w:t>
      </w:r>
      <w:r>
        <w:rPr>
          <w:rStyle w:val="19"/>
          <w:rFonts w:hint="eastAsia" w:ascii="仿宋" w:hAnsi="仿宋" w:eastAsia="仿宋"/>
          <w:b w:val="0"/>
          <w:sz w:val="32"/>
          <w:szCs w:val="32"/>
          <w:highlight w:val="none"/>
        </w:rPr>
        <w:t>完成预算100</w:t>
      </w:r>
      <w:r>
        <w:rPr>
          <w:rStyle w:val="19"/>
          <w:rFonts w:ascii="仿宋" w:hAnsi="仿宋" w:eastAsia="仿宋"/>
          <w:b w:val="0"/>
          <w:sz w:val="32"/>
          <w:szCs w:val="32"/>
          <w:highlight w:val="none"/>
        </w:rPr>
        <w:t>%</w:t>
      </w:r>
      <w:r>
        <w:rPr>
          <w:rStyle w:val="19"/>
          <w:rFonts w:hint="eastAsia" w:ascii="仿宋" w:hAnsi="仿宋" w:eastAsia="仿宋"/>
          <w:b w:val="0"/>
          <w:sz w:val="32"/>
          <w:szCs w:val="32"/>
          <w:highlight w:val="none"/>
        </w:rPr>
        <w:t>。其中</w:t>
      </w:r>
      <w:r>
        <w:rPr>
          <w:rStyle w:val="19"/>
          <w:rFonts w:hint="eastAsia" w:ascii="仿宋" w:hAnsi="仿宋" w:eastAsia="仿宋"/>
          <w:bCs/>
          <w:sz w:val="32"/>
          <w:szCs w:val="32"/>
          <w:highlight w:val="none"/>
        </w:rPr>
        <w:t>：</w:t>
      </w:r>
      <w:bookmarkEnd w:id="42"/>
      <w:bookmarkEnd w:id="43"/>
      <w:bookmarkEnd w:id="44"/>
    </w:p>
    <w:p w14:paraId="4D044B51">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1.一般公共服务支出（类）组织事务（款）其他组织事务支出（项）：支出决算为10.6万元，完成预算100%。</w:t>
      </w:r>
    </w:p>
    <w:p w14:paraId="38CA3632">
      <w:pPr>
        <w:pStyle w:val="9"/>
        <w:spacing w:before="93"/>
        <w:ind w:firstLine="640" w:firstLineChars="200"/>
        <w:rPr>
          <w:rFonts w:hAnsi="仿宋_GB2312" w:cs="仿宋_GB2312"/>
          <w:bCs/>
          <w:sz w:val="32"/>
          <w:szCs w:val="32"/>
          <w:highlight w:val="none"/>
        </w:rPr>
      </w:pPr>
      <w:r>
        <w:rPr>
          <w:rFonts w:hint="eastAsia" w:hAnsi="仿宋_GB2312" w:cs="仿宋_GB2312"/>
          <w:bCs/>
          <w:sz w:val="32"/>
          <w:szCs w:val="32"/>
          <w:highlight w:val="none"/>
        </w:rPr>
        <w:t>2.社会保障和就业支出（类）人力资源和社会保障管理事务（款）其他人力资源和社会保障管理事务支出（项）:支出决算为8.65万元，完成预算100%。</w:t>
      </w:r>
    </w:p>
    <w:p w14:paraId="408DF8DA">
      <w:pPr>
        <w:pStyle w:val="9"/>
        <w:spacing w:before="93"/>
        <w:ind w:firstLine="640" w:firstLineChars="200"/>
        <w:rPr>
          <w:rFonts w:hAnsi="仿宋_GB2312" w:cs="仿宋_GB2312"/>
          <w:bCs/>
          <w:sz w:val="32"/>
          <w:szCs w:val="32"/>
          <w:highlight w:val="none"/>
        </w:rPr>
      </w:pPr>
      <w:r>
        <w:rPr>
          <w:rFonts w:hint="eastAsia" w:hAnsi="仿宋_GB2312" w:cs="仿宋_GB2312"/>
          <w:bCs/>
          <w:sz w:val="32"/>
          <w:szCs w:val="32"/>
          <w:highlight w:val="none"/>
        </w:rPr>
        <w:t>3.社会保障和就业支出（类）行政事业单位养老支出（款）行政单位离退休（项）:支出决算为174.98万元，完成预算100%。</w:t>
      </w:r>
    </w:p>
    <w:p w14:paraId="2190911F">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4.社会保障和就业支出（类）行政事业单位养老支出（款）机关事业单位基本养老保险缴费支出（项）:支出决算为99.4万元，完成预算100%。</w:t>
      </w:r>
    </w:p>
    <w:p w14:paraId="421C2881">
      <w:pPr>
        <w:ind w:firstLine="640" w:firstLineChars="200"/>
        <w:rPr>
          <w:rFonts w:eastAsia="仿宋_GB2312"/>
          <w:highlight w:val="none"/>
        </w:rPr>
      </w:pPr>
      <w:r>
        <w:rPr>
          <w:rFonts w:hint="eastAsia" w:hAnsi="仿宋_GB2312" w:cs="仿宋_GB2312"/>
          <w:bCs/>
          <w:sz w:val="32"/>
          <w:szCs w:val="32"/>
          <w:highlight w:val="none"/>
        </w:rPr>
        <w:t>5.</w:t>
      </w:r>
      <w:r>
        <w:rPr>
          <w:rFonts w:hint="eastAsia" w:ascii="仿宋_GB2312" w:hAnsi="仿宋_GB2312" w:eastAsia="仿宋_GB2312" w:cs="仿宋_GB2312"/>
          <w:bCs/>
          <w:sz w:val="32"/>
          <w:szCs w:val="32"/>
          <w:highlight w:val="none"/>
        </w:rPr>
        <w:t>社会保障和就业支出（类）行政事业单位养老支出（款）机关事业单位职业年金缴费支出（项）:支出决算为28.05万元，完成预算100%。</w:t>
      </w:r>
    </w:p>
    <w:p w14:paraId="4D4AB953">
      <w:pPr>
        <w:pStyle w:val="9"/>
        <w:spacing w:before="93"/>
        <w:ind w:firstLine="640"/>
        <w:rPr>
          <w:highlight w:val="none"/>
        </w:rPr>
      </w:pPr>
      <w:r>
        <w:rPr>
          <w:rFonts w:hint="eastAsia" w:hAnsi="仿宋_GB2312" w:cs="仿宋_GB2312"/>
          <w:bCs/>
          <w:sz w:val="32"/>
          <w:szCs w:val="32"/>
          <w:highlight w:val="none"/>
        </w:rPr>
        <w:t>6.社会保障和就业支出（类）抚恤（款）死亡抚恤（项）：支出决算为87.67万元，完成预算100%。</w:t>
      </w:r>
    </w:p>
    <w:p w14:paraId="46B48489">
      <w:pPr>
        <w:pStyle w:val="9"/>
        <w:spacing w:before="93"/>
        <w:ind w:firstLine="640" w:firstLineChars="200"/>
        <w:rPr>
          <w:rFonts w:hAnsi="仿宋_GB2312" w:cs="仿宋_GB2312"/>
          <w:bCs/>
          <w:sz w:val="32"/>
          <w:szCs w:val="32"/>
          <w:highlight w:val="none"/>
        </w:rPr>
      </w:pPr>
      <w:r>
        <w:rPr>
          <w:rFonts w:hint="eastAsia" w:hAnsi="仿宋_GB2312" w:cs="仿宋_GB2312"/>
          <w:bCs/>
          <w:sz w:val="32"/>
          <w:szCs w:val="32"/>
          <w:highlight w:val="none"/>
        </w:rPr>
        <w:t>7.社会保障和就业支出（类）社会福利（款）儿童福利（项）：支出决算为0.62万元，完成预算100%。</w:t>
      </w:r>
    </w:p>
    <w:p w14:paraId="164D5E61">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8.卫生健康支出（类）行政事业单位医疗（款）行政单位医疗（项）:支出决算为52.76万元，完成预算100%。</w:t>
      </w:r>
    </w:p>
    <w:p w14:paraId="312A6437">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9.卫生健康支出（类）行政事业单位医疗（款）公务员医疗补助（项）:支出决算为5.63万元，完成预算100%。</w:t>
      </w:r>
    </w:p>
    <w:p w14:paraId="42535591">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10.卫生健康支出（类）其他卫生健康支出（款）其他卫生健康支出（项）:支出决算为0.36万元，完成预算100%。</w:t>
      </w:r>
    </w:p>
    <w:p w14:paraId="12066F60">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11.农林水支出（类）农业农村（款）农村社会事业（项）:支出决算为6100万元，完成预算100%。</w:t>
      </w:r>
    </w:p>
    <w:p w14:paraId="1BEB653B">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12.交通运输支出（类）公路水路运输（款）行政运行（项）:支出决算为932.04万元，完成预算100%。</w:t>
      </w:r>
    </w:p>
    <w:p w14:paraId="30975A7B">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13.交通运输支出（类）公路水路运输（款）一般行政管理事务（项）:支出决算为37.14万元，完成预算100%。</w:t>
      </w:r>
    </w:p>
    <w:p w14:paraId="3976F68D">
      <w:pPr>
        <w:ind w:firstLine="640" w:firstLineChars="200"/>
        <w:rPr>
          <w:highlight w:val="none"/>
        </w:rPr>
      </w:pPr>
      <w:r>
        <w:rPr>
          <w:rFonts w:hint="eastAsia" w:ascii="仿宋_GB2312" w:hAnsi="仿宋_GB2312" w:eastAsia="仿宋_GB2312" w:cs="仿宋_GB2312"/>
          <w:bCs/>
          <w:sz w:val="32"/>
          <w:szCs w:val="32"/>
          <w:highlight w:val="none"/>
        </w:rPr>
        <w:t>14.交通运输支出（类）公路水路运输（款）交通运输信息化建设（项）:支出决算为40万元，完成预算100%。</w:t>
      </w:r>
    </w:p>
    <w:p w14:paraId="23DD5F35">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15.交通运输支出（类）公路水路运输（款）公路和运输安全（项）:支出决算为8万元，完成预算100%。</w:t>
      </w:r>
    </w:p>
    <w:p w14:paraId="7E9A41E0">
      <w:pPr>
        <w:ind w:firstLine="640" w:firstLineChars="200"/>
        <w:rPr>
          <w:highlight w:val="none"/>
        </w:rPr>
      </w:pPr>
      <w:r>
        <w:rPr>
          <w:rFonts w:hint="eastAsia" w:ascii="仿宋_GB2312" w:hAnsi="仿宋_GB2312" w:eastAsia="仿宋_GB2312" w:cs="仿宋_GB2312"/>
          <w:bCs/>
          <w:sz w:val="32"/>
          <w:szCs w:val="32"/>
          <w:highlight w:val="none"/>
        </w:rPr>
        <w:t>16.交通运输支出（类）公路水路运输（款）其他公路水路运输支出（项）:支出决算为2466.35万元，完成预算100%。</w:t>
      </w:r>
    </w:p>
    <w:p w14:paraId="7EDE3578">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17.交通运输支出（类）民用航空运输（款）其他民用航空运输支出（项）:支出决算为6209.37万元，完成预算100%。</w:t>
      </w:r>
    </w:p>
    <w:p w14:paraId="2DB6299E">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18.交通运输支出（类）其他交通运输支出（款）其他交通运输支出（项）:支出决算为459万元，完成预算100%。</w:t>
      </w:r>
    </w:p>
    <w:p w14:paraId="406750F7">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19.住房保障支出（类）住房改革支出（款）住房公积金（项）:支出决算为81.97万元，完成预算100%。</w:t>
      </w:r>
    </w:p>
    <w:p w14:paraId="5699E0E8">
      <w:pPr>
        <w:pStyle w:val="9"/>
        <w:spacing w:before="93"/>
        <w:rPr>
          <w:rFonts w:hAnsi="仿宋_GB2312" w:cs="仿宋_GB2312"/>
          <w:bCs/>
          <w:sz w:val="32"/>
          <w:szCs w:val="32"/>
          <w:highlight w:val="none"/>
        </w:rPr>
      </w:pPr>
      <w:r>
        <w:rPr>
          <w:rFonts w:hint="eastAsia" w:hAnsi="仿宋_GB2312" w:cs="仿宋_GB2312"/>
          <w:bCs/>
          <w:sz w:val="32"/>
          <w:szCs w:val="32"/>
          <w:highlight w:val="none"/>
        </w:rPr>
        <w:t xml:space="preserve">    20.其他支出（类）其他支出（款）其他支出（项）：支出决算80万元，完成预算100%。</w:t>
      </w:r>
    </w:p>
    <w:p w14:paraId="68560191">
      <w:pPr>
        <w:tabs>
          <w:tab w:val="right" w:pos="8306"/>
        </w:tabs>
        <w:spacing w:line="600" w:lineRule="exact"/>
        <w:ind w:firstLine="640"/>
        <w:outlineLvl w:val="1"/>
        <w:rPr>
          <w:rStyle w:val="31"/>
          <w:highlight w:val="none"/>
        </w:rPr>
      </w:pPr>
      <w:bookmarkStart w:id="45" w:name="_Toc15377214"/>
      <w:bookmarkStart w:id="46" w:name="_Toc15396608"/>
      <w:bookmarkStart w:id="47" w:name="_Toc13753"/>
      <w:r>
        <w:rPr>
          <w:rFonts w:hint="eastAsia" w:ascii="黑体" w:eastAsia="黑体"/>
          <w:sz w:val="32"/>
          <w:szCs w:val="32"/>
          <w:highlight w:val="none"/>
        </w:rPr>
        <w:t>六</w:t>
      </w:r>
      <w:r>
        <w:rPr>
          <w:rFonts w:hint="eastAsia" w:ascii="黑体" w:eastAsia="黑体"/>
          <w:b/>
          <w:sz w:val="32"/>
          <w:szCs w:val="32"/>
          <w:highlight w:val="none"/>
        </w:rPr>
        <w:t>、</w:t>
      </w:r>
      <w:r>
        <w:rPr>
          <w:rFonts w:hint="eastAsia" w:ascii="黑体" w:hAnsi="黑体" w:eastAsia="黑体"/>
          <w:b/>
          <w:sz w:val="32"/>
          <w:szCs w:val="32"/>
          <w:highlight w:val="none"/>
        </w:rPr>
        <w:t>一</w:t>
      </w:r>
      <w:r>
        <w:rPr>
          <w:rStyle w:val="31"/>
          <w:rFonts w:hint="eastAsia" w:ascii="黑体" w:hAnsi="黑体" w:eastAsia="黑体"/>
          <w:b w:val="0"/>
          <w:highlight w:val="none"/>
        </w:rPr>
        <w:t>般公共预算财政拨款基本支出决算情况说明</w:t>
      </w:r>
      <w:bookmarkEnd w:id="45"/>
      <w:bookmarkEnd w:id="46"/>
      <w:bookmarkEnd w:id="47"/>
      <w:r>
        <w:rPr>
          <w:rStyle w:val="31"/>
          <w:rFonts w:ascii="黑体" w:hAnsi="黑体" w:eastAsia="黑体"/>
          <w:b w:val="0"/>
          <w:highlight w:val="none"/>
        </w:rPr>
        <w:tab/>
      </w:r>
    </w:p>
    <w:p w14:paraId="4686F6FC">
      <w:pPr>
        <w:spacing w:line="600" w:lineRule="exact"/>
        <w:ind w:firstLine="645"/>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2025年度一</w:t>
      </w:r>
      <w:r>
        <w:rPr>
          <w:rFonts w:hint="eastAsia" w:eastAsia="仿宋_GB2312" w:cs="仿宋_GB2312"/>
          <w:sz w:val="32"/>
          <w:szCs w:val="32"/>
          <w:highlight w:val="none"/>
        </w:rPr>
        <w:t>般公共预算财政拨款基本支出</w:t>
      </w:r>
      <w:r>
        <w:rPr>
          <w:rFonts w:hint="eastAsia" w:ascii="仿宋_GB2312" w:hAnsi="仿宋_GB2312" w:eastAsia="仿宋_GB2312" w:cs="仿宋_GB2312"/>
          <w:sz w:val="32"/>
          <w:szCs w:val="32"/>
          <w:highlight w:val="none"/>
        </w:rPr>
        <w:t>1482.72万</w:t>
      </w:r>
      <w:r>
        <w:rPr>
          <w:rFonts w:hint="eastAsia" w:eastAsia="仿宋_GB2312" w:cs="仿宋_GB2312"/>
          <w:sz w:val="32"/>
          <w:szCs w:val="32"/>
          <w:highlight w:val="none"/>
        </w:rPr>
        <w:t>元</w:t>
      </w:r>
      <w:r>
        <w:rPr>
          <w:rFonts w:hint="eastAsia" w:ascii="仿宋" w:hAnsi="仿宋" w:eastAsia="仿宋"/>
          <w:sz w:val="32"/>
          <w:szCs w:val="32"/>
          <w:highlight w:val="none"/>
        </w:rPr>
        <w:t>，</w:t>
      </w:r>
      <w:r>
        <w:rPr>
          <w:rFonts w:hint="eastAsia" w:ascii="仿宋_GB2312" w:hAnsi="仿宋_GB2312" w:eastAsia="仿宋_GB2312" w:cs="仿宋_GB2312"/>
          <w:sz w:val="32"/>
          <w:szCs w:val="32"/>
          <w:highlight w:val="none"/>
        </w:rPr>
        <w:t>其中：</w:t>
      </w:r>
    </w:p>
    <w:p w14:paraId="42BDFD2F">
      <w:pPr>
        <w:spacing w:line="600" w:lineRule="exact"/>
        <w:ind w:firstLine="645"/>
        <w:rPr>
          <w:rFonts w:ascii="仿宋_GB2312" w:hAnsi="仿宋_GB2312" w:eastAsia="仿宋_GB2312" w:cs="仿宋_GB2312"/>
          <w:sz w:val="32"/>
          <w:szCs w:val="32"/>
          <w:highlight w:val="none"/>
        </w:rPr>
      </w:pPr>
      <w:r>
        <w:rPr>
          <w:rFonts w:hint="eastAsia" w:eastAsia="仿宋_GB2312" w:cs="仿宋_GB2312"/>
          <w:sz w:val="32"/>
          <w:szCs w:val="32"/>
          <w:highlight w:val="none"/>
        </w:rPr>
        <w:t>人员经费</w:t>
      </w:r>
      <w:r>
        <w:rPr>
          <w:rFonts w:hint="eastAsia" w:ascii="仿宋_GB2312" w:hAnsi="仿宋_GB2312" w:eastAsia="仿宋_GB2312" w:cs="仿宋_GB2312"/>
          <w:sz w:val="32"/>
          <w:szCs w:val="32"/>
          <w:highlight w:val="none"/>
        </w:rPr>
        <w:t>1316.86万</w:t>
      </w:r>
      <w:r>
        <w:rPr>
          <w:rFonts w:hint="eastAsia" w:eastAsia="仿宋_GB2312" w:cs="仿宋_GB2312"/>
          <w:sz w:val="32"/>
          <w:szCs w:val="32"/>
          <w:highlight w:val="none"/>
        </w:rPr>
        <w:t>元</w:t>
      </w:r>
      <w:r>
        <w:rPr>
          <w:rFonts w:hint="eastAsia" w:ascii="仿宋_GB2312" w:hAnsi="仿宋_GB2312" w:eastAsia="仿宋_GB2312" w:cs="仿宋_GB2312"/>
          <w:sz w:val="32"/>
          <w:szCs w:val="32"/>
          <w:highlight w:val="none"/>
        </w:rPr>
        <w:t>，主要包括：基本工资、津贴补贴、奖金、机关事业单位基本养老保险缴费、职业年金缴费、职工基本医疗保险缴费、公务员医疗补助缴费、住房公积金、其他社会保障缴费、其他工资福利支出、离休费、生活补助、医疗费补助、其他对个人和家庭的补助支出等。</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　　</w:t>
      </w:r>
      <w:r>
        <w:rPr>
          <w:rFonts w:hint="eastAsia" w:eastAsia="仿宋_GB2312" w:cs="仿宋_GB2312"/>
          <w:sz w:val="32"/>
          <w:szCs w:val="32"/>
          <w:highlight w:val="none"/>
        </w:rPr>
        <w:t>公用经费</w:t>
      </w:r>
      <w:r>
        <w:rPr>
          <w:rFonts w:hint="eastAsia" w:ascii="仿宋_GB2312" w:hAnsi="仿宋_GB2312" w:eastAsia="仿宋_GB2312" w:cs="仿宋_GB2312"/>
          <w:sz w:val="32"/>
          <w:szCs w:val="32"/>
          <w:highlight w:val="none"/>
        </w:rPr>
        <w:t>165.87万</w:t>
      </w:r>
      <w:r>
        <w:rPr>
          <w:rFonts w:hint="eastAsia" w:eastAsia="仿宋_GB2312" w:cs="仿宋_GB2312"/>
          <w:sz w:val="32"/>
          <w:szCs w:val="32"/>
          <w:highlight w:val="none"/>
        </w:rPr>
        <w:t>元</w:t>
      </w:r>
      <w:r>
        <w:rPr>
          <w:rFonts w:hint="eastAsia" w:ascii="仿宋_GB2312" w:hAnsi="仿宋_GB2312" w:eastAsia="仿宋_GB2312" w:cs="仿宋_GB2312"/>
          <w:sz w:val="32"/>
          <w:szCs w:val="32"/>
          <w:highlight w:val="none"/>
        </w:rPr>
        <w:t>，主要包括：办公费、印刷费、水费、电费、邮电费、物业管理费、差旅费、租赁费、会议费、培训费、公务接待费、劳务费、委托业务费、工会经费、福利费、公务用车运行维护费、其他交通费、其他商品和服务支出等。</w:t>
      </w:r>
    </w:p>
    <w:p w14:paraId="0DA6D389">
      <w:pPr>
        <w:spacing w:line="600" w:lineRule="exact"/>
        <w:ind w:firstLine="640"/>
        <w:outlineLvl w:val="1"/>
        <w:rPr>
          <w:rStyle w:val="31"/>
          <w:rFonts w:ascii="黑体" w:hAnsi="黑体" w:eastAsia="黑体"/>
          <w:b w:val="0"/>
          <w:highlight w:val="none"/>
        </w:rPr>
      </w:pPr>
      <w:bookmarkStart w:id="48" w:name="_Toc15377215"/>
      <w:bookmarkStart w:id="49" w:name="_Toc7829"/>
      <w:bookmarkStart w:id="50" w:name="_Toc15396609"/>
      <w:r>
        <w:rPr>
          <w:rFonts w:hint="eastAsia" w:ascii="黑体" w:eastAsia="黑体"/>
          <w:sz w:val="32"/>
          <w:szCs w:val="32"/>
          <w:highlight w:val="none"/>
        </w:rPr>
        <w:t>七、</w:t>
      </w:r>
      <w:r>
        <w:rPr>
          <w:rStyle w:val="31"/>
          <w:rFonts w:hint="eastAsia" w:ascii="黑体" w:hAnsi="黑体" w:eastAsia="黑体"/>
          <w:b w:val="0"/>
          <w:highlight w:val="none"/>
        </w:rPr>
        <w:t>财政拨款</w:t>
      </w:r>
      <w:r>
        <w:rPr>
          <w:rStyle w:val="31"/>
          <w:rFonts w:hint="eastAsia" w:ascii="黑体" w:hAnsi="黑体" w:eastAsia="黑体"/>
          <w:highlight w:val="none"/>
        </w:rPr>
        <w:t>“</w:t>
      </w:r>
      <w:r>
        <w:rPr>
          <w:rStyle w:val="31"/>
          <w:rFonts w:hint="eastAsia" w:ascii="黑体" w:hAnsi="黑体" w:eastAsia="黑体"/>
          <w:b w:val="0"/>
          <w:highlight w:val="none"/>
        </w:rPr>
        <w:t>三公”经费支出决算情况说明</w:t>
      </w:r>
      <w:bookmarkEnd w:id="48"/>
      <w:bookmarkEnd w:id="49"/>
      <w:bookmarkEnd w:id="50"/>
    </w:p>
    <w:p w14:paraId="540DF1FB">
      <w:pPr>
        <w:spacing w:line="600" w:lineRule="exact"/>
        <w:ind w:firstLine="640"/>
        <w:outlineLvl w:val="2"/>
        <w:rPr>
          <w:rFonts w:ascii="仿宋" w:hAnsi="仿宋" w:eastAsia="仿宋"/>
          <w:b/>
          <w:sz w:val="32"/>
          <w:szCs w:val="32"/>
          <w:highlight w:val="none"/>
        </w:rPr>
      </w:pPr>
      <w:bookmarkStart w:id="51" w:name="_Toc15377216"/>
      <w:r>
        <w:rPr>
          <w:rFonts w:hint="eastAsia" w:ascii="仿宋" w:hAnsi="仿宋" w:eastAsia="仿宋"/>
          <w:b/>
          <w:sz w:val="32"/>
          <w:szCs w:val="32"/>
          <w:highlight w:val="none"/>
        </w:rPr>
        <w:t>（一）“三公”经费财政拨款支出决算总体情况说明</w:t>
      </w:r>
      <w:bookmarkEnd w:id="51"/>
    </w:p>
    <w:p w14:paraId="36090167">
      <w:pPr>
        <w:spacing w:line="60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2025年度“三公”经费财政拨款支出决算为2.57万元，完成预算</w:t>
      </w:r>
      <w:r>
        <w:rPr>
          <w:rFonts w:hint="eastAsia" w:ascii="仿宋_GB2312" w:hAnsi="仿宋_GB2312" w:eastAsia="仿宋_GB2312" w:cs="仿宋_GB2312"/>
          <w:bCs/>
          <w:sz w:val="32"/>
          <w:szCs w:val="32"/>
          <w:highlight w:val="none"/>
        </w:rPr>
        <w:t>100</w:t>
      </w:r>
      <w:r>
        <w:rPr>
          <w:rFonts w:hint="eastAsia" w:ascii="仿宋_GB2312" w:hAnsi="仿宋_GB2312" w:eastAsia="仿宋_GB2312" w:cs="仿宋_GB2312"/>
          <w:sz w:val="32"/>
          <w:szCs w:val="32"/>
          <w:highlight w:val="none"/>
        </w:rPr>
        <w:t>%，较上年度减少1.4万元，下降35.</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%。决算数与预算数持平。</w:t>
      </w:r>
    </w:p>
    <w:p w14:paraId="12879062">
      <w:pPr>
        <w:spacing w:line="600" w:lineRule="exact"/>
        <w:ind w:firstLine="640"/>
        <w:outlineLvl w:val="2"/>
        <w:rPr>
          <w:rFonts w:ascii="仿宋" w:hAnsi="仿宋" w:eastAsia="仿宋"/>
          <w:b/>
          <w:sz w:val="32"/>
          <w:szCs w:val="32"/>
          <w:highlight w:val="none"/>
        </w:rPr>
      </w:pPr>
      <w:bookmarkStart w:id="52" w:name="_Toc15377217"/>
      <w:r>
        <w:rPr>
          <w:rFonts w:hint="eastAsia" w:ascii="仿宋" w:hAnsi="仿宋" w:eastAsia="仿宋"/>
          <w:b/>
          <w:sz w:val="32"/>
          <w:szCs w:val="32"/>
          <w:highlight w:val="none"/>
        </w:rPr>
        <w:t>（二）“三公”经费财政拨款支出决算具体情况说明</w:t>
      </w:r>
      <w:bookmarkEnd w:id="52"/>
    </w:p>
    <w:p w14:paraId="75BAA969">
      <w:pPr>
        <w:spacing w:line="60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2025年度“三公”经费财政拨款支出决算中，因公出国（境）费支出决算0万元，占0%；公务用车购置及运行维护费支出决算1.7万元，占66.1%；公务接待费支出决算0.87万元，占33.9%。具体情况如下：</w:t>
      </w:r>
    </w:p>
    <w:p w14:paraId="150208A0">
      <w:pPr>
        <w:spacing w:line="60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（图7：“三公”经费财政拨款支出结构）</w:t>
      </w:r>
    </w:p>
    <w:p w14:paraId="0A118FC3">
      <w:pPr>
        <w:pStyle w:val="9"/>
        <w:spacing w:before="93"/>
        <w:rPr>
          <w:rFonts w:hAnsi="仿宋_GB2312" w:cs="仿宋_GB2312"/>
          <w:sz w:val="32"/>
          <w:szCs w:val="32"/>
          <w:highlight w:val="none"/>
        </w:rPr>
      </w:pPr>
    </w:p>
    <w:p w14:paraId="5EC4D0B4">
      <w:pPr>
        <w:pStyle w:val="9"/>
        <w:spacing w:before="93"/>
        <w:rPr>
          <w:rFonts w:ascii="仿宋" w:hAnsi="仿宋" w:eastAsia="仿宋"/>
          <w:sz w:val="32"/>
          <w:szCs w:val="32"/>
          <w:highlight w:val="none"/>
        </w:rPr>
      </w:pPr>
      <w:r>
        <w:rPr>
          <w:rFonts w:hint="eastAsia" w:hAnsi="仿宋_GB2312" w:cs="仿宋_GB2312"/>
          <w:sz w:val="32"/>
          <w:szCs w:val="32"/>
          <w:highlight w:val="none"/>
        </w:rPr>
        <w:drawing>
          <wp:inline distT="0" distB="0" distL="114300" distR="114300">
            <wp:extent cx="4813935" cy="3190875"/>
            <wp:effectExtent l="4445" t="4445" r="20320" b="508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877151">
      <w:pPr>
        <w:spacing w:line="600" w:lineRule="exact"/>
        <w:ind w:firstLine="640"/>
        <w:rPr>
          <w:rFonts w:ascii="仿宋_GB2312" w:hAnsi="仿宋_GB2312" w:eastAsia="仿宋_GB2312" w:cs="仿宋_GB2312"/>
          <w:b/>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
          <w:sz w:val="32"/>
          <w:szCs w:val="32"/>
          <w:highlight w:val="none"/>
        </w:rPr>
        <w:t>因公出国（境）经费支出0</w:t>
      </w:r>
      <w:r>
        <w:rPr>
          <w:rFonts w:hint="eastAsia" w:ascii="仿宋_GB2312" w:hAnsi="仿宋_GB2312" w:eastAsia="仿宋_GB2312" w:cs="仿宋_GB2312"/>
          <w:sz w:val="32"/>
          <w:szCs w:val="32"/>
          <w:highlight w:val="none"/>
        </w:rPr>
        <w:t>万元，</w:t>
      </w:r>
      <w:r>
        <w:rPr>
          <w:rStyle w:val="19"/>
          <w:rFonts w:hint="eastAsia" w:ascii="仿宋_GB2312" w:hAnsi="仿宋_GB2312" w:eastAsia="仿宋_GB2312" w:cs="仿宋_GB2312"/>
          <w:b w:val="0"/>
          <w:bCs/>
          <w:sz w:val="32"/>
          <w:szCs w:val="32"/>
          <w:highlight w:val="none"/>
        </w:rPr>
        <w:t>完成预算</w:t>
      </w:r>
      <w:r>
        <w:rPr>
          <w:rStyle w:val="19"/>
          <w:rFonts w:hint="eastAsia" w:ascii="仿宋_GB2312" w:hAnsi="仿宋_GB2312" w:eastAsia="仿宋_GB2312" w:cs="仿宋_GB2312"/>
          <w:bCs/>
          <w:sz w:val="32"/>
          <w:szCs w:val="32"/>
          <w:highlight w:val="none"/>
        </w:rPr>
        <w:t>0</w:t>
      </w:r>
      <w:r>
        <w:rPr>
          <w:rStyle w:val="19"/>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sz w:val="32"/>
          <w:szCs w:val="32"/>
          <w:highlight w:val="none"/>
        </w:rPr>
        <w:t>全年安排因公出国（境）团组</w:t>
      </w:r>
      <w:r>
        <w:rPr>
          <w:rFonts w:hint="eastAsia" w:ascii="仿宋_GB2312" w:hAnsi="仿宋_GB2312" w:eastAsia="仿宋_GB2312" w:cs="仿宋_GB2312"/>
          <w:b/>
          <w:sz w:val="32"/>
          <w:szCs w:val="32"/>
          <w:highlight w:val="none"/>
        </w:rPr>
        <w:t>0</w:t>
      </w:r>
      <w:r>
        <w:rPr>
          <w:rFonts w:hint="eastAsia" w:ascii="仿宋_GB2312" w:hAnsi="仿宋_GB2312" w:eastAsia="仿宋_GB2312" w:cs="仿宋_GB2312"/>
          <w:sz w:val="32"/>
          <w:szCs w:val="32"/>
          <w:highlight w:val="none"/>
        </w:rPr>
        <w:t>次，出国（境）</w:t>
      </w:r>
      <w:r>
        <w:rPr>
          <w:rFonts w:hint="eastAsia" w:ascii="仿宋_GB2312" w:hAnsi="仿宋_GB2312" w:eastAsia="仿宋_GB2312" w:cs="仿宋_GB2312"/>
          <w:b/>
          <w:sz w:val="32"/>
          <w:szCs w:val="32"/>
          <w:highlight w:val="none"/>
        </w:rPr>
        <w:t>0</w:t>
      </w:r>
      <w:r>
        <w:rPr>
          <w:rFonts w:hint="eastAsia" w:ascii="仿宋_GB2312" w:hAnsi="仿宋_GB2312" w:eastAsia="仿宋_GB2312" w:cs="仿宋_GB2312"/>
          <w:sz w:val="32"/>
          <w:szCs w:val="32"/>
          <w:highlight w:val="none"/>
        </w:rPr>
        <w:t>人。因公出国（境）支出决算与2023年持平。</w:t>
      </w:r>
    </w:p>
    <w:p w14:paraId="4A1307CB">
      <w:pPr>
        <w:spacing w:line="600" w:lineRule="exact"/>
        <w:ind w:firstLine="64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w:t>
      </w:r>
      <w:r>
        <w:rPr>
          <w:rFonts w:hint="eastAsia" w:ascii="仿宋_GB2312" w:hAnsi="仿宋_GB2312" w:eastAsia="仿宋_GB2312" w:cs="仿宋_GB2312"/>
          <w:b/>
          <w:sz w:val="32"/>
          <w:szCs w:val="32"/>
          <w:highlight w:val="none"/>
        </w:rPr>
        <w:t>公务用车购置及运行维护费支出1.7</w:t>
      </w:r>
      <w:r>
        <w:rPr>
          <w:rFonts w:hint="eastAsia" w:ascii="仿宋_GB2312" w:hAnsi="仿宋_GB2312" w:eastAsia="仿宋_GB2312" w:cs="仿宋_GB2312"/>
          <w:sz w:val="32"/>
          <w:szCs w:val="32"/>
          <w:highlight w:val="none"/>
        </w:rPr>
        <w:t>万元,</w:t>
      </w:r>
      <w:r>
        <w:rPr>
          <w:rStyle w:val="19"/>
          <w:rFonts w:hint="eastAsia" w:ascii="仿宋_GB2312" w:hAnsi="仿宋_GB2312" w:eastAsia="仿宋_GB2312" w:cs="仿宋_GB2312"/>
          <w:b w:val="0"/>
          <w:bCs/>
          <w:sz w:val="32"/>
          <w:szCs w:val="32"/>
          <w:highlight w:val="none"/>
        </w:rPr>
        <w:t>完成预算</w:t>
      </w:r>
      <w:r>
        <w:rPr>
          <w:rStyle w:val="19"/>
          <w:rFonts w:hint="eastAsia" w:ascii="仿宋_GB2312" w:hAnsi="仿宋_GB2312" w:eastAsia="仿宋_GB2312" w:cs="仿宋_GB2312"/>
          <w:bCs/>
          <w:sz w:val="32"/>
          <w:szCs w:val="32"/>
          <w:highlight w:val="none"/>
        </w:rPr>
        <w:t>100</w:t>
      </w:r>
      <w:r>
        <w:rPr>
          <w:rStyle w:val="19"/>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sz w:val="32"/>
          <w:szCs w:val="32"/>
          <w:highlight w:val="none"/>
        </w:rPr>
        <w:t>公务用车购置及运行维护费支出决算比2024年度减少1.14万元，下降40%。主要原因是</w:t>
      </w:r>
      <w:r>
        <w:rPr>
          <w:rFonts w:hint="eastAsia" w:ascii="仿宋_GB2312" w:hAnsi="仿宋_GB2312" w:eastAsia="仿宋_GB2312" w:cs="仿宋_GB2312"/>
          <w:bCs/>
          <w:sz w:val="32"/>
          <w:szCs w:val="32"/>
          <w:highlight w:val="none"/>
        </w:rPr>
        <w:t>主要原因是压缩三公经费。</w:t>
      </w:r>
    </w:p>
    <w:p w14:paraId="571EC8A4">
      <w:pPr>
        <w:spacing w:line="60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sz w:val="32"/>
          <w:szCs w:val="32"/>
          <w:highlight w:val="none"/>
        </w:rPr>
        <w:t>其中：</w:t>
      </w:r>
      <w:r>
        <w:rPr>
          <w:rFonts w:hint="eastAsia" w:ascii="仿宋_GB2312" w:hAnsi="仿宋_GB2312" w:eastAsia="仿宋_GB2312" w:cs="仿宋_GB2312"/>
          <w:b/>
          <w:sz w:val="32"/>
          <w:szCs w:val="32"/>
          <w:highlight w:val="none"/>
        </w:rPr>
        <w:t>公务用车购置支出0</w:t>
      </w:r>
      <w:r>
        <w:rPr>
          <w:rFonts w:hint="eastAsia" w:ascii="仿宋_GB2312" w:hAnsi="仿宋_GB2312" w:eastAsia="仿宋_GB2312" w:cs="仿宋_GB2312"/>
          <w:sz w:val="32"/>
          <w:szCs w:val="32"/>
          <w:highlight w:val="none"/>
        </w:rPr>
        <w:t>万元。全年按规定更新购置公务用车0辆，其中：轿车0辆、金额0万元，越野车0辆、金额0万元，载客汽车0辆、金额0万元。截至2025年12月31日，单位共有公务用车1辆，其中：轿车0辆、越野车1辆、载客汽车0辆。</w:t>
      </w:r>
    </w:p>
    <w:p w14:paraId="530429DF">
      <w:pPr>
        <w:ind w:firstLine="643"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
          <w:sz w:val="32"/>
          <w:szCs w:val="32"/>
          <w:highlight w:val="none"/>
        </w:rPr>
        <w:t>公务用车运行维护费支出1.7</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bCs/>
          <w:sz w:val="32"/>
          <w:szCs w:val="32"/>
          <w:highlight w:val="none"/>
        </w:rPr>
        <w:t>。主要用于公路建设、安全环保检查、养护检查等所需的公务用车燃料费、维修费、过路过桥费、保险费等支出。</w:t>
      </w:r>
    </w:p>
    <w:p w14:paraId="61C7383C">
      <w:pPr>
        <w:spacing w:line="60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3.</w:t>
      </w:r>
      <w:r>
        <w:rPr>
          <w:rFonts w:hint="eastAsia" w:ascii="仿宋_GB2312" w:hAnsi="仿宋_GB2312" w:eastAsia="仿宋_GB2312" w:cs="仿宋_GB2312"/>
          <w:b/>
          <w:sz w:val="32"/>
          <w:szCs w:val="32"/>
          <w:highlight w:val="none"/>
        </w:rPr>
        <w:t>公务接待费支出0.87</w:t>
      </w:r>
      <w:r>
        <w:rPr>
          <w:rFonts w:hint="eastAsia" w:ascii="仿宋_GB2312" w:hAnsi="仿宋_GB2312" w:eastAsia="仿宋_GB2312" w:cs="仿宋_GB2312"/>
          <w:sz w:val="32"/>
          <w:szCs w:val="32"/>
          <w:highlight w:val="none"/>
        </w:rPr>
        <w:t>万元，</w:t>
      </w:r>
      <w:r>
        <w:rPr>
          <w:rStyle w:val="19"/>
          <w:rFonts w:hint="eastAsia" w:ascii="仿宋_GB2312" w:hAnsi="仿宋_GB2312" w:eastAsia="仿宋_GB2312" w:cs="仿宋_GB2312"/>
          <w:b w:val="0"/>
          <w:bCs/>
          <w:sz w:val="32"/>
          <w:szCs w:val="32"/>
          <w:highlight w:val="none"/>
        </w:rPr>
        <w:t>完成预算100%。</w:t>
      </w:r>
      <w:r>
        <w:rPr>
          <w:rFonts w:hint="eastAsia" w:ascii="仿宋_GB2312" w:hAnsi="仿宋_GB2312" w:eastAsia="仿宋_GB2312" w:cs="仿宋_GB2312"/>
          <w:sz w:val="32"/>
          <w:szCs w:val="32"/>
          <w:highlight w:val="none"/>
        </w:rPr>
        <w:t>公务接待费支出决算比2024年度减少0.26万元，下降2</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%。主要原因是压缩三公经费。其中：</w:t>
      </w:r>
    </w:p>
    <w:p w14:paraId="32C5490A">
      <w:pPr>
        <w:spacing w:line="600" w:lineRule="exact"/>
        <w:ind w:firstLine="640"/>
        <w:rPr>
          <w:rFonts w:ascii="仿宋_GB2312" w:hAnsi="仿宋_GB2312" w:eastAsia="仿宋_GB2312" w:cs="仿宋_GB2312"/>
          <w:bCs/>
          <w:sz w:val="32"/>
          <w:szCs w:val="32"/>
          <w:highlight w:val="none"/>
        </w:rPr>
      </w:pPr>
      <w:r>
        <w:rPr>
          <w:rFonts w:hint="eastAsia" w:ascii="仿宋_GB2312" w:hAnsi="仿宋_GB2312" w:eastAsia="仿宋_GB2312" w:cs="仿宋_GB2312"/>
          <w:b/>
          <w:sz w:val="32"/>
          <w:szCs w:val="32"/>
          <w:highlight w:val="none"/>
        </w:rPr>
        <w:t>国内公务接待支出0.87</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bCs/>
          <w:sz w:val="32"/>
          <w:szCs w:val="32"/>
          <w:highlight w:val="none"/>
        </w:rPr>
        <w:t>，主要用于</w:t>
      </w:r>
      <w:r>
        <w:rPr>
          <w:rFonts w:hint="eastAsia" w:ascii="仿宋_GB2312" w:hAnsi="仿宋_GB2312" w:eastAsia="仿宋_GB2312" w:cs="仿宋_GB2312"/>
          <w:sz w:val="32"/>
          <w:szCs w:val="32"/>
          <w:highlight w:val="none"/>
        </w:rPr>
        <w:t>执行公务、开展业务活动开支的用餐费。国内公务接待7批次，31人次（不包括陪同人员），共计支出0.87元，具体内容包括：</w:t>
      </w:r>
      <w:r>
        <w:rPr>
          <w:rFonts w:hint="eastAsia" w:ascii="仿宋_GB2312" w:hAnsi="仿宋_GB2312" w:eastAsia="仿宋_GB2312" w:cs="仿宋_GB2312"/>
          <w:bCs/>
          <w:sz w:val="32"/>
          <w:szCs w:val="32"/>
          <w:highlight w:val="none"/>
        </w:rPr>
        <w:t>接待省厅安委会督察组0.12万元，接待省厅森林防灭火督导组0.14万元，接待省厅安委会督导组0.12万元，接待省厅挂职干部到局0.12万元，接待省厅安全生产督导0.13万元，接待省厅包保督导组0.11万元，接待交通部科研院专家组来攀调研0.13万元。</w:t>
      </w:r>
    </w:p>
    <w:p w14:paraId="558FC60B">
      <w:pPr>
        <w:spacing w:line="600" w:lineRule="exact"/>
        <w:ind w:firstLine="643"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
          <w:sz w:val="32"/>
          <w:szCs w:val="32"/>
          <w:highlight w:val="none"/>
        </w:rPr>
        <w:t>外事接待支出0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bCs/>
          <w:sz w:val="32"/>
          <w:szCs w:val="32"/>
          <w:highlight w:val="none"/>
        </w:rPr>
        <w:t>。</w:t>
      </w:r>
      <w:bookmarkStart w:id="53" w:name="_Toc15396610"/>
      <w:bookmarkStart w:id="54" w:name="_Toc15377218"/>
    </w:p>
    <w:p w14:paraId="07AD83CB">
      <w:pPr>
        <w:spacing w:line="600" w:lineRule="exact"/>
        <w:ind w:firstLine="640"/>
        <w:outlineLvl w:val="1"/>
        <w:rPr>
          <w:rStyle w:val="31"/>
          <w:rFonts w:ascii="黑体" w:hAnsi="黑体" w:eastAsia="黑体"/>
          <w:highlight w:val="none"/>
        </w:rPr>
      </w:pPr>
      <w:bookmarkStart w:id="55" w:name="_Toc21026"/>
      <w:r>
        <w:rPr>
          <w:rFonts w:hint="eastAsia" w:ascii="黑体" w:eastAsia="黑体"/>
          <w:sz w:val="32"/>
          <w:szCs w:val="32"/>
          <w:highlight w:val="none"/>
        </w:rPr>
        <w:t>八、</w:t>
      </w:r>
      <w:r>
        <w:rPr>
          <w:rStyle w:val="31"/>
          <w:rFonts w:hint="eastAsia" w:ascii="黑体" w:hAnsi="黑体" w:eastAsia="黑体"/>
          <w:b w:val="0"/>
          <w:highlight w:val="none"/>
        </w:rPr>
        <w:t>政府性基金预算支出决算情况说明</w:t>
      </w:r>
      <w:bookmarkEnd w:id="53"/>
      <w:bookmarkEnd w:id="54"/>
      <w:bookmarkEnd w:id="55"/>
    </w:p>
    <w:p w14:paraId="26A5B686">
      <w:pPr>
        <w:spacing w:line="600" w:lineRule="exact"/>
        <w:ind w:firstLine="640"/>
        <w:rPr>
          <w:rFonts w:ascii="仿宋_GB2312" w:hAnsi="仿宋_GB2312" w:eastAsia="仿宋_GB2312" w:cs="仿宋_GB2312"/>
          <w:sz w:val="32"/>
          <w:szCs w:val="32"/>
          <w:highlight w:val="none"/>
        </w:rPr>
      </w:pPr>
      <w:bookmarkStart w:id="56" w:name="_Toc15377219"/>
      <w:bookmarkStart w:id="57" w:name="_Toc15396611"/>
      <w:r>
        <w:rPr>
          <w:rFonts w:hint="eastAsia" w:ascii="仿宋_GB2312" w:hAnsi="仿宋_GB2312" w:eastAsia="仿宋_GB2312" w:cs="仿宋_GB2312"/>
          <w:sz w:val="32"/>
          <w:szCs w:val="32"/>
          <w:highlight w:val="none"/>
        </w:rPr>
        <w:t>2025年度政府性基金预算财政拨款支出20489.43万元，占本年支出合计的54.8%。与2024年度相比，政府性基金预算财政拨款支出增加3372.94万元，增长19.7%。主要变动原因是安排政府性基金安排项目增加。</w:t>
      </w:r>
    </w:p>
    <w:p w14:paraId="3E57F9DD">
      <w:pPr>
        <w:numPr>
          <w:ilvl w:val="0"/>
          <w:numId w:val="3"/>
        </w:numPr>
        <w:spacing w:line="600" w:lineRule="exact"/>
        <w:ind w:firstLine="640"/>
        <w:outlineLvl w:val="1"/>
        <w:rPr>
          <w:rStyle w:val="31"/>
          <w:rFonts w:ascii="黑体" w:hAnsi="黑体" w:eastAsia="黑体"/>
          <w:b w:val="0"/>
          <w:highlight w:val="none"/>
        </w:rPr>
      </w:pPr>
      <w:bookmarkStart w:id="58" w:name="_Toc7881"/>
      <w:r>
        <w:rPr>
          <w:rStyle w:val="31"/>
          <w:rFonts w:hint="eastAsia" w:ascii="黑体" w:hAnsi="黑体" w:eastAsia="黑体"/>
          <w:b w:val="0"/>
          <w:highlight w:val="none"/>
        </w:rPr>
        <w:t>国有资本经营预算支出决算情况说明</w:t>
      </w:r>
      <w:bookmarkEnd w:id="56"/>
      <w:bookmarkEnd w:id="57"/>
      <w:bookmarkEnd w:id="58"/>
    </w:p>
    <w:p w14:paraId="50195C31">
      <w:pPr>
        <w:spacing w:line="600" w:lineRule="exact"/>
        <w:ind w:firstLine="640"/>
        <w:rPr>
          <w:rFonts w:ascii="方正小标宋简体" w:hAnsi="方正小标宋简体" w:eastAsia="方正小标宋简体" w:cs="方正小标宋简体"/>
          <w:sz w:val="44"/>
          <w:szCs w:val="44"/>
          <w:highlight w:val="none"/>
        </w:rPr>
      </w:pPr>
      <w:r>
        <w:rPr>
          <w:rFonts w:ascii="仿宋_GB2312" w:eastAsia="仿宋_GB2312"/>
          <w:sz w:val="32"/>
          <w:szCs w:val="32"/>
          <w:highlight w:val="none"/>
        </w:rPr>
        <w:t>20</w:t>
      </w:r>
      <w:r>
        <w:rPr>
          <w:rFonts w:hint="eastAsia" w:ascii="仿宋_GB2312" w:eastAsia="仿宋_GB2312"/>
          <w:sz w:val="32"/>
          <w:szCs w:val="32"/>
          <w:highlight w:val="none"/>
        </w:rPr>
        <w:t>25年国有资本经营预算财政拨款支出0万元。</w:t>
      </w:r>
    </w:p>
    <w:p w14:paraId="77F29385">
      <w:pPr>
        <w:numPr>
          <w:ilvl w:val="0"/>
          <w:numId w:val="3"/>
        </w:numPr>
        <w:spacing w:line="600" w:lineRule="exact"/>
        <w:ind w:firstLine="640"/>
        <w:outlineLvl w:val="1"/>
        <w:rPr>
          <w:rStyle w:val="31"/>
          <w:rFonts w:ascii="黑体" w:hAnsi="黑体" w:eastAsia="黑体"/>
          <w:b w:val="0"/>
          <w:highlight w:val="none"/>
        </w:rPr>
      </w:pPr>
      <w:bookmarkStart w:id="59" w:name="_Toc15396612"/>
      <w:bookmarkStart w:id="60" w:name="_Toc15377221"/>
      <w:bookmarkStart w:id="61" w:name="_Toc11739"/>
      <w:r>
        <w:rPr>
          <w:rStyle w:val="31"/>
          <w:rFonts w:hint="eastAsia" w:ascii="黑体" w:hAnsi="黑体" w:eastAsia="黑体"/>
          <w:b w:val="0"/>
          <w:highlight w:val="none"/>
        </w:rPr>
        <w:t>其他重要事项的情况说明</w:t>
      </w:r>
      <w:bookmarkEnd w:id="59"/>
      <w:bookmarkEnd w:id="60"/>
      <w:bookmarkEnd w:id="61"/>
    </w:p>
    <w:p w14:paraId="30125FB6">
      <w:pPr>
        <w:spacing w:line="600" w:lineRule="exact"/>
        <w:ind w:firstLine="643" w:firstLineChars="200"/>
        <w:outlineLvl w:val="2"/>
        <w:rPr>
          <w:rFonts w:ascii="仿宋" w:hAnsi="仿宋" w:eastAsia="仿宋"/>
          <w:sz w:val="32"/>
          <w:szCs w:val="32"/>
          <w:highlight w:val="none"/>
        </w:rPr>
      </w:pPr>
      <w:bookmarkStart w:id="62" w:name="_Toc15377222"/>
      <w:r>
        <w:rPr>
          <w:rFonts w:hint="eastAsia" w:ascii="仿宋" w:hAnsi="仿宋" w:eastAsia="仿宋"/>
          <w:b/>
          <w:sz w:val="32"/>
          <w:szCs w:val="32"/>
          <w:highlight w:val="none"/>
        </w:rPr>
        <w:t>（一）机关运行经费支出情况</w:t>
      </w:r>
      <w:bookmarkEnd w:id="62"/>
    </w:p>
    <w:p w14:paraId="4BEE8F79">
      <w:pPr>
        <w:spacing w:line="600" w:lineRule="exact"/>
        <w:ind w:firstLine="640" w:firstLineChars="200"/>
        <w:rPr>
          <w:rFonts w:ascii="仿宋_GB2312" w:hAnsi="仿宋_GB2312" w:eastAsia="仿宋_GB2312" w:cs="仿宋_GB2312"/>
          <w:sz w:val="32"/>
          <w:szCs w:val="32"/>
          <w:highlight w:val="none"/>
        </w:rPr>
      </w:pPr>
      <w:bookmarkStart w:id="63" w:name="_Toc15377223"/>
      <w:r>
        <w:rPr>
          <w:rFonts w:hint="eastAsia" w:ascii="仿宋_GB2312" w:hAnsi="仿宋_GB2312" w:eastAsia="仿宋_GB2312" w:cs="仿宋_GB2312"/>
          <w:sz w:val="32"/>
          <w:szCs w:val="32"/>
          <w:highlight w:val="none"/>
        </w:rPr>
        <w:t>2025年度，攀枝花市交通运输局（本级）机关运行经费支出165.87万元，比2024年度减少59.5</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万元，下降26.4%。主要原因是压缩经费。</w:t>
      </w:r>
    </w:p>
    <w:p w14:paraId="1A03044E">
      <w:pPr>
        <w:autoSpaceDE w:val="0"/>
        <w:autoSpaceDN w:val="0"/>
        <w:adjustRightInd w:val="0"/>
        <w:spacing w:line="600" w:lineRule="exact"/>
        <w:ind w:firstLine="643" w:firstLineChars="200"/>
        <w:jc w:val="left"/>
        <w:outlineLvl w:val="2"/>
        <w:rPr>
          <w:rFonts w:ascii="仿宋" w:hAnsi="仿宋" w:eastAsia="仿宋"/>
          <w:b/>
          <w:sz w:val="32"/>
          <w:szCs w:val="32"/>
          <w:highlight w:val="none"/>
        </w:rPr>
      </w:pPr>
      <w:r>
        <w:rPr>
          <w:rFonts w:hint="eastAsia" w:ascii="仿宋" w:hAnsi="仿宋" w:eastAsia="仿宋"/>
          <w:b/>
          <w:sz w:val="32"/>
          <w:szCs w:val="32"/>
          <w:highlight w:val="none"/>
        </w:rPr>
        <w:t>（二）政府采购支出情况</w:t>
      </w:r>
      <w:bookmarkEnd w:id="63"/>
    </w:p>
    <w:p w14:paraId="00C8D4AB">
      <w:pPr>
        <w:spacing w:line="60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度，攀枝花市交通运输局（本级）政府采购支出总额811.73万元，其中：政府采购货物支出618.32万元、政府采购工程支出0万元、政府采购服务支出193.41万元。主要用于火车南站长途客运站和公交换乘枢纽站后续工程项目、局机关通信网络租用服务、政府机关第十一食堂劳务采购、米易垭口固定超限检测站升级改造、城市客运规划编制等。授予中小企业合同金额35.92万元，占政府采购支出总额的4.4%，其中：授予小微企业合同金额35.92万元，占政府采购支出总额的4.4%。</w:t>
      </w:r>
    </w:p>
    <w:p w14:paraId="33935DAB">
      <w:pPr>
        <w:autoSpaceDE w:val="0"/>
        <w:autoSpaceDN w:val="0"/>
        <w:adjustRightInd w:val="0"/>
        <w:spacing w:line="600" w:lineRule="exact"/>
        <w:ind w:firstLine="643" w:firstLineChars="200"/>
        <w:jc w:val="left"/>
        <w:outlineLvl w:val="2"/>
        <w:rPr>
          <w:rFonts w:ascii="仿宋" w:hAnsi="仿宋" w:eastAsia="仿宋"/>
          <w:b/>
          <w:sz w:val="32"/>
          <w:szCs w:val="32"/>
          <w:highlight w:val="none"/>
        </w:rPr>
      </w:pPr>
      <w:bookmarkStart w:id="64" w:name="_Toc15377224"/>
      <w:r>
        <w:rPr>
          <w:rFonts w:hint="eastAsia" w:ascii="仿宋" w:hAnsi="仿宋" w:eastAsia="仿宋"/>
          <w:b/>
          <w:sz w:val="32"/>
          <w:szCs w:val="32"/>
          <w:highlight w:val="none"/>
        </w:rPr>
        <w:t>（三）国有资产占有使用情况</w:t>
      </w:r>
      <w:bookmarkEnd w:id="64"/>
    </w:p>
    <w:p w14:paraId="377D2FC8">
      <w:pPr>
        <w:spacing w:line="600" w:lineRule="exact"/>
        <w:ind w:firstLine="640"/>
        <w:rPr>
          <w:rFonts w:eastAsia="仿宋_GB2312" w:cs="仿宋_GB2312"/>
          <w:sz w:val="32"/>
          <w:szCs w:val="32"/>
          <w:highlight w:val="none"/>
        </w:rPr>
      </w:pPr>
      <w:r>
        <w:rPr>
          <w:rFonts w:hint="eastAsia" w:ascii="仿宋_GB2312" w:hAnsi="仿宋_GB2312" w:eastAsia="仿宋_GB2312" w:cs="仿宋_GB2312"/>
          <w:sz w:val="32"/>
          <w:szCs w:val="32"/>
          <w:highlight w:val="none"/>
        </w:rPr>
        <w:t>截至2025年12月31日，攀枝花市交通运输局（本级）共有车辆1辆，其中：主要负责人用车0辆、机要通信用车0辆、应急保障用车0辆、其他用车1辆，其他用车主要是用于日常交通建设管理。单价100万元（含）以上设备（不含车辆）0台（套）</w:t>
      </w:r>
      <w:r>
        <w:rPr>
          <w:rFonts w:hint="eastAsia" w:eastAsia="仿宋_GB2312" w:cs="仿宋_GB2312"/>
          <w:sz w:val="32"/>
          <w:szCs w:val="32"/>
          <w:highlight w:val="none"/>
        </w:rPr>
        <w:t>。</w:t>
      </w:r>
    </w:p>
    <w:p w14:paraId="589ED5A6">
      <w:pPr>
        <w:autoSpaceDE w:val="0"/>
        <w:autoSpaceDN w:val="0"/>
        <w:adjustRightInd w:val="0"/>
        <w:spacing w:line="600" w:lineRule="exact"/>
        <w:ind w:firstLine="643" w:firstLineChars="200"/>
        <w:jc w:val="left"/>
        <w:outlineLvl w:val="2"/>
        <w:rPr>
          <w:rFonts w:ascii="仿宋" w:hAnsi="仿宋" w:eastAsia="仿宋"/>
          <w:b/>
          <w:sz w:val="32"/>
          <w:szCs w:val="32"/>
          <w:highlight w:val="none"/>
        </w:rPr>
      </w:pPr>
      <w:r>
        <w:rPr>
          <w:rFonts w:hint="eastAsia" w:ascii="仿宋" w:hAnsi="仿宋" w:eastAsia="仿宋"/>
          <w:b/>
          <w:sz w:val="32"/>
          <w:szCs w:val="32"/>
          <w:highlight w:val="none"/>
        </w:rPr>
        <w:t>（四）预算绩效管理情况</w:t>
      </w:r>
    </w:p>
    <w:p w14:paraId="6077161F">
      <w:pPr>
        <w:pStyle w:val="9"/>
        <w:spacing w:before="93"/>
        <w:ind w:firstLine="640" w:firstLineChars="200"/>
        <w:rPr>
          <w:highlight w:val="none"/>
        </w:rPr>
      </w:pPr>
      <w:r>
        <w:rPr>
          <w:rFonts w:hint="eastAsia" w:hAnsi="仿宋_GB2312" w:cs="仿宋_GB2312"/>
          <w:sz w:val="32"/>
          <w:szCs w:val="32"/>
          <w:highlight w:val="none"/>
        </w:rPr>
        <w:t>根据预算绩效管理要求，本单位在2025年度预算编制阶段，组织对攀枝花至大理高速公路（四川境）等26个项目开展了预算事前绩效评估，对26个项目编制了绩效目标，预算执行过程中，组织对26个项目开展绩效自评，绩效自评表详见第四部分附件。</w:t>
      </w:r>
    </w:p>
    <w:p w14:paraId="539894C7">
      <w:pPr>
        <w:widowControl/>
        <w:jc w:val="left"/>
        <w:rPr>
          <w:rFonts w:ascii="仿宋_GB2312" w:eastAsia="仿宋_GB2312"/>
          <w:b/>
          <w:sz w:val="32"/>
          <w:szCs w:val="32"/>
          <w:highlight w:val="none"/>
        </w:rPr>
      </w:pPr>
      <w:r>
        <w:rPr>
          <w:rFonts w:ascii="仿宋_GB2312" w:eastAsia="仿宋_GB2312"/>
          <w:b/>
          <w:sz w:val="32"/>
          <w:szCs w:val="32"/>
          <w:highlight w:val="none"/>
        </w:rPr>
        <w:br w:type="page"/>
      </w:r>
    </w:p>
    <w:p w14:paraId="1F907741">
      <w:pPr>
        <w:numPr>
          <w:ilvl w:val="0"/>
          <w:numId w:val="4"/>
        </w:numPr>
        <w:spacing w:line="600" w:lineRule="exact"/>
        <w:ind w:firstLine="660" w:firstLineChars="150"/>
        <w:jc w:val="center"/>
        <w:outlineLvl w:val="0"/>
        <w:rPr>
          <w:rStyle w:val="30"/>
          <w:rFonts w:ascii="黑体" w:hAnsi="黑体" w:eastAsia="黑体"/>
          <w:b w:val="0"/>
          <w:highlight w:val="none"/>
        </w:rPr>
      </w:pPr>
      <w:bookmarkStart w:id="65" w:name="_Toc15396613"/>
      <w:bookmarkStart w:id="66" w:name="_Toc24770"/>
      <w:bookmarkStart w:id="67" w:name="_Toc15377225"/>
      <w:r>
        <w:rPr>
          <w:rFonts w:hint="eastAsia" w:ascii="黑体" w:hAnsi="黑体" w:eastAsia="黑体"/>
          <w:sz w:val="44"/>
          <w:szCs w:val="44"/>
          <w:highlight w:val="none"/>
        </w:rPr>
        <w:t>名</w:t>
      </w:r>
      <w:r>
        <w:rPr>
          <w:rStyle w:val="30"/>
          <w:rFonts w:hint="eastAsia" w:ascii="黑体" w:hAnsi="黑体" w:eastAsia="黑体"/>
          <w:b w:val="0"/>
          <w:highlight w:val="none"/>
        </w:rPr>
        <w:t>词解释</w:t>
      </w:r>
      <w:bookmarkEnd w:id="65"/>
      <w:bookmarkEnd w:id="66"/>
      <w:bookmarkEnd w:id="67"/>
    </w:p>
    <w:p w14:paraId="043BADBE">
      <w:pPr>
        <w:spacing w:line="600" w:lineRule="exact"/>
        <w:jc w:val="left"/>
        <w:rPr>
          <w:rFonts w:ascii="宋体"/>
          <w:b/>
          <w:sz w:val="44"/>
          <w:szCs w:val="44"/>
          <w:highlight w:val="none"/>
        </w:rPr>
      </w:pPr>
    </w:p>
    <w:p w14:paraId="0084FD30">
      <w:pPr>
        <w:pStyle w:val="28"/>
        <w:spacing w:line="560" w:lineRule="exact"/>
        <w:ind w:firstLine="640" w:firstLineChars="200"/>
        <w:rPr>
          <w:rFonts w:ascii="仿宋_GB2312" w:hAnsi="仿宋_GB2312" w:eastAsia="仿宋_GB2312" w:cs="仿宋_GB2312"/>
          <w:sz w:val="32"/>
          <w:szCs w:val="32"/>
          <w:highlight w:val="none"/>
        </w:rPr>
      </w:pPr>
      <w:bookmarkStart w:id="68" w:name="_Toc15377226"/>
      <w:r>
        <w:rPr>
          <w:rFonts w:hint="eastAsia" w:ascii="仿宋_GB2312" w:hAnsi="仿宋_GB2312" w:eastAsia="仿宋_GB2312" w:cs="仿宋_GB2312"/>
          <w:sz w:val="32"/>
          <w:szCs w:val="32"/>
          <w:highlight w:val="none"/>
        </w:rPr>
        <w:t>1.财政拨款收入：指单位从同级财政部门取得的财政预算资金。</w:t>
      </w:r>
    </w:p>
    <w:p w14:paraId="08F1BF88">
      <w:pPr>
        <w:pStyle w:val="28"/>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2.使用非财政拨款结余：指事业单位使用以前年度积累的非财政拨款结余弥补当年收支差额的金额。 </w:t>
      </w:r>
    </w:p>
    <w:p w14:paraId="3D4D7483">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3.一般公共服务支出（类）组织事务（款）其他组织事务支出（项）：指其他用于中国共产党组织部门的事务支出。</w:t>
      </w:r>
    </w:p>
    <w:p w14:paraId="5F7B9C18">
      <w:pPr>
        <w:pStyle w:val="9"/>
        <w:spacing w:before="93"/>
        <w:ind w:firstLine="640" w:firstLineChars="200"/>
        <w:rPr>
          <w:rFonts w:hAnsi="仿宋_GB2312" w:cs="仿宋_GB2312"/>
          <w:bCs/>
          <w:sz w:val="32"/>
          <w:szCs w:val="32"/>
          <w:highlight w:val="none"/>
        </w:rPr>
      </w:pPr>
      <w:r>
        <w:rPr>
          <w:rFonts w:hint="eastAsia" w:hAnsi="仿宋_GB2312" w:cs="仿宋_GB2312"/>
          <w:bCs/>
          <w:sz w:val="32"/>
          <w:szCs w:val="32"/>
          <w:highlight w:val="none"/>
        </w:rPr>
        <w:t>4.社会保障和就业支出（类）人力资源和社会保障管理事务（款）其他人力资源和社会保障管理事务支出（项）:其他用于人力资源和社会保障事务方面的支出。</w:t>
      </w:r>
    </w:p>
    <w:p w14:paraId="2420266D">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5.社会保障和就业支出（类）行政事业单位养老支出（款）行政单位离退休（项）:</w:t>
      </w:r>
      <w:r>
        <w:rPr>
          <w:rFonts w:hint="eastAsia" w:ascii="仿宋_GB2312" w:hAnsi="仿宋_GB2312" w:eastAsia="仿宋_GB2312" w:cs="仿宋_GB2312"/>
          <w:color w:val="000000"/>
          <w:sz w:val="32"/>
          <w:szCs w:val="32"/>
          <w:highlight w:val="none"/>
        </w:rPr>
        <w:t>指行政单位（包括实行公务员法管理的事业单位）开支的离退休经费。</w:t>
      </w:r>
    </w:p>
    <w:p w14:paraId="006EF80C">
      <w:pPr>
        <w:ind w:firstLine="640" w:firstLineChars="200"/>
        <w:rPr>
          <w:rFonts w:ascii="仿宋_GB2312" w:hAnsi="仿宋_GB2312" w:eastAsia="仿宋_GB2312" w:cs="仿宋_GB2312"/>
          <w:color w:val="000000"/>
          <w:sz w:val="32"/>
          <w:szCs w:val="32"/>
          <w:highlight w:val="none"/>
        </w:rPr>
      </w:pPr>
      <w:r>
        <w:rPr>
          <w:rFonts w:hint="eastAsia" w:ascii="仿宋_GB2312" w:hAnsi="仿宋_GB2312" w:eastAsia="仿宋_GB2312" w:cs="仿宋_GB2312"/>
          <w:bCs/>
          <w:sz w:val="32"/>
          <w:szCs w:val="32"/>
          <w:highlight w:val="none"/>
        </w:rPr>
        <w:t>6.社会保障和就业支出（类）行政事业单位养老支出（款）机关事业单位基本养老保险缴费支出（项）:</w:t>
      </w:r>
      <w:r>
        <w:rPr>
          <w:rFonts w:hint="eastAsia" w:ascii="仿宋_GB2312" w:hAnsi="仿宋_GB2312" w:eastAsia="仿宋_GB2312" w:cs="仿宋_GB2312"/>
          <w:color w:val="000000"/>
          <w:sz w:val="32"/>
          <w:szCs w:val="32"/>
          <w:highlight w:val="none"/>
        </w:rPr>
        <w:t>指机关事业单位实施养老保险制度由单位缴纳的基本养老保险费支出。</w:t>
      </w:r>
    </w:p>
    <w:p w14:paraId="3C2E8CAC">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7.社会保障和就业支出（类）行政事业单位养老支出（款）机关事业单位职业年金缴费支出（项）:指机关事业单位实施养老保险制度由单位实际缴纳的职业年金支出（含职业年金补记支出）。</w:t>
      </w:r>
    </w:p>
    <w:p w14:paraId="60D771AF">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8.社会保障和就业支出（类）社会福利（款）死亡抚恤（项）：反映按规定用于烈士和牺牲、病故人员家属的一次性和定期抚恤金、丧葬补助费以及烈士褒扬金。</w:t>
      </w:r>
    </w:p>
    <w:p w14:paraId="44312BA7">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9.社会保障和就业支出（类）社会福利（款）儿童福利（项）：</w:t>
      </w:r>
      <w:r>
        <w:rPr>
          <w:rFonts w:hint="eastAsia" w:ascii="仿宋_GB2312" w:hAnsi="仿宋_GB2312" w:eastAsia="仿宋_GB2312" w:cs="仿宋_GB2312"/>
          <w:color w:val="000000"/>
          <w:sz w:val="32"/>
          <w:szCs w:val="32"/>
          <w:highlight w:val="none"/>
        </w:rPr>
        <w:t>指对儿童提供福利服务方面的支出。</w:t>
      </w:r>
    </w:p>
    <w:p w14:paraId="2D6480C8">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10.卫生健康支出（类）行政事业单位医疗（款）行政单位医疗（项）:指财政部门安排的行政单位（包括实行公务员管理的事业单位）基本医疗保险缴费经费、为参加医疗保险的行政单位的公费医疗经费，按国家规定享受离休人员、红军老战士待遇人员的医疗经费。</w:t>
      </w:r>
    </w:p>
    <w:p w14:paraId="03AD4DB4">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11.卫生健康支出（类）行政事业单位医疗（款）公务员医疗补助（项）:指财政部门安排的公务员医疗补助经费。</w:t>
      </w:r>
    </w:p>
    <w:p w14:paraId="2A8AAC16">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12.卫生健康支出（类）其他卫生健康支出（款）其他卫生健康支出（项）:指其他用于卫生健康方面的支出。</w:t>
      </w:r>
    </w:p>
    <w:p w14:paraId="24F89C97">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13.城乡社区支出（类）城市基础设施配套费安排的支出（款）城市公共设施（项）：反映城市基础设施配套费安排用于城市道路、桥涵、公共交通、道路照明、供排水、燃气、供热等公共设施维护、建设和管理方面的支出。</w:t>
      </w:r>
    </w:p>
    <w:p w14:paraId="709C031A">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14.农林水支出（类）农业农村（款）农村社会事业（项）:指用于农村社会事业发展的支出。</w:t>
      </w:r>
    </w:p>
    <w:p w14:paraId="2C2FE9C4">
      <w:pPr>
        <w:ind w:firstLine="640" w:firstLineChars="200"/>
        <w:rPr>
          <w:rFonts w:ascii="仿宋_GB2312" w:hAnsi="仿宋_GB2312" w:eastAsia="仿宋_GB2312" w:cs="仿宋_GB2312"/>
          <w:color w:val="000000"/>
          <w:sz w:val="32"/>
          <w:szCs w:val="32"/>
          <w:highlight w:val="none"/>
        </w:rPr>
      </w:pPr>
      <w:r>
        <w:rPr>
          <w:rFonts w:hint="eastAsia" w:ascii="仿宋_GB2312" w:hAnsi="仿宋_GB2312" w:eastAsia="仿宋_GB2312" w:cs="仿宋_GB2312"/>
          <w:bCs/>
          <w:sz w:val="32"/>
          <w:szCs w:val="32"/>
          <w:highlight w:val="none"/>
        </w:rPr>
        <w:t>15.交通运输支出（类）公路水路运输（款）行政运行（项）:</w:t>
      </w:r>
      <w:r>
        <w:rPr>
          <w:rFonts w:hint="eastAsia" w:ascii="仿宋_GB2312" w:hAnsi="仿宋_GB2312" w:eastAsia="仿宋_GB2312" w:cs="仿宋_GB2312"/>
          <w:color w:val="000000"/>
          <w:sz w:val="32"/>
          <w:szCs w:val="32"/>
          <w:highlight w:val="none"/>
        </w:rPr>
        <w:t>指交通运输方面的行政单位（包括实行公务员法管理的事业单位）的基本支出。</w:t>
      </w:r>
    </w:p>
    <w:p w14:paraId="4527DEA4">
      <w:pPr>
        <w:ind w:firstLine="640" w:firstLineChars="200"/>
        <w:rPr>
          <w:rFonts w:eastAsia="仿宋_GB2312"/>
          <w:highlight w:val="none"/>
        </w:rPr>
      </w:pPr>
      <w:r>
        <w:rPr>
          <w:rFonts w:hint="eastAsia" w:ascii="仿宋_GB2312" w:hAnsi="仿宋_GB2312" w:eastAsia="仿宋_GB2312" w:cs="仿宋_GB2312"/>
          <w:bCs/>
          <w:sz w:val="32"/>
          <w:szCs w:val="32"/>
          <w:highlight w:val="none"/>
        </w:rPr>
        <w:t>16.交通运输支出（类）公路水路运输（款）一般行政管理事务（项）:</w:t>
      </w:r>
      <w:r>
        <w:rPr>
          <w:rFonts w:hint="eastAsia" w:ascii="仿宋_GB2312" w:hAnsi="仿宋_GB2312" w:eastAsia="仿宋_GB2312" w:cs="仿宋_GB2312"/>
          <w:color w:val="000000"/>
          <w:sz w:val="32"/>
          <w:szCs w:val="32"/>
          <w:highlight w:val="none"/>
        </w:rPr>
        <w:t>反映行政单位（包括实行公务员管理的事业单位）未单独设置项级科目的其他项目支出。</w:t>
      </w:r>
    </w:p>
    <w:p w14:paraId="25951CA3">
      <w:pPr>
        <w:ind w:firstLine="640" w:firstLineChars="200"/>
        <w:rPr>
          <w:rFonts w:ascii="仿宋_GB2312" w:hAnsi="仿宋_GB2312" w:eastAsia="仿宋_GB2312" w:cs="仿宋_GB2312"/>
          <w:color w:val="000000"/>
          <w:sz w:val="32"/>
          <w:szCs w:val="32"/>
          <w:highlight w:val="none"/>
        </w:rPr>
      </w:pPr>
      <w:r>
        <w:rPr>
          <w:rFonts w:hint="eastAsia" w:ascii="仿宋_GB2312" w:hAnsi="仿宋_GB2312" w:eastAsia="仿宋_GB2312" w:cs="仿宋_GB2312"/>
          <w:bCs/>
          <w:sz w:val="32"/>
          <w:szCs w:val="32"/>
          <w:highlight w:val="none"/>
        </w:rPr>
        <w:t>17.交通运输支出（类）公路水路运输（款）交通运输信息化建设（项）:反映交通运输信息化建设支出</w:t>
      </w:r>
      <w:r>
        <w:rPr>
          <w:rFonts w:hint="eastAsia" w:ascii="仿宋_GB2312" w:hAnsi="仿宋_GB2312" w:eastAsia="仿宋_GB2312" w:cs="仿宋_GB2312"/>
          <w:color w:val="000000"/>
          <w:sz w:val="32"/>
          <w:szCs w:val="32"/>
          <w:highlight w:val="none"/>
        </w:rPr>
        <w:t>。</w:t>
      </w:r>
    </w:p>
    <w:p w14:paraId="647851A2">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18.交通运输支出（类）公路水路运输（款）公路和运输安全（项）:反映公路和运输安全支出。</w:t>
      </w:r>
    </w:p>
    <w:p w14:paraId="76E0AB6F">
      <w:pPr>
        <w:ind w:firstLine="640" w:firstLineChars="200"/>
        <w:rPr>
          <w:rFonts w:ascii="仿宋_GB2312" w:hAnsi="仿宋_GB2312" w:eastAsia="仿宋_GB2312" w:cs="仿宋_GB2312"/>
          <w:color w:val="000000"/>
          <w:sz w:val="32"/>
          <w:szCs w:val="32"/>
          <w:highlight w:val="none"/>
        </w:rPr>
      </w:pPr>
      <w:r>
        <w:rPr>
          <w:rFonts w:hint="eastAsia" w:ascii="仿宋_GB2312" w:hAnsi="仿宋_GB2312" w:eastAsia="仿宋_GB2312" w:cs="仿宋_GB2312"/>
          <w:bCs/>
          <w:sz w:val="32"/>
          <w:szCs w:val="32"/>
          <w:highlight w:val="none"/>
        </w:rPr>
        <w:t>19.交通运输支出（类）公路水路运输（款）其他公路水路运输支出（项）:</w:t>
      </w:r>
      <w:r>
        <w:rPr>
          <w:rFonts w:hint="eastAsia" w:ascii="仿宋_GB2312" w:hAnsi="仿宋_GB2312" w:eastAsia="仿宋_GB2312" w:cs="仿宋_GB2312"/>
          <w:color w:val="000000"/>
          <w:sz w:val="32"/>
          <w:szCs w:val="32"/>
          <w:highlight w:val="none"/>
        </w:rPr>
        <w:t>指其他用于公路水路运输方面的支出。</w:t>
      </w:r>
    </w:p>
    <w:p w14:paraId="241DBDA2">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20.交通运输支出（类）民用航空运输（款）其他民用航空运输支出（项）:反映其他用于民用航空运输方面的支出。</w:t>
      </w:r>
    </w:p>
    <w:p w14:paraId="2400B084">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21.交通运输支出（类）其他交通运输支出（款）其他交通运输支出（项）:指其他交通运输支出中除对公共交通运营补助以外的其他支出。</w:t>
      </w:r>
    </w:p>
    <w:p w14:paraId="4980886D">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22.资源勘探工业信息等支出（类）超长期特别国债安排的支出（款）制造业（项）：反映使用超长期特别国债收入安排的交通运输设备等制造业支出。</w:t>
      </w:r>
    </w:p>
    <w:p w14:paraId="62FE9A95">
      <w:pPr>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23.住房保障支出（类）住房改革支出（款）住房公积金（项）:</w:t>
      </w:r>
      <w:r>
        <w:rPr>
          <w:rFonts w:hint="eastAsia" w:ascii="仿宋_GB2312" w:hAnsi="仿宋_GB2312" w:eastAsia="仿宋_GB2312" w:cs="仿宋_GB2312"/>
          <w:color w:val="000000"/>
          <w:sz w:val="32"/>
          <w:szCs w:val="32"/>
          <w:highlight w:val="none"/>
        </w:rPr>
        <w:t>指行政事业单位按人力资源和社会保障部、财政部规定的基本工资和津贴补贴以及规定比例为职工缴纳的住房公积金。</w:t>
      </w:r>
    </w:p>
    <w:p w14:paraId="5C7D2FED">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24.其他支出（类）其他政府性基金及对应专项债务收入安排的支出（款）其他地方自行试点项目收益专项债券收入安排的支出（项）：反映其他地方自行试点项目收益专项债券收入安排的支出。</w:t>
      </w:r>
    </w:p>
    <w:p w14:paraId="49A48338">
      <w:pPr>
        <w:pStyle w:val="9"/>
        <w:spacing w:before="93"/>
        <w:ind w:firstLine="640"/>
        <w:rPr>
          <w:rFonts w:hAnsi="仿宋_GB2312" w:cs="仿宋_GB2312"/>
          <w:bCs/>
          <w:sz w:val="32"/>
          <w:szCs w:val="32"/>
          <w:highlight w:val="none"/>
        </w:rPr>
      </w:pPr>
      <w:r>
        <w:rPr>
          <w:rFonts w:hint="eastAsia" w:hAnsi="仿宋_GB2312" w:cs="仿宋_GB2312"/>
          <w:bCs/>
          <w:sz w:val="32"/>
          <w:szCs w:val="32"/>
          <w:highlight w:val="none"/>
        </w:rPr>
        <w:t>25.其他支出（类）其他政府性基金及对应专项债务收入安排的支出（款）其他政府性基金债务收入安排的支出（项）：反映其他政府性基金债务收入安排的支出。</w:t>
      </w:r>
    </w:p>
    <w:p w14:paraId="474AD94E">
      <w:pPr>
        <w:pStyle w:val="9"/>
        <w:spacing w:before="93"/>
        <w:ind w:firstLine="640"/>
        <w:rPr>
          <w:rFonts w:hAnsi="仿宋_GB2312" w:cs="仿宋_GB2312"/>
          <w:color w:val="000000"/>
          <w:sz w:val="32"/>
          <w:szCs w:val="32"/>
          <w:highlight w:val="none"/>
        </w:rPr>
      </w:pPr>
      <w:r>
        <w:rPr>
          <w:rFonts w:hint="eastAsia" w:hAnsi="仿宋_GB2312" w:cs="仿宋_GB2312"/>
          <w:bCs/>
          <w:sz w:val="32"/>
          <w:szCs w:val="32"/>
          <w:highlight w:val="none"/>
        </w:rPr>
        <w:t>26.其他支出（类）其他支出（款）其他支出（项）：指其他不能划分到具体功能科目中的支出项目。</w:t>
      </w:r>
    </w:p>
    <w:p w14:paraId="1D7F56A3">
      <w:pPr>
        <w:ind w:firstLine="640" w:firstLineChars="200"/>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27.项目支出：指在基本支出之外为完成特定行政任务和事业发展目标所发生的支出。</w:t>
      </w:r>
    </w:p>
    <w:p w14:paraId="392B61C3">
      <w:pPr>
        <w:pStyle w:val="28"/>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05258AB">
      <w:pPr>
        <w:pStyle w:val="28"/>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220885E">
      <w:pPr>
        <w:spacing w:line="600" w:lineRule="exact"/>
        <w:jc w:val="center"/>
        <w:outlineLvl w:val="0"/>
        <w:rPr>
          <w:rStyle w:val="30"/>
          <w:rFonts w:ascii="黑体" w:hAnsi="黑体" w:eastAsia="黑体"/>
          <w:b w:val="0"/>
          <w:highlight w:val="none"/>
        </w:rPr>
      </w:pPr>
      <w:r>
        <w:rPr>
          <w:rFonts w:hint="eastAsia" w:ascii="仿宋_GB2312" w:hAnsi="仿宋_GB2312" w:eastAsia="仿宋_GB2312" w:cs="仿宋_GB2312"/>
          <w:b/>
          <w:sz w:val="32"/>
          <w:szCs w:val="32"/>
          <w:highlight w:val="none"/>
        </w:rPr>
        <w:br w:type="page"/>
      </w:r>
      <w:bookmarkStart w:id="69" w:name="_Toc10788"/>
      <w:bookmarkStart w:id="70" w:name="_Toc15396614"/>
      <w:r>
        <w:rPr>
          <w:rFonts w:hint="eastAsia" w:ascii="黑体" w:hAnsi="黑体" w:eastAsia="黑体"/>
          <w:sz w:val="44"/>
          <w:szCs w:val="44"/>
          <w:highlight w:val="none"/>
        </w:rPr>
        <w:t>第</w:t>
      </w:r>
      <w:r>
        <w:rPr>
          <w:rStyle w:val="30"/>
          <w:rFonts w:hint="eastAsia" w:ascii="黑体" w:hAnsi="黑体" w:eastAsia="黑体"/>
          <w:b w:val="0"/>
          <w:highlight w:val="none"/>
        </w:rPr>
        <w:t>四部分 附件</w:t>
      </w:r>
      <w:bookmarkEnd w:id="69"/>
      <w:bookmarkEnd w:id="70"/>
    </w:p>
    <w:p w14:paraId="351C355F">
      <w:pPr>
        <w:spacing w:line="600" w:lineRule="exact"/>
        <w:jc w:val="center"/>
        <w:outlineLvl w:val="0"/>
        <w:rPr>
          <w:rFonts w:hint="eastAsia" w:ascii="仿宋_GB2312" w:hAnsi="仿宋_GB2312" w:eastAsia="仿宋_GB2312" w:cs="仿宋_GB2312"/>
          <w:kern w:val="0"/>
          <w:sz w:val="32"/>
          <w:szCs w:val="32"/>
          <w:highlight w:val="none"/>
        </w:rPr>
      </w:pPr>
      <w:bookmarkStart w:id="71" w:name="_Toc24683"/>
      <w:bookmarkStart w:id="72" w:name="_Toc15396618"/>
      <w:r>
        <w:rPr>
          <w:rFonts w:hint="eastAsia" w:ascii="仿宋_GB2312" w:hAnsi="仿宋_GB2312" w:eastAsia="仿宋_GB2312" w:cs="仿宋_GB2312"/>
          <w:kern w:val="0"/>
          <w:sz w:val="32"/>
          <w:szCs w:val="32"/>
          <w:highlight w:val="none"/>
        </w:rPr>
        <w:t>部门预算项目支出绩效自评表（2025年度）</w:t>
      </w:r>
      <w:bookmarkEnd w:id="71"/>
      <w:r>
        <w:rPr>
          <w:rFonts w:hint="eastAsia" w:ascii="仿宋_GB2312" w:hAnsi="仿宋_GB2312" w:eastAsia="仿宋_GB2312" w:cs="仿宋_GB2312"/>
          <w:kern w:val="0"/>
          <w:sz w:val="32"/>
          <w:szCs w:val="32"/>
          <w:highlight w:val="none"/>
        </w:rPr>
        <w:t>见附表2。</w:t>
      </w:r>
    </w:p>
    <w:p w14:paraId="1FCE9C05">
      <w:pPr>
        <w:pStyle w:val="2"/>
        <w:rPr>
          <w:rFonts w:hint="eastAsia" w:ascii="仿宋_GB2312" w:hAnsi="仿宋_GB2312" w:eastAsia="仿宋_GB2312" w:cs="仿宋_GB2312"/>
          <w:kern w:val="0"/>
          <w:sz w:val="32"/>
          <w:szCs w:val="32"/>
          <w:highlight w:val="none"/>
        </w:rPr>
      </w:pPr>
    </w:p>
    <w:p w14:paraId="7A67B96B">
      <w:pPr>
        <w:pStyle w:val="3"/>
        <w:rPr>
          <w:rFonts w:hint="eastAsia" w:ascii="仿宋_GB2312" w:hAnsi="仿宋_GB2312" w:eastAsia="仿宋_GB2312" w:cs="仿宋_GB2312"/>
          <w:kern w:val="0"/>
          <w:sz w:val="32"/>
          <w:szCs w:val="32"/>
          <w:highlight w:val="none"/>
        </w:rPr>
      </w:pPr>
    </w:p>
    <w:p w14:paraId="2EB9350F">
      <w:pPr>
        <w:pStyle w:val="3"/>
        <w:rPr>
          <w:rFonts w:hint="eastAsia" w:ascii="仿宋_GB2312" w:hAnsi="仿宋_GB2312" w:eastAsia="仿宋_GB2312" w:cs="仿宋_GB2312"/>
          <w:kern w:val="0"/>
          <w:sz w:val="32"/>
          <w:szCs w:val="32"/>
          <w:highlight w:val="none"/>
        </w:rPr>
      </w:pPr>
    </w:p>
    <w:p w14:paraId="56DDAF97">
      <w:pPr>
        <w:pStyle w:val="3"/>
        <w:rPr>
          <w:rFonts w:hint="eastAsia" w:ascii="仿宋_GB2312" w:hAnsi="仿宋_GB2312" w:eastAsia="仿宋_GB2312" w:cs="仿宋_GB2312"/>
          <w:kern w:val="0"/>
          <w:sz w:val="32"/>
          <w:szCs w:val="32"/>
          <w:highlight w:val="none"/>
        </w:rPr>
      </w:pPr>
    </w:p>
    <w:p w14:paraId="5410BA19">
      <w:pPr>
        <w:pStyle w:val="3"/>
        <w:rPr>
          <w:rFonts w:hint="eastAsia" w:ascii="仿宋_GB2312" w:hAnsi="仿宋_GB2312" w:eastAsia="仿宋_GB2312" w:cs="仿宋_GB2312"/>
          <w:kern w:val="0"/>
          <w:sz w:val="32"/>
          <w:szCs w:val="32"/>
          <w:highlight w:val="none"/>
        </w:rPr>
      </w:pPr>
    </w:p>
    <w:p w14:paraId="3084C67F">
      <w:pPr>
        <w:pStyle w:val="3"/>
        <w:rPr>
          <w:rFonts w:hint="eastAsia" w:ascii="仿宋_GB2312" w:hAnsi="仿宋_GB2312" w:eastAsia="仿宋_GB2312" w:cs="仿宋_GB2312"/>
          <w:kern w:val="0"/>
          <w:sz w:val="32"/>
          <w:szCs w:val="32"/>
          <w:highlight w:val="none"/>
        </w:rPr>
      </w:pPr>
    </w:p>
    <w:p w14:paraId="6AEA905E">
      <w:pPr>
        <w:pStyle w:val="3"/>
        <w:rPr>
          <w:rFonts w:hint="eastAsia" w:ascii="仿宋_GB2312" w:hAnsi="仿宋_GB2312" w:eastAsia="仿宋_GB2312" w:cs="仿宋_GB2312"/>
          <w:kern w:val="0"/>
          <w:sz w:val="32"/>
          <w:szCs w:val="32"/>
          <w:highlight w:val="none"/>
        </w:rPr>
      </w:pPr>
    </w:p>
    <w:p w14:paraId="7CC59BE1">
      <w:pPr>
        <w:pStyle w:val="3"/>
        <w:rPr>
          <w:rFonts w:hint="eastAsia" w:ascii="仿宋_GB2312" w:hAnsi="仿宋_GB2312" w:eastAsia="仿宋_GB2312" w:cs="仿宋_GB2312"/>
          <w:kern w:val="0"/>
          <w:sz w:val="32"/>
          <w:szCs w:val="32"/>
          <w:highlight w:val="none"/>
        </w:rPr>
      </w:pPr>
    </w:p>
    <w:p w14:paraId="3A39FA70">
      <w:pPr>
        <w:pStyle w:val="3"/>
        <w:rPr>
          <w:rFonts w:hint="eastAsia" w:ascii="仿宋_GB2312" w:hAnsi="仿宋_GB2312" w:eastAsia="仿宋_GB2312" w:cs="仿宋_GB2312"/>
          <w:kern w:val="0"/>
          <w:sz w:val="32"/>
          <w:szCs w:val="32"/>
          <w:highlight w:val="none"/>
        </w:rPr>
      </w:pPr>
    </w:p>
    <w:p w14:paraId="571EA4C9">
      <w:pPr>
        <w:pStyle w:val="3"/>
        <w:rPr>
          <w:rFonts w:hint="eastAsia" w:ascii="仿宋_GB2312" w:hAnsi="仿宋_GB2312" w:eastAsia="仿宋_GB2312" w:cs="仿宋_GB2312"/>
          <w:kern w:val="0"/>
          <w:sz w:val="32"/>
          <w:szCs w:val="32"/>
          <w:highlight w:val="none"/>
        </w:rPr>
      </w:pPr>
    </w:p>
    <w:p w14:paraId="49BD9711">
      <w:pPr>
        <w:pStyle w:val="3"/>
        <w:rPr>
          <w:rFonts w:hint="eastAsia" w:ascii="仿宋_GB2312" w:hAnsi="仿宋_GB2312" w:eastAsia="仿宋_GB2312" w:cs="仿宋_GB2312"/>
          <w:kern w:val="0"/>
          <w:sz w:val="32"/>
          <w:szCs w:val="32"/>
          <w:highlight w:val="none"/>
        </w:rPr>
      </w:pPr>
    </w:p>
    <w:p w14:paraId="04A9D55C">
      <w:pPr>
        <w:pStyle w:val="3"/>
        <w:rPr>
          <w:rFonts w:hint="eastAsia" w:ascii="仿宋_GB2312" w:hAnsi="仿宋_GB2312" w:eastAsia="仿宋_GB2312" w:cs="仿宋_GB2312"/>
          <w:kern w:val="0"/>
          <w:sz w:val="32"/>
          <w:szCs w:val="32"/>
          <w:highlight w:val="none"/>
        </w:rPr>
      </w:pPr>
    </w:p>
    <w:p w14:paraId="2B17B960">
      <w:pPr>
        <w:pStyle w:val="3"/>
        <w:rPr>
          <w:rFonts w:hint="eastAsia" w:ascii="仿宋_GB2312" w:hAnsi="仿宋_GB2312" w:eastAsia="仿宋_GB2312" w:cs="仿宋_GB2312"/>
          <w:kern w:val="0"/>
          <w:sz w:val="32"/>
          <w:szCs w:val="32"/>
          <w:highlight w:val="none"/>
        </w:rPr>
      </w:pPr>
    </w:p>
    <w:p w14:paraId="2D9AC2D1">
      <w:pPr>
        <w:pStyle w:val="3"/>
        <w:rPr>
          <w:rFonts w:hint="eastAsia" w:ascii="仿宋_GB2312" w:hAnsi="仿宋_GB2312" w:eastAsia="仿宋_GB2312" w:cs="仿宋_GB2312"/>
          <w:kern w:val="0"/>
          <w:sz w:val="32"/>
          <w:szCs w:val="32"/>
          <w:highlight w:val="none"/>
        </w:rPr>
      </w:pPr>
    </w:p>
    <w:p w14:paraId="0537BF4A">
      <w:pPr>
        <w:pStyle w:val="3"/>
        <w:rPr>
          <w:rFonts w:hint="eastAsia" w:ascii="仿宋_GB2312" w:hAnsi="仿宋_GB2312" w:eastAsia="仿宋_GB2312" w:cs="仿宋_GB2312"/>
          <w:kern w:val="0"/>
          <w:sz w:val="32"/>
          <w:szCs w:val="32"/>
          <w:highlight w:val="none"/>
        </w:rPr>
      </w:pPr>
    </w:p>
    <w:p w14:paraId="51A5C8C3">
      <w:pPr>
        <w:pStyle w:val="3"/>
        <w:rPr>
          <w:rFonts w:hint="eastAsia" w:ascii="仿宋_GB2312" w:hAnsi="仿宋_GB2312" w:eastAsia="仿宋_GB2312" w:cs="仿宋_GB2312"/>
          <w:kern w:val="0"/>
          <w:sz w:val="32"/>
          <w:szCs w:val="32"/>
          <w:highlight w:val="none"/>
        </w:rPr>
      </w:pPr>
    </w:p>
    <w:p w14:paraId="3C5951C7">
      <w:pPr>
        <w:pStyle w:val="3"/>
        <w:rPr>
          <w:rFonts w:hint="eastAsia" w:ascii="仿宋_GB2312" w:hAnsi="仿宋_GB2312" w:eastAsia="仿宋_GB2312" w:cs="仿宋_GB2312"/>
          <w:kern w:val="0"/>
          <w:sz w:val="32"/>
          <w:szCs w:val="32"/>
          <w:highlight w:val="none"/>
        </w:rPr>
      </w:pPr>
    </w:p>
    <w:p w14:paraId="16385256">
      <w:pPr>
        <w:spacing w:line="600" w:lineRule="exact"/>
        <w:jc w:val="center"/>
        <w:outlineLvl w:val="0"/>
        <w:rPr>
          <w:rFonts w:ascii="仿宋" w:hAnsi="仿宋" w:eastAsia="仿宋"/>
          <w:highlight w:val="none"/>
        </w:rPr>
      </w:pPr>
      <w:bookmarkStart w:id="73" w:name="_Toc7232"/>
      <w:r>
        <w:rPr>
          <w:rFonts w:hint="eastAsia" w:ascii="黑体" w:hAnsi="黑体" w:eastAsia="黑体"/>
          <w:sz w:val="44"/>
          <w:szCs w:val="44"/>
          <w:highlight w:val="none"/>
        </w:rPr>
        <w:t>第</w:t>
      </w:r>
      <w:r>
        <w:rPr>
          <w:rStyle w:val="30"/>
          <w:rFonts w:hint="eastAsia" w:ascii="黑体" w:hAnsi="黑体" w:eastAsia="黑体"/>
          <w:b w:val="0"/>
          <w:highlight w:val="none"/>
        </w:rPr>
        <w:t>五部分 附表</w:t>
      </w:r>
      <w:bookmarkEnd w:id="68"/>
      <w:bookmarkEnd w:id="72"/>
      <w:bookmarkEnd w:id="73"/>
      <w:bookmarkStart w:id="74" w:name="_Toc15396619"/>
    </w:p>
    <w:p w14:paraId="09BB690A">
      <w:pPr>
        <w:pStyle w:val="6"/>
        <w:rPr>
          <w:rFonts w:ascii="仿宋" w:hAnsi="仿宋" w:eastAsia="仿宋"/>
          <w:highlight w:val="none"/>
        </w:rPr>
      </w:pPr>
      <w:bookmarkStart w:id="75" w:name="_Toc19189"/>
      <w:r>
        <w:rPr>
          <w:rFonts w:hint="eastAsia" w:ascii="仿宋" w:hAnsi="仿宋" w:eastAsia="仿宋"/>
          <w:b w:val="0"/>
          <w:highlight w:val="none"/>
        </w:rPr>
        <w:t>一、收</w:t>
      </w:r>
      <w:r>
        <w:rPr>
          <w:rStyle w:val="31"/>
          <w:rFonts w:hint="eastAsia" w:ascii="仿宋" w:hAnsi="仿宋" w:eastAsia="仿宋"/>
          <w:b w:val="0"/>
          <w:bCs w:val="0"/>
          <w:highlight w:val="none"/>
        </w:rPr>
        <w:t>入支出决算总表</w:t>
      </w:r>
      <w:bookmarkEnd w:id="74"/>
      <w:bookmarkEnd w:id="75"/>
    </w:p>
    <w:p w14:paraId="75B95628">
      <w:pPr>
        <w:pStyle w:val="6"/>
        <w:rPr>
          <w:rFonts w:ascii="仿宋" w:hAnsi="仿宋" w:eastAsia="仿宋"/>
          <w:highlight w:val="none"/>
        </w:rPr>
      </w:pPr>
      <w:bookmarkStart w:id="76" w:name="_Toc23980"/>
      <w:bookmarkStart w:id="77" w:name="_Toc15396620"/>
      <w:r>
        <w:rPr>
          <w:rFonts w:hint="eastAsia" w:ascii="仿宋" w:hAnsi="仿宋" w:eastAsia="仿宋"/>
          <w:b w:val="0"/>
          <w:highlight w:val="none"/>
        </w:rPr>
        <w:t>二、收</w:t>
      </w:r>
      <w:r>
        <w:rPr>
          <w:rStyle w:val="31"/>
          <w:rFonts w:hint="eastAsia" w:ascii="仿宋" w:hAnsi="仿宋" w:eastAsia="仿宋"/>
          <w:b w:val="0"/>
          <w:bCs w:val="0"/>
          <w:highlight w:val="none"/>
        </w:rPr>
        <w:t>入决算表</w:t>
      </w:r>
      <w:bookmarkEnd w:id="76"/>
      <w:bookmarkEnd w:id="77"/>
    </w:p>
    <w:p w14:paraId="622B3F34">
      <w:pPr>
        <w:pStyle w:val="6"/>
        <w:rPr>
          <w:rFonts w:ascii="仿宋" w:hAnsi="仿宋" w:eastAsia="仿宋"/>
          <w:highlight w:val="none"/>
        </w:rPr>
      </w:pPr>
      <w:bookmarkStart w:id="78" w:name="_Toc15396621"/>
      <w:bookmarkStart w:id="79" w:name="_Toc14510"/>
      <w:r>
        <w:rPr>
          <w:rStyle w:val="31"/>
          <w:rFonts w:hint="eastAsia" w:ascii="仿宋" w:hAnsi="仿宋" w:eastAsia="仿宋"/>
          <w:b w:val="0"/>
          <w:bCs w:val="0"/>
          <w:highlight w:val="none"/>
        </w:rPr>
        <w:t>三、</w:t>
      </w:r>
      <w:r>
        <w:rPr>
          <w:rFonts w:hint="eastAsia" w:ascii="仿宋" w:hAnsi="仿宋" w:eastAsia="仿宋"/>
          <w:b w:val="0"/>
          <w:highlight w:val="none"/>
        </w:rPr>
        <w:t>支</w:t>
      </w:r>
      <w:r>
        <w:rPr>
          <w:rStyle w:val="31"/>
          <w:rFonts w:hint="eastAsia" w:ascii="仿宋" w:hAnsi="仿宋" w:eastAsia="仿宋"/>
          <w:b w:val="0"/>
          <w:bCs w:val="0"/>
          <w:highlight w:val="none"/>
        </w:rPr>
        <w:t>出决算表</w:t>
      </w:r>
      <w:bookmarkEnd w:id="78"/>
      <w:bookmarkEnd w:id="79"/>
    </w:p>
    <w:p w14:paraId="3024A5B4">
      <w:pPr>
        <w:pStyle w:val="6"/>
        <w:rPr>
          <w:rFonts w:ascii="仿宋" w:hAnsi="仿宋" w:eastAsia="仿宋"/>
          <w:b w:val="0"/>
          <w:highlight w:val="none"/>
        </w:rPr>
      </w:pPr>
      <w:bookmarkStart w:id="80" w:name="_Toc15396622"/>
      <w:bookmarkStart w:id="81" w:name="_Toc24355"/>
      <w:r>
        <w:rPr>
          <w:rStyle w:val="31"/>
          <w:rFonts w:hint="eastAsia" w:ascii="仿宋" w:hAnsi="仿宋" w:eastAsia="仿宋"/>
          <w:b w:val="0"/>
          <w:bCs w:val="0"/>
          <w:highlight w:val="none"/>
        </w:rPr>
        <w:t>四、</w:t>
      </w:r>
      <w:r>
        <w:rPr>
          <w:rFonts w:hint="eastAsia" w:ascii="仿宋" w:hAnsi="仿宋" w:eastAsia="仿宋"/>
          <w:b w:val="0"/>
          <w:highlight w:val="none"/>
        </w:rPr>
        <w:t>财</w:t>
      </w:r>
      <w:r>
        <w:rPr>
          <w:rStyle w:val="31"/>
          <w:rFonts w:hint="eastAsia" w:ascii="仿宋" w:hAnsi="仿宋" w:eastAsia="仿宋"/>
          <w:b w:val="0"/>
          <w:bCs w:val="0"/>
          <w:highlight w:val="none"/>
        </w:rPr>
        <w:t>政拨款收入支出决算总表</w:t>
      </w:r>
      <w:bookmarkEnd w:id="80"/>
      <w:bookmarkEnd w:id="81"/>
      <w:bookmarkStart w:id="100" w:name="_GoBack"/>
      <w:bookmarkEnd w:id="100"/>
    </w:p>
    <w:p w14:paraId="08F5AEE1">
      <w:pPr>
        <w:pStyle w:val="6"/>
        <w:rPr>
          <w:rStyle w:val="31"/>
          <w:rFonts w:ascii="仿宋" w:hAnsi="仿宋" w:eastAsia="仿宋"/>
          <w:b w:val="0"/>
          <w:bCs w:val="0"/>
          <w:highlight w:val="none"/>
        </w:rPr>
      </w:pPr>
      <w:bookmarkStart w:id="82" w:name="_Toc15396623"/>
      <w:bookmarkStart w:id="83" w:name="_Toc12936"/>
      <w:r>
        <w:rPr>
          <w:rStyle w:val="31"/>
          <w:rFonts w:hint="eastAsia" w:ascii="仿宋" w:hAnsi="仿宋" w:eastAsia="仿宋"/>
          <w:b w:val="0"/>
          <w:bCs w:val="0"/>
          <w:highlight w:val="none"/>
        </w:rPr>
        <w:t>五、</w:t>
      </w:r>
      <w:r>
        <w:rPr>
          <w:rFonts w:hint="eastAsia" w:ascii="仿宋" w:hAnsi="仿宋" w:eastAsia="仿宋"/>
          <w:b w:val="0"/>
          <w:highlight w:val="none"/>
        </w:rPr>
        <w:t>财</w:t>
      </w:r>
      <w:r>
        <w:rPr>
          <w:rStyle w:val="31"/>
          <w:rFonts w:hint="eastAsia" w:ascii="仿宋" w:hAnsi="仿宋" w:eastAsia="仿宋"/>
          <w:b w:val="0"/>
          <w:bCs w:val="0"/>
          <w:highlight w:val="none"/>
        </w:rPr>
        <w:t>政拨款支出决算明细表</w:t>
      </w:r>
      <w:bookmarkEnd w:id="82"/>
      <w:bookmarkEnd w:id="83"/>
      <w:bookmarkStart w:id="84" w:name="_Toc15396624"/>
    </w:p>
    <w:p w14:paraId="5442A1F6">
      <w:pPr>
        <w:pStyle w:val="6"/>
        <w:rPr>
          <w:rFonts w:ascii="仿宋" w:hAnsi="仿宋" w:eastAsia="仿宋"/>
          <w:highlight w:val="none"/>
        </w:rPr>
      </w:pPr>
      <w:bookmarkStart w:id="85" w:name="_Toc23679"/>
      <w:r>
        <w:rPr>
          <w:rStyle w:val="31"/>
          <w:rFonts w:hint="eastAsia" w:ascii="仿宋" w:hAnsi="仿宋" w:eastAsia="仿宋"/>
          <w:b w:val="0"/>
          <w:bCs w:val="0"/>
          <w:highlight w:val="none"/>
        </w:rPr>
        <w:t>六、</w:t>
      </w:r>
      <w:r>
        <w:rPr>
          <w:rFonts w:hint="eastAsia" w:ascii="仿宋" w:hAnsi="仿宋" w:eastAsia="仿宋"/>
          <w:b w:val="0"/>
          <w:highlight w:val="none"/>
        </w:rPr>
        <w:t>一</w:t>
      </w:r>
      <w:r>
        <w:rPr>
          <w:rStyle w:val="31"/>
          <w:rFonts w:hint="eastAsia" w:ascii="仿宋" w:hAnsi="仿宋" w:eastAsia="仿宋"/>
          <w:b w:val="0"/>
          <w:bCs w:val="0"/>
          <w:highlight w:val="none"/>
        </w:rPr>
        <w:t>般公共预算财政拨款支出决算表</w:t>
      </w:r>
      <w:bookmarkEnd w:id="84"/>
      <w:bookmarkEnd w:id="85"/>
    </w:p>
    <w:p w14:paraId="1B4C4B5D">
      <w:pPr>
        <w:pStyle w:val="6"/>
        <w:rPr>
          <w:rFonts w:ascii="仿宋" w:hAnsi="仿宋" w:eastAsia="仿宋"/>
          <w:highlight w:val="none"/>
        </w:rPr>
      </w:pPr>
      <w:bookmarkStart w:id="86" w:name="_Toc15396625"/>
      <w:bookmarkStart w:id="87" w:name="_Toc18649"/>
      <w:r>
        <w:rPr>
          <w:rStyle w:val="31"/>
          <w:rFonts w:hint="eastAsia" w:ascii="仿宋" w:hAnsi="仿宋" w:eastAsia="仿宋"/>
          <w:b w:val="0"/>
          <w:bCs w:val="0"/>
          <w:highlight w:val="none"/>
        </w:rPr>
        <w:t>七、</w:t>
      </w:r>
      <w:r>
        <w:rPr>
          <w:rFonts w:hint="eastAsia" w:ascii="仿宋" w:hAnsi="仿宋" w:eastAsia="仿宋"/>
          <w:b w:val="0"/>
          <w:highlight w:val="none"/>
        </w:rPr>
        <w:t>一</w:t>
      </w:r>
      <w:r>
        <w:rPr>
          <w:rStyle w:val="31"/>
          <w:rFonts w:hint="eastAsia" w:ascii="仿宋" w:hAnsi="仿宋" w:eastAsia="仿宋"/>
          <w:b w:val="0"/>
          <w:bCs w:val="0"/>
          <w:highlight w:val="none"/>
        </w:rPr>
        <w:t>般公共预算财政拨款支出决算明细表</w:t>
      </w:r>
      <w:bookmarkEnd w:id="86"/>
      <w:bookmarkEnd w:id="87"/>
    </w:p>
    <w:p w14:paraId="58F3DEF6">
      <w:pPr>
        <w:pStyle w:val="6"/>
        <w:rPr>
          <w:rFonts w:ascii="仿宋" w:hAnsi="仿宋" w:eastAsia="仿宋"/>
          <w:highlight w:val="none"/>
        </w:rPr>
      </w:pPr>
      <w:bookmarkStart w:id="88" w:name="_Toc255"/>
      <w:bookmarkStart w:id="89" w:name="_Toc15396626"/>
      <w:r>
        <w:rPr>
          <w:rStyle w:val="31"/>
          <w:rFonts w:hint="eastAsia" w:ascii="仿宋" w:hAnsi="仿宋" w:eastAsia="仿宋"/>
          <w:b w:val="0"/>
          <w:bCs w:val="0"/>
          <w:highlight w:val="none"/>
        </w:rPr>
        <w:t>八、</w:t>
      </w:r>
      <w:r>
        <w:rPr>
          <w:rFonts w:hint="eastAsia" w:ascii="仿宋" w:hAnsi="仿宋" w:eastAsia="仿宋"/>
          <w:b w:val="0"/>
          <w:highlight w:val="none"/>
        </w:rPr>
        <w:t>一</w:t>
      </w:r>
      <w:r>
        <w:rPr>
          <w:rStyle w:val="31"/>
          <w:rFonts w:hint="eastAsia" w:ascii="仿宋" w:hAnsi="仿宋" w:eastAsia="仿宋"/>
          <w:b w:val="0"/>
          <w:bCs w:val="0"/>
          <w:highlight w:val="none"/>
        </w:rPr>
        <w:t>般公共预算财政拨款基本支出决算表</w:t>
      </w:r>
      <w:bookmarkEnd w:id="88"/>
      <w:bookmarkEnd w:id="89"/>
    </w:p>
    <w:p w14:paraId="1EBD7BB4">
      <w:pPr>
        <w:pStyle w:val="6"/>
        <w:rPr>
          <w:rFonts w:ascii="仿宋" w:hAnsi="仿宋" w:eastAsia="仿宋"/>
          <w:highlight w:val="none"/>
        </w:rPr>
      </w:pPr>
      <w:bookmarkStart w:id="90" w:name="_Toc15396627"/>
      <w:bookmarkStart w:id="91" w:name="_Toc27932"/>
      <w:r>
        <w:rPr>
          <w:rStyle w:val="31"/>
          <w:rFonts w:hint="eastAsia" w:ascii="仿宋" w:hAnsi="仿宋" w:eastAsia="仿宋"/>
          <w:b w:val="0"/>
          <w:bCs w:val="0"/>
          <w:highlight w:val="none"/>
        </w:rPr>
        <w:t>九、</w:t>
      </w:r>
      <w:r>
        <w:rPr>
          <w:rFonts w:hint="eastAsia" w:ascii="仿宋" w:hAnsi="仿宋" w:eastAsia="仿宋"/>
          <w:b w:val="0"/>
          <w:highlight w:val="none"/>
        </w:rPr>
        <w:t>一</w:t>
      </w:r>
      <w:r>
        <w:rPr>
          <w:rStyle w:val="31"/>
          <w:rFonts w:hint="eastAsia" w:ascii="仿宋" w:hAnsi="仿宋" w:eastAsia="仿宋"/>
          <w:b w:val="0"/>
          <w:bCs w:val="0"/>
          <w:highlight w:val="none"/>
        </w:rPr>
        <w:t>般公共预算财政拨款项目支出决算表</w:t>
      </w:r>
      <w:bookmarkEnd w:id="90"/>
      <w:bookmarkEnd w:id="91"/>
    </w:p>
    <w:p w14:paraId="663F774A">
      <w:pPr>
        <w:pStyle w:val="6"/>
        <w:rPr>
          <w:rFonts w:ascii="仿宋" w:hAnsi="仿宋" w:eastAsia="仿宋"/>
          <w:highlight w:val="none"/>
        </w:rPr>
      </w:pPr>
      <w:bookmarkStart w:id="92" w:name="_Toc15396628"/>
      <w:bookmarkStart w:id="93" w:name="_Toc1668"/>
      <w:r>
        <w:rPr>
          <w:rStyle w:val="31"/>
          <w:rFonts w:hint="eastAsia" w:ascii="仿宋" w:hAnsi="仿宋" w:eastAsia="仿宋"/>
          <w:b w:val="0"/>
          <w:bCs w:val="0"/>
          <w:highlight w:val="none"/>
        </w:rPr>
        <w:t>十、</w:t>
      </w:r>
      <w:bookmarkEnd w:id="92"/>
      <w:r>
        <w:rPr>
          <w:rFonts w:hint="eastAsia" w:ascii="仿宋" w:hAnsi="仿宋" w:eastAsia="仿宋"/>
          <w:b w:val="0"/>
          <w:highlight w:val="none"/>
        </w:rPr>
        <w:t>政</w:t>
      </w:r>
      <w:r>
        <w:rPr>
          <w:rStyle w:val="31"/>
          <w:rFonts w:hint="eastAsia" w:ascii="仿宋" w:hAnsi="仿宋" w:eastAsia="仿宋"/>
          <w:b w:val="0"/>
          <w:bCs w:val="0"/>
          <w:highlight w:val="none"/>
        </w:rPr>
        <w:t>府性基金预算财政拨款收入支出决算表</w:t>
      </w:r>
      <w:bookmarkEnd w:id="93"/>
    </w:p>
    <w:p w14:paraId="2BD035FD">
      <w:pPr>
        <w:pStyle w:val="6"/>
        <w:rPr>
          <w:rFonts w:ascii="仿宋" w:hAnsi="仿宋" w:eastAsia="仿宋"/>
          <w:highlight w:val="none"/>
        </w:rPr>
      </w:pPr>
      <w:bookmarkStart w:id="94" w:name="_Toc15396629"/>
      <w:bookmarkStart w:id="95" w:name="_Toc3773"/>
      <w:r>
        <w:rPr>
          <w:rStyle w:val="31"/>
          <w:rFonts w:hint="eastAsia" w:ascii="仿宋" w:hAnsi="仿宋" w:eastAsia="仿宋"/>
          <w:b w:val="0"/>
          <w:bCs w:val="0"/>
          <w:highlight w:val="none"/>
        </w:rPr>
        <w:t>十一、</w:t>
      </w:r>
      <w:bookmarkEnd w:id="94"/>
      <w:r>
        <w:rPr>
          <w:rFonts w:hint="eastAsia" w:ascii="仿宋" w:hAnsi="仿宋" w:eastAsia="仿宋"/>
          <w:b w:val="0"/>
          <w:highlight w:val="none"/>
        </w:rPr>
        <w:t>国</w:t>
      </w:r>
      <w:r>
        <w:rPr>
          <w:rStyle w:val="31"/>
          <w:rFonts w:hint="eastAsia" w:ascii="仿宋" w:hAnsi="仿宋" w:eastAsia="仿宋"/>
          <w:b w:val="0"/>
          <w:bCs w:val="0"/>
          <w:highlight w:val="none"/>
        </w:rPr>
        <w:t>有资本经营预算财政拨款收入支出决算表（此表无数据）</w:t>
      </w:r>
      <w:bookmarkEnd w:id="95"/>
    </w:p>
    <w:p w14:paraId="6DB3F829">
      <w:pPr>
        <w:pStyle w:val="6"/>
        <w:rPr>
          <w:rFonts w:ascii="仿宋" w:hAnsi="仿宋" w:eastAsia="仿宋"/>
          <w:highlight w:val="none"/>
        </w:rPr>
      </w:pPr>
      <w:bookmarkStart w:id="96" w:name="_Toc15396630"/>
      <w:bookmarkStart w:id="97" w:name="_Toc28592"/>
      <w:r>
        <w:rPr>
          <w:rStyle w:val="31"/>
          <w:rFonts w:hint="eastAsia" w:ascii="仿宋" w:hAnsi="仿宋" w:eastAsia="仿宋"/>
          <w:b w:val="0"/>
          <w:bCs w:val="0"/>
          <w:highlight w:val="none"/>
        </w:rPr>
        <w:t>十二、</w:t>
      </w:r>
      <w:bookmarkEnd w:id="96"/>
      <w:r>
        <w:rPr>
          <w:rStyle w:val="31"/>
          <w:rFonts w:hint="eastAsia" w:ascii="仿宋" w:hAnsi="仿宋" w:eastAsia="仿宋"/>
          <w:b w:val="0"/>
          <w:bCs w:val="0"/>
          <w:highlight w:val="none"/>
        </w:rPr>
        <w:t>国有资本经营预算财政拨款支出决算表（此表无数据）</w:t>
      </w:r>
      <w:bookmarkEnd w:id="97"/>
    </w:p>
    <w:p w14:paraId="2C442126">
      <w:pPr>
        <w:pStyle w:val="6"/>
        <w:rPr>
          <w:rFonts w:eastAsia="仿宋"/>
          <w:highlight w:val="none"/>
        </w:rPr>
      </w:pPr>
      <w:bookmarkStart w:id="98" w:name="_Toc15396631"/>
      <w:bookmarkStart w:id="99" w:name="_Toc15153"/>
      <w:r>
        <w:rPr>
          <w:rStyle w:val="31"/>
          <w:rFonts w:hint="eastAsia" w:ascii="仿宋" w:hAnsi="仿宋" w:eastAsia="仿宋"/>
          <w:b w:val="0"/>
          <w:bCs w:val="0"/>
          <w:highlight w:val="none"/>
        </w:rPr>
        <w:t>十三、</w:t>
      </w:r>
      <w:bookmarkEnd w:id="98"/>
      <w:r>
        <w:rPr>
          <w:rStyle w:val="31"/>
          <w:rFonts w:hint="eastAsia" w:ascii="仿宋" w:hAnsi="仿宋" w:eastAsia="仿宋"/>
          <w:b w:val="0"/>
          <w:bCs w:val="0"/>
          <w:highlight w:val="none"/>
        </w:rPr>
        <w:t>财政拨款“三公”经费支出决算表</w:t>
      </w:r>
      <w:bookmarkEnd w:id="99"/>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2576CCE0">
        <w:pPr>
          <w:pStyle w:val="12"/>
          <w:jc w:val="center"/>
        </w:pPr>
        <w:r>
          <w:fldChar w:fldCharType="begin"/>
        </w:r>
        <w:r>
          <w:instrText xml:space="preserve">PAGE   \* MERGEFORMAT</w:instrText>
        </w:r>
        <w:r>
          <w:fldChar w:fldCharType="separate"/>
        </w:r>
        <w:r>
          <w:rPr>
            <w:lang w:val="zh-CN"/>
          </w:rPr>
          <w:t>23</w:t>
        </w:r>
        <w:r>
          <w:fldChar w:fldCharType="end"/>
        </w:r>
      </w:p>
    </w:sdtContent>
  </w:sdt>
  <w:p w14:paraId="599E706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11E3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2OGFjMzE0ODBhNzFjM2NhYWM5OWQ0OTY5MTU5Zj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0F3D30"/>
    <w:rsid w:val="00114E9B"/>
    <w:rsid w:val="00123991"/>
    <w:rsid w:val="00142216"/>
    <w:rsid w:val="00144D6A"/>
    <w:rsid w:val="0014729F"/>
    <w:rsid w:val="00157BAB"/>
    <w:rsid w:val="0016258D"/>
    <w:rsid w:val="001654D1"/>
    <w:rsid w:val="00166E95"/>
    <w:rsid w:val="00174518"/>
    <w:rsid w:val="0018106D"/>
    <w:rsid w:val="00182DA6"/>
    <w:rsid w:val="001877A7"/>
    <w:rsid w:val="00191536"/>
    <w:rsid w:val="00194C58"/>
    <w:rsid w:val="00196687"/>
    <w:rsid w:val="001C0962"/>
    <w:rsid w:val="001D7531"/>
    <w:rsid w:val="001E737D"/>
    <w:rsid w:val="001F0592"/>
    <w:rsid w:val="001F7506"/>
    <w:rsid w:val="002006CD"/>
    <w:rsid w:val="00202B36"/>
    <w:rsid w:val="00204B7A"/>
    <w:rsid w:val="00204CDE"/>
    <w:rsid w:val="0021101A"/>
    <w:rsid w:val="00220536"/>
    <w:rsid w:val="00235629"/>
    <w:rsid w:val="00260950"/>
    <w:rsid w:val="00260C38"/>
    <w:rsid w:val="00260C9E"/>
    <w:rsid w:val="002616C0"/>
    <w:rsid w:val="00265372"/>
    <w:rsid w:val="002662AA"/>
    <w:rsid w:val="00280496"/>
    <w:rsid w:val="00285FB8"/>
    <w:rsid w:val="00294DC9"/>
    <w:rsid w:val="00295495"/>
    <w:rsid w:val="002A31DE"/>
    <w:rsid w:val="002B2613"/>
    <w:rsid w:val="002D6D05"/>
    <w:rsid w:val="002F1818"/>
    <w:rsid w:val="002F567B"/>
    <w:rsid w:val="003216A9"/>
    <w:rsid w:val="00330884"/>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4B39"/>
    <w:rsid w:val="00471401"/>
    <w:rsid w:val="00473F31"/>
    <w:rsid w:val="0048263A"/>
    <w:rsid w:val="00485945"/>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049A"/>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84F25"/>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460DF"/>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0C9"/>
    <w:rsid w:val="00935C98"/>
    <w:rsid w:val="00946945"/>
    <w:rsid w:val="00951248"/>
    <w:rsid w:val="0095152F"/>
    <w:rsid w:val="00954C49"/>
    <w:rsid w:val="00955E37"/>
    <w:rsid w:val="009641D5"/>
    <w:rsid w:val="0097099F"/>
    <w:rsid w:val="00971997"/>
    <w:rsid w:val="00971FFC"/>
    <w:rsid w:val="00980214"/>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5860"/>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15FA6"/>
    <w:rsid w:val="00C33E72"/>
    <w:rsid w:val="00C354B2"/>
    <w:rsid w:val="00C35554"/>
    <w:rsid w:val="00C42709"/>
    <w:rsid w:val="00C533CC"/>
    <w:rsid w:val="00C5751C"/>
    <w:rsid w:val="00C61BFC"/>
    <w:rsid w:val="00C62B85"/>
    <w:rsid w:val="00C65438"/>
    <w:rsid w:val="00C7524A"/>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2012D"/>
    <w:rsid w:val="00E331A1"/>
    <w:rsid w:val="00E33202"/>
    <w:rsid w:val="00E336A9"/>
    <w:rsid w:val="00E472B1"/>
    <w:rsid w:val="00E50624"/>
    <w:rsid w:val="00E568DF"/>
    <w:rsid w:val="00E64269"/>
    <w:rsid w:val="00E82267"/>
    <w:rsid w:val="00E853CE"/>
    <w:rsid w:val="00E867B6"/>
    <w:rsid w:val="00EA010F"/>
    <w:rsid w:val="00ED0C28"/>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244B"/>
    <w:rsid w:val="00FD3CC1"/>
    <w:rsid w:val="00FF1E02"/>
    <w:rsid w:val="00FF30B4"/>
    <w:rsid w:val="01C32732"/>
    <w:rsid w:val="01CE08B2"/>
    <w:rsid w:val="01D17131"/>
    <w:rsid w:val="020D3512"/>
    <w:rsid w:val="02B075F4"/>
    <w:rsid w:val="02C220EE"/>
    <w:rsid w:val="02C866AB"/>
    <w:rsid w:val="03003232"/>
    <w:rsid w:val="03676B59"/>
    <w:rsid w:val="03CD1108"/>
    <w:rsid w:val="04911550"/>
    <w:rsid w:val="04B77DA1"/>
    <w:rsid w:val="04D96F34"/>
    <w:rsid w:val="05191E3C"/>
    <w:rsid w:val="053A62B5"/>
    <w:rsid w:val="0563090D"/>
    <w:rsid w:val="0595464F"/>
    <w:rsid w:val="05DA07FE"/>
    <w:rsid w:val="05FC40F1"/>
    <w:rsid w:val="06995D7C"/>
    <w:rsid w:val="06AE3DD6"/>
    <w:rsid w:val="06C32ECA"/>
    <w:rsid w:val="06D93E3E"/>
    <w:rsid w:val="06E05407"/>
    <w:rsid w:val="06E25862"/>
    <w:rsid w:val="06E314A5"/>
    <w:rsid w:val="06F1432C"/>
    <w:rsid w:val="07083CF5"/>
    <w:rsid w:val="076F6096"/>
    <w:rsid w:val="07D91C7E"/>
    <w:rsid w:val="07F51F62"/>
    <w:rsid w:val="080F0BCF"/>
    <w:rsid w:val="08B1198F"/>
    <w:rsid w:val="08DE7FD2"/>
    <w:rsid w:val="09045677"/>
    <w:rsid w:val="09B545A3"/>
    <w:rsid w:val="09EC26E4"/>
    <w:rsid w:val="09F027A8"/>
    <w:rsid w:val="0A0102D3"/>
    <w:rsid w:val="0A127337"/>
    <w:rsid w:val="0A2032A3"/>
    <w:rsid w:val="0A22681A"/>
    <w:rsid w:val="0A4042DA"/>
    <w:rsid w:val="0A4B2DA1"/>
    <w:rsid w:val="0ABF0394"/>
    <w:rsid w:val="0ADA7F90"/>
    <w:rsid w:val="0AFD78DD"/>
    <w:rsid w:val="0B030316"/>
    <w:rsid w:val="0B8A37D8"/>
    <w:rsid w:val="0B970782"/>
    <w:rsid w:val="0C706F43"/>
    <w:rsid w:val="0C8573BB"/>
    <w:rsid w:val="0C8B1868"/>
    <w:rsid w:val="0D0F7D02"/>
    <w:rsid w:val="0DFC6444"/>
    <w:rsid w:val="0E39045D"/>
    <w:rsid w:val="0E4C52EE"/>
    <w:rsid w:val="0EA0665B"/>
    <w:rsid w:val="0EA20F58"/>
    <w:rsid w:val="0EB229D1"/>
    <w:rsid w:val="0F063405"/>
    <w:rsid w:val="0FA5034B"/>
    <w:rsid w:val="0FAD112E"/>
    <w:rsid w:val="1015428D"/>
    <w:rsid w:val="102D2243"/>
    <w:rsid w:val="10433760"/>
    <w:rsid w:val="10791A5F"/>
    <w:rsid w:val="10C055FF"/>
    <w:rsid w:val="1104781A"/>
    <w:rsid w:val="111B6524"/>
    <w:rsid w:val="112C7DF0"/>
    <w:rsid w:val="116021A5"/>
    <w:rsid w:val="11624A45"/>
    <w:rsid w:val="118107EC"/>
    <w:rsid w:val="11CC3BF0"/>
    <w:rsid w:val="11DD6519"/>
    <w:rsid w:val="11FA707D"/>
    <w:rsid w:val="126B3F80"/>
    <w:rsid w:val="12E12E71"/>
    <w:rsid w:val="131E2CFD"/>
    <w:rsid w:val="135568F4"/>
    <w:rsid w:val="136D3977"/>
    <w:rsid w:val="13F93B28"/>
    <w:rsid w:val="14060DE1"/>
    <w:rsid w:val="144143EC"/>
    <w:rsid w:val="14536A76"/>
    <w:rsid w:val="15317466"/>
    <w:rsid w:val="15636D69"/>
    <w:rsid w:val="15B82C26"/>
    <w:rsid w:val="15BE7EFE"/>
    <w:rsid w:val="160233A8"/>
    <w:rsid w:val="160A4975"/>
    <w:rsid w:val="1617625E"/>
    <w:rsid w:val="16641DC9"/>
    <w:rsid w:val="1666025D"/>
    <w:rsid w:val="16BB723D"/>
    <w:rsid w:val="177C1161"/>
    <w:rsid w:val="17BC0ED9"/>
    <w:rsid w:val="17FB5AC3"/>
    <w:rsid w:val="18015F3F"/>
    <w:rsid w:val="18500A90"/>
    <w:rsid w:val="18955DC6"/>
    <w:rsid w:val="18DD7E7B"/>
    <w:rsid w:val="18EF5D2E"/>
    <w:rsid w:val="18FC7201"/>
    <w:rsid w:val="191E097B"/>
    <w:rsid w:val="195F2D42"/>
    <w:rsid w:val="1A256591"/>
    <w:rsid w:val="1A887A5C"/>
    <w:rsid w:val="1ABC340F"/>
    <w:rsid w:val="1AC45552"/>
    <w:rsid w:val="1AF35BA4"/>
    <w:rsid w:val="1BC57E16"/>
    <w:rsid w:val="1BE8440E"/>
    <w:rsid w:val="1BF259E0"/>
    <w:rsid w:val="1BF412F5"/>
    <w:rsid w:val="1CB80141"/>
    <w:rsid w:val="1D155CEE"/>
    <w:rsid w:val="1D166FCC"/>
    <w:rsid w:val="1D8C186A"/>
    <w:rsid w:val="1D90796E"/>
    <w:rsid w:val="1D973923"/>
    <w:rsid w:val="1DB918CB"/>
    <w:rsid w:val="1DCD7775"/>
    <w:rsid w:val="1DD05D75"/>
    <w:rsid w:val="1E453DA4"/>
    <w:rsid w:val="1EAA2604"/>
    <w:rsid w:val="1EC21DA9"/>
    <w:rsid w:val="1F010C8F"/>
    <w:rsid w:val="1F7C63FB"/>
    <w:rsid w:val="1F8F5F39"/>
    <w:rsid w:val="1FBA5711"/>
    <w:rsid w:val="1FCC6F6B"/>
    <w:rsid w:val="200B3EC6"/>
    <w:rsid w:val="20144886"/>
    <w:rsid w:val="20482300"/>
    <w:rsid w:val="205D7327"/>
    <w:rsid w:val="20782350"/>
    <w:rsid w:val="208C23F8"/>
    <w:rsid w:val="20B81539"/>
    <w:rsid w:val="20F57F95"/>
    <w:rsid w:val="214F0CA7"/>
    <w:rsid w:val="214F7A7A"/>
    <w:rsid w:val="21772ED2"/>
    <w:rsid w:val="21C8441D"/>
    <w:rsid w:val="22371443"/>
    <w:rsid w:val="227910C8"/>
    <w:rsid w:val="22F518CD"/>
    <w:rsid w:val="22FF6214"/>
    <w:rsid w:val="23307478"/>
    <w:rsid w:val="240371BF"/>
    <w:rsid w:val="241E2177"/>
    <w:rsid w:val="242F51F8"/>
    <w:rsid w:val="24B55427"/>
    <w:rsid w:val="24ED1072"/>
    <w:rsid w:val="24FF6CC4"/>
    <w:rsid w:val="25711CC6"/>
    <w:rsid w:val="257C02E6"/>
    <w:rsid w:val="259102D8"/>
    <w:rsid w:val="25C741E6"/>
    <w:rsid w:val="25CA5781"/>
    <w:rsid w:val="2632232E"/>
    <w:rsid w:val="26B23CD0"/>
    <w:rsid w:val="26BF42C1"/>
    <w:rsid w:val="270C1ACD"/>
    <w:rsid w:val="271421AD"/>
    <w:rsid w:val="27842671"/>
    <w:rsid w:val="279C4801"/>
    <w:rsid w:val="28536461"/>
    <w:rsid w:val="28723F14"/>
    <w:rsid w:val="28860671"/>
    <w:rsid w:val="28BB0CDC"/>
    <w:rsid w:val="28F01A05"/>
    <w:rsid w:val="29021EC6"/>
    <w:rsid w:val="29056051"/>
    <w:rsid w:val="2914700E"/>
    <w:rsid w:val="291D0D6A"/>
    <w:rsid w:val="29415F8B"/>
    <w:rsid w:val="294356F3"/>
    <w:rsid w:val="296C6362"/>
    <w:rsid w:val="29946578"/>
    <w:rsid w:val="29AC5B2F"/>
    <w:rsid w:val="29B21BF5"/>
    <w:rsid w:val="29FD04D3"/>
    <w:rsid w:val="2A5B3AA8"/>
    <w:rsid w:val="2AA76BFC"/>
    <w:rsid w:val="2ABA34C8"/>
    <w:rsid w:val="2ABE7A3E"/>
    <w:rsid w:val="2B462593"/>
    <w:rsid w:val="2B756235"/>
    <w:rsid w:val="2B8A3EC7"/>
    <w:rsid w:val="2B8A6344"/>
    <w:rsid w:val="2B982A86"/>
    <w:rsid w:val="2BAE7680"/>
    <w:rsid w:val="2BD1274B"/>
    <w:rsid w:val="2C3E7E8A"/>
    <w:rsid w:val="2C587937"/>
    <w:rsid w:val="2CA234A8"/>
    <w:rsid w:val="2CBB7F55"/>
    <w:rsid w:val="2CC6515A"/>
    <w:rsid w:val="2CF62B1A"/>
    <w:rsid w:val="2D7D3301"/>
    <w:rsid w:val="2DA7741E"/>
    <w:rsid w:val="2DB40E41"/>
    <w:rsid w:val="2DBF6D36"/>
    <w:rsid w:val="2E003569"/>
    <w:rsid w:val="2E14286F"/>
    <w:rsid w:val="2E4104BE"/>
    <w:rsid w:val="2E573128"/>
    <w:rsid w:val="2EA017AF"/>
    <w:rsid w:val="2EF75847"/>
    <w:rsid w:val="2EFA178C"/>
    <w:rsid w:val="2F882F45"/>
    <w:rsid w:val="301E55D0"/>
    <w:rsid w:val="30405536"/>
    <w:rsid w:val="304E16EE"/>
    <w:rsid w:val="309C4AC7"/>
    <w:rsid w:val="30B46D73"/>
    <w:rsid w:val="31031D93"/>
    <w:rsid w:val="31607C0D"/>
    <w:rsid w:val="316B65FC"/>
    <w:rsid w:val="31890334"/>
    <w:rsid w:val="319F7F4E"/>
    <w:rsid w:val="31CF47B6"/>
    <w:rsid w:val="33962EB0"/>
    <w:rsid w:val="33D0798B"/>
    <w:rsid w:val="34036C94"/>
    <w:rsid w:val="343A22EE"/>
    <w:rsid w:val="344C23E9"/>
    <w:rsid w:val="34510962"/>
    <w:rsid w:val="348016AD"/>
    <w:rsid w:val="349D2B2A"/>
    <w:rsid w:val="34A9021B"/>
    <w:rsid w:val="34DF14AF"/>
    <w:rsid w:val="34EC7728"/>
    <w:rsid w:val="34F8258C"/>
    <w:rsid w:val="35062A56"/>
    <w:rsid w:val="35374E47"/>
    <w:rsid w:val="354D51C6"/>
    <w:rsid w:val="3558570A"/>
    <w:rsid w:val="3578720D"/>
    <w:rsid w:val="359303CB"/>
    <w:rsid w:val="35EA0EFE"/>
    <w:rsid w:val="36C23FAA"/>
    <w:rsid w:val="370D12E8"/>
    <w:rsid w:val="3761176B"/>
    <w:rsid w:val="37851E2C"/>
    <w:rsid w:val="37966DEB"/>
    <w:rsid w:val="37C8622A"/>
    <w:rsid w:val="37CF6F74"/>
    <w:rsid w:val="37EC3674"/>
    <w:rsid w:val="383D272C"/>
    <w:rsid w:val="3878494A"/>
    <w:rsid w:val="38D13AB6"/>
    <w:rsid w:val="38EF5365"/>
    <w:rsid w:val="395D05B6"/>
    <w:rsid w:val="39722A22"/>
    <w:rsid w:val="397E7C08"/>
    <w:rsid w:val="39AE70AB"/>
    <w:rsid w:val="39C44CC0"/>
    <w:rsid w:val="3A255BB6"/>
    <w:rsid w:val="3A2846DE"/>
    <w:rsid w:val="3ACB4BBC"/>
    <w:rsid w:val="3ACD3B57"/>
    <w:rsid w:val="3ADB0295"/>
    <w:rsid w:val="3AE87507"/>
    <w:rsid w:val="3AFD61EB"/>
    <w:rsid w:val="3B280D40"/>
    <w:rsid w:val="3B7A7D9D"/>
    <w:rsid w:val="3B8775E7"/>
    <w:rsid w:val="3BBF61AC"/>
    <w:rsid w:val="3BF8379A"/>
    <w:rsid w:val="3C0417FB"/>
    <w:rsid w:val="3C0C0783"/>
    <w:rsid w:val="3C16066D"/>
    <w:rsid w:val="3C315F2F"/>
    <w:rsid w:val="3C447AF0"/>
    <w:rsid w:val="3C532D1E"/>
    <w:rsid w:val="3CBF0AE9"/>
    <w:rsid w:val="3D51281E"/>
    <w:rsid w:val="3D864A72"/>
    <w:rsid w:val="3E592691"/>
    <w:rsid w:val="3F12496B"/>
    <w:rsid w:val="3F340D49"/>
    <w:rsid w:val="3F491E70"/>
    <w:rsid w:val="3F4F17A8"/>
    <w:rsid w:val="3F9F3A96"/>
    <w:rsid w:val="3FB853C1"/>
    <w:rsid w:val="3FC05505"/>
    <w:rsid w:val="403F4D23"/>
    <w:rsid w:val="40972CCF"/>
    <w:rsid w:val="4097376B"/>
    <w:rsid w:val="40AA659F"/>
    <w:rsid w:val="40CB6643"/>
    <w:rsid w:val="40F41D35"/>
    <w:rsid w:val="412F10C8"/>
    <w:rsid w:val="413F5175"/>
    <w:rsid w:val="41A01FC6"/>
    <w:rsid w:val="41A24E22"/>
    <w:rsid w:val="41C61113"/>
    <w:rsid w:val="41EE4ADF"/>
    <w:rsid w:val="42057FF7"/>
    <w:rsid w:val="42134797"/>
    <w:rsid w:val="429A328B"/>
    <w:rsid w:val="42F56EB9"/>
    <w:rsid w:val="42F817EB"/>
    <w:rsid w:val="431763F7"/>
    <w:rsid w:val="43252782"/>
    <w:rsid w:val="439B34C0"/>
    <w:rsid w:val="43BE0A39"/>
    <w:rsid w:val="43FC7D70"/>
    <w:rsid w:val="45365E66"/>
    <w:rsid w:val="45406D1A"/>
    <w:rsid w:val="45E92540"/>
    <w:rsid w:val="46476EB4"/>
    <w:rsid w:val="4649027F"/>
    <w:rsid w:val="4670640B"/>
    <w:rsid w:val="468846A7"/>
    <w:rsid w:val="46A208D4"/>
    <w:rsid w:val="46F77F3F"/>
    <w:rsid w:val="47010339"/>
    <w:rsid w:val="47373440"/>
    <w:rsid w:val="478B54E7"/>
    <w:rsid w:val="47EA5D49"/>
    <w:rsid w:val="48384B6E"/>
    <w:rsid w:val="4846543F"/>
    <w:rsid w:val="4864183A"/>
    <w:rsid w:val="48BF60AB"/>
    <w:rsid w:val="48FA19FD"/>
    <w:rsid w:val="49053A3A"/>
    <w:rsid w:val="491017DF"/>
    <w:rsid w:val="493C27E9"/>
    <w:rsid w:val="496F39ED"/>
    <w:rsid w:val="497365D1"/>
    <w:rsid w:val="49770F45"/>
    <w:rsid w:val="49907ABB"/>
    <w:rsid w:val="49C72C5D"/>
    <w:rsid w:val="49FF41D3"/>
    <w:rsid w:val="4A2F24D9"/>
    <w:rsid w:val="4A8813E9"/>
    <w:rsid w:val="4A8F0E29"/>
    <w:rsid w:val="4BE068DB"/>
    <w:rsid w:val="4BF6002B"/>
    <w:rsid w:val="4C3003CA"/>
    <w:rsid w:val="4C506FCE"/>
    <w:rsid w:val="4C7958ED"/>
    <w:rsid w:val="4C9170DB"/>
    <w:rsid w:val="4D255D1B"/>
    <w:rsid w:val="4D5D39E1"/>
    <w:rsid w:val="4DA80CDC"/>
    <w:rsid w:val="4DAB6FDC"/>
    <w:rsid w:val="4DDA776A"/>
    <w:rsid w:val="4ECE2238"/>
    <w:rsid w:val="4F045452"/>
    <w:rsid w:val="50167FEA"/>
    <w:rsid w:val="502119D7"/>
    <w:rsid w:val="503264DF"/>
    <w:rsid w:val="505323C7"/>
    <w:rsid w:val="509709A5"/>
    <w:rsid w:val="50A2798F"/>
    <w:rsid w:val="51663853"/>
    <w:rsid w:val="517A6C40"/>
    <w:rsid w:val="51CD740E"/>
    <w:rsid w:val="51DB4B86"/>
    <w:rsid w:val="51E81CD0"/>
    <w:rsid w:val="5220136A"/>
    <w:rsid w:val="525910AB"/>
    <w:rsid w:val="527A6706"/>
    <w:rsid w:val="52D771EF"/>
    <w:rsid w:val="52E06A84"/>
    <w:rsid w:val="53130849"/>
    <w:rsid w:val="535D017F"/>
    <w:rsid w:val="53CA38BA"/>
    <w:rsid w:val="54232D0E"/>
    <w:rsid w:val="54472C35"/>
    <w:rsid w:val="547726D0"/>
    <w:rsid w:val="5481332C"/>
    <w:rsid w:val="54817A35"/>
    <w:rsid w:val="54BD258A"/>
    <w:rsid w:val="54D26F50"/>
    <w:rsid w:val="54F34FB1"/>
    <w:rsid w:val="54F63F7F"/>
    <w:rsid w:val="55333C3E"/>
    <w:rsid w:val="55D129CB"/>
    <w:rsid w:val="56095F34"/>
    <w:rsid w:val="561356F3"/>
    <w:rsid w:val="56CF5D63"/>
    <w:rsid w:val="56ED7E54"/>
    <w:rsid w:val="572F484E"/>
    <w:rsid w:val="57812BC2"/>
    <w:rsid w:val="57A876EA"/>
    <w:rsid w:val="57EF6963"/>
    <w:rsid w:val="57FC0478"/>
    <w:rsid w:val="588B1F5A"/>
    <w:rsid w:val="58932747"/>
    <w:rsid w:val="58D4636D"/>
    <w:rsid w:val="58FF05FE"/>
    <w:rsid w:val="59081F11"/>
    <w:rsid w:val="59D57D96"/>
    <w:rsid w:val="5A3110AA"/>
    <w:rsid w:val="5AD918A6"/>
    <w:rsid w:val="5AFC6067"/>
    <w:rsid w:val="5B393E14"/>
    <w:rsid w:val="5B667D51"/>
    <w:rsid w:val="5B784E24"/>
    <w:rsid w:val="5BBD1546"/>
    <w:rsid w:val="5C573484"/>
    <w:rsid w:val="5C7E3835"/>
    <w:rsid w:val="5CA75A75"/>
    <w:rsid w:val="5D086F45"/>
    <w:rsid w:val="5D203835"/>
    <w:rsid w:val="5D235745"/>
    <w:rsid w:val="5D4D6706"/>
    <w:rsid w:val="5D887B7A"/>
    <w:rsid w:val="5DA36667"/>
    <w:rsid w:val="5DEA444B"/>
    <w:rsid w:val="5DFD7161"/>
    <w:rsid w:val="5E402BFD"/>
    <w:rsid w:val="5E416BF9"/>
    <w:rsid w:val="5F5024B8"/>
    <w:rsid w:val="5FBB0B6C"/>
    <w:rsid w:val="6042008A"/>
    <w:rsid w:val="6069342C"/>
    <w:rsid w:val="607F072B"/>
    <w:rsid w:val="607F7940"/>
    <w:rsid w:val="612404B6"/>
    <w:rsid w:val="61700C15"/>
    <w:rsid w:val="61861147"/>
    <w:rsid w:val="6186502B"/>
    <w:rsid w:val="61B87723"/>
    <w:rsid w:val="61E80460"/>
    <w:rsid w:val="61ED11F2"/>
    <w:rsid w:val="61F642C5"/>
    <w:rsid w:val="622C45B5"/>
    <w:rsid w:val="62334965"/>
    <w:rsid w:val="6254716C"/>
    <w:rsid w:val="62696B6B"/>
    <w:rsid w:val="627670D7"/>
    <w:rsid w:val="629B764B"/>
    <w:rsid w:val="62B34719"/>
    <w:rsid w:val="62F90495"/>
    <w:rsid w:val="635D3DB0"/>
    <w:rsid w:val="63DB0C0B"/>
    <w:rsid w:val="63F34885"/>
    <w:rsid w:val="640422B6"/>
    <w:rsid w:val="64115B91"/>
    <w:rsid w:val="64AA4875"/>
    <w:rsid w:val="64C07B8F"/>
    <w:rsid w:val="64C400AD"/>
    <w:rsid w:val="64C73242"/>
    <w:rsid w:val="64CA39A1"/>
    <w:rsid w:val="64D554AE"/>
    <w:rsid w:val="655B75DA"/>
    <w:rsid w:val="65937DB0"/>
    <w:rsid w:val="65A3135E"/>
    <w:rsid w:val="65A41D49"/>
    <w:rsid w:val="65AC7364"/>
    <w:rsid w:val="65D53D3B"/>
    <w:rsid w:val="65EB68BD"/>
    <w:rsid w:val="66642445"/>
    <w:rsid w:val="666A1688"/>
    <w:rsid w:val="66952ECC"/>
    <w:rsid w:val="66D94FCE"/>
    <w:rsid w:val="66EC20AE"/>
    <w:rsid w:val="676A4D31"/>
    <w:rsid w:val="676D7B78"/>
    <w:rsid w:val="677C63CB"/>
    <w:rsid w:val="67A16134"/>
    <w:rsid w:val="67A36096"/>
    <w:rsid w:val="67DA7730"/>
    <w:rsid w:val="682B3C43"/>
    <w:rsid w:val="683E0648"/>
    <w:rsid w:val="686F0EA4"/>
    <w:rsid w:val="68C41F93"/>
    <w:rsid w:val="68E90CAD"/>
    <w:rsid w:val="68EA185E"/>
    <w:rsid w:val="695D23C7"/>
    <w:rsid w:val="69630ADE"/>
    <w:rsid w:val="6990454A"/>
    <w:rsid w:val="6B61009A"/>
    <w:rsid w:val="6B911A83"/>
    <w:rsid w:val="6BC955C4"/>
    <w:rsid w:val="6C253E74"/>
    <w:rsid w:val="6C4A05C8"/>
    <w:rsid w:val="6CD468D4"/>
    <w:rsid w:val="6CD96465"/>
    <w:rsid w:val="6D3B1A89"/>
    <w:rsid w:val="6D6261FE"/>
    <w:rsid w:val="6E4504C3"/>
    <w:rsid w:val="6E593BA2"/>
    <w:rsid w:val="6EC55187"/>
    <w:rsid w:val="6EDE4556"/>
    <w:rsid w:val="6F0537E2"/>
    <w:rsid w:val="6F16586D"/>
    <w:rsid w:val="6FA875B7"/>
    <w:rsid w:val="6FAA5B4B"/>
    <w:rsid w:val="7005776A"/>
    <w:rsid w:val="700F07F7"/>
    <w:rsid w:val="705F07D2"/>
    <w:rsid w:val="70EB0ED2"/>
    <w:rsid w:val="71BF4EC2"/>
    <w:rsid w:val="721958EA"/>
    <w:rsid w:val="7220622B"/>
    <w:rsid w:val="7241754D"/>
    <w:rsid w:val="7260580F"/>
    <w:rsid w:val="72672DC4"/>
    <w:rsid w:val="72734D90"/>
    <w:rsid w:val="72B8716D"/>
    <w:rsid w:val="72C214EC"/>
    <w:rsid w:val="72D6671B"/>
    <w:rsid w:val="73326B63"/>
    <w:rsid w:val="73A735B2"/>
    <w:rsid w:val="7412278C"/>
    <w:rsid w:val="74735BA6"/>
    <w:rsid w:val="74F851F6"/>
    <w:rsid w:val="75291AB9"/>
    <w:rsid w:val="75363240"/>
    <w:rsid w:val="753B340B"/>
    <w:rsid w:val="75862CA5"/>
    <w:rsid w:val="76E20C55"/>
    <w:rsid w:val="774E77F3"/>
    <w:rsid w:val="776668EA"/>
    <w:rsid w:val="779F1122"/>
    <w:rsid w:val="77B77FF7"/>
    <w:rsid w:val="77DB3E79"/>
    <w:rsid w:val="77F73614"/>
    <w:rsid w:val="78055E5D"/>
    <w:rsid w:val="787839B6"/>
    <w:rsid w:val="787B1D67"/>
    <w:rsid w:val="78C8252C"/>
    <w:rsid w:val="79456370"/>
    <w:rsid w:val="794F10EF"/>
    <w:rsid w:val="79E7B28D"/>
    <w:rsid w:val="79ED7793"/>
    <w:rsid w:val="7AC42BA1"/>
    <w:rsid w:val="7AD737C0"/>
    <w:rsid w:val="7AFC1CED"/>
    <w:rsid w:val="7B607302"/>
    <w:rsid w:val="7BB20980"/>
    <w:rsid w:val="7BED7F5C"/>
    <w:rsid w:val="7C3074CB"/>
    <w:rsid w:val="7C8D66C7"/>
    <w:rsid w:val="7CE43A4E"/>
    <w:rsid w:val="7D386176"/>
    <w:rsid w:val="7D6D1D42"/>
    <w:rsid w:val="7D7C3B40"/>
    <w:rsid w:val="7E040C0B"/>
    <w:rsid w:val="7E2555C9"/>
    <w:rsid w:val="7E461B7C"/>
    <w:rsid w:val="7E603117"/>
    <w:rsid w:val="7E9C5AC8"/>
    <w:rsid w:val="7F7F3488"/>
    <w:rsid w:val="7F9F20EE"/>
    <w:rsid w:val="7FB665C6"/>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annotation text"/>
    <w:basedOn w:val="1"/>
    <w:link w:val="39"/>
    <w:semiHidden/>
    <w:unhideWhenUsed/>
    <w:qFormat/>
    <w:uiPriority w:val="99"/>
    <w:pPr>
      <w:jc w:val="left"/>
    </w:pPr>
  </w:style>
  <w:style w:type="paragraph" w:styleId="9">
    <w:name w:val="Body Text"/>
    <w:basedOn w:val="1"/>
    <w:link w:val="27"/>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annotation subject"/>
    <w:basedOn w:val="8"/>
    <w:next w:val="8"/>
    <w:link w:val="40"/>
    <w:semiHidden/>
    <w:unhideWhenUsed/>
    <w:qFormat/>
    <w:uiPriority w:val="99"/>
    <w:rPr>
      <w:b/>
      <w:bCs/>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styleId="21">
    <w:name w:val="annotation reference"/>
    <w:basedOn w:val="18"/>
    <w:semiHidden/>
    <w:unhideWhenUsed/>
    <w:qFormat/>
    <w:uiPriority w:val="99"/>
    <w:rPr>
      <w:sz w:val="21"/>
      <w:szCs w:val="21"/>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字符"/>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字符"/>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字符"/>
    <w:link w:val="9"/>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8"/>
    <w:link w:val="5"/>
    <w:qFormat/>
    <w:uiPriority w:val="9"/>
    <w:rPr>
      <w:rFonts w:ascii="Times New Roman" w:hAnsi="Times New Roman"/>
      <w:b/>
      <w:bCs/>
      <w:kern w:val="44"/>
      <w:sz w:val="44"/>
      <w:szCs w:val="44"/>
    </w:rPr>
  </w:style>
  <w:style w:type="character" w:customStyle="1" w:styleId="31">
    <w:name w:val="标题 2 字符"/>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8"/>
    <w:link w:val="11"/>
    <w:semiHidden/>
    <w:qFormat/>
    <w:uiPriority w:val="99"/>
    <w:rPr>
      <w:rFonts w:ascii="Times New Roman" w:hAnsi="Times New Roman"/>
      <w:kern w:val="2"/>
      <w:sz w:val="18"/>
      <w:szCs w:val="18"/>
    </w:rPr>
  </w:style>
  <w:style w:type="character" w:customStyle="1" w:styleId="34">
    <w:name w:val="标题 3 字符"/>
    <w:basedOn w:val="18"/>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样式1"/>
    <w:basedOn w:val="14"/>
    <w:qFormat/>
    <w:uiPriority w:val="0"/>
    <w:rPr>
      <w:rFonts w:ascii="仿宋_GB2312" w:eastAsia="仿宋_GB2312"/>
    </w:rPr>
  </w:style>
  <w:style w:type="paragraph" w:customStyle="1" w:styleId="37">
    <w:name w:val="WPSOffice手动目录 1"/>
    <w:qFormat/>
    <w:uiPriority w:val="0"/>
    <w:rPr>
      <w:rFonts w:ascii="Times New Roman" w:hAnsi="Times New Roman" w:eastAsia="宋体" w:cs="Times New Roman"/>
      <w:lang w:val="en-US" w:eastAsia="zh-CN" w:bidi="ar-SA"/>
    </w:rPr>
  </w:style>
  <w:style w:type="paragraph" w:customStyle="1" w:styleId="3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9">
    <w:name w:val="批注文字 字符"/>
    <w:basedOn w:val="18"/>
    <w:link w:val="8"/>
    <w:semiHidden/>
    <w:qFormat/>
    <w:uiPriority w:val="99"/>
    <w:rPr>
      <w:kern w:val="2"/>
      <w:sz w:val="21"/>
      <w:szCs w:val="24"/>
    </w:rPr>
  </w:style>
  <w:style w:type="character" w:customStyle="1" w:styleId="40">
    <w:name w:val="批注主题 字符"/>
    <w:basedOn w:val="39"/>
    <w:link w:val="16"/>
    <w:semiHidden/>
    <w:qFormat/>
    <w:uiPriority w:val="99"/>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收、支决算总计变动情况图</a:t>
            </a:r>
            <a:endParaRPr lang="zh-CN" altLang="en-US">
              <a:solidFill>
                <a:schemeClr val="tx1">
                  <a:lumMod val="50000"/>
                </a:schemeClr>
              </a:solidFill>
              <a:uFillTx/>
            </a:endParaRPr>
          </a:p>
        </c:rich>
      </c:tx>
      <c:layout/>
      <c:overlay val="0"/>
      <c:spPr>
        <a:noFill/>
        <a:ln>
          <a:noFill/>
        </a:ln>
        <a:effectLst/>
      </c:spPr>
    </c:title>
    <c:autoTitleDeleted val="0"/>
    <c:plotArea>
      <c:layout>
        <c:manualLayout>
          <c:layoutTarget val="inner"/>
          <c:xMode val="edge"/>
          <c:yMode val="edge"/>
          <c:x val="0.0868989958653278"/>
          <c:y val="0.130972842901341"/>
          <c:w val="0.888883638511518"/>
          <c:h val="0.708044001375043"/>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27840.96</c:v>
                </c:pt>
                <c:pt idx="1">
                  <c:v>27840.96</c:v>
                </c:pt>
              </c:numCache>
            </c:numRef>
          </c:val>
        </c:ser>
        <c:ser>
          <c:idx val="1"/>
          <c:order val="1"/>
          <c:tx>
            <c:strRef>
              <c:f>Sheet1!$C$1</c:f>
              <c:strCache>
                <c:ptCount val="1"/>
                <c:pt idx="0">
                  <c:v>2025年度</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37372.01</c:v>
                </c:pt>
                <c:pt idx="1">
                  <c:v>37372.01</c:v>
                </c:pt>
              </c:numCache>
            </c:numRef>
          </c:val>
        </c:ser>
        <c:dLbls>
          <c:showLegendKey val="0"/>
          <c:showVal val="1"/>
          <c:showCatName val="0"/>
          <c:showSerName val="0"/>
          <c:showPercent val="0"/>
          <c:showBubbleSize val="0"/>
        </c:dLbls>
        <c:gapWidth val="219"/>
        <c:overlap val="-27"/>
        <c:axId val="645858728"/>
        <c:axId val="829565038"/>
      </c:barChart>
      <c:catAx>
        <c:axId val="645858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565038"/>
        <c:crosses val="autoZero"/>
        <c:auto val="1"/>
        <c:lblAlgn val="ctr"/>
        <c:lblOffset val="100"/>
        <c:noMultiLvlLbl val="0"/>
      </c:catAx>
      <c:valAx>
        <c:axId val="82956503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lang="zh-CN" altLang="en-US"/>
              <a:t>收入决算结构图</a:t>
            </a:r>
            <a:endParaRPr lang="zh-CN" altLang="en-US"/>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0479769710538941"/>
          <c:y val="0.301794871794872"/>
          <c:w val="0.818077722693107"/>
          <c:h val="0.630927021696252"/>
        </c:manualLayout>
      </c:layout>
      <c:pie3DChart>
        <c:varyColors val="1"/>
        <c:ser>
          <c:idx val="0"/>
          <c:order val="0"/>
          <c:tx>
            <c:strRef>
              <c:f>Sheet1!$B$1</c:f>
              <c:strCache>
                <c:ptCount val="1"/>
                <c:pt idx="0">
                  <c:v>收入</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Sheet1!$A$2:$A$3</c:f>
              <c:strCache>
                <c:ptCount val="2"/>
                <c:pt idx="0">
                  <c:v>一般公共预算</c:v>
                </c:pt>
                <c:pt idx="1">
                  <c:v>政府性基金预算</c:v>
                </c:pt>
              </c:strCache>
            </c:strRef>
          </c:cat>
          <c:val>
            <c:numRef>
              <c:f>Sheet1!$B$2:$B$3</c:f>
              <c:numCache>
                <c:formatCode>General</c:formatCode>
                <c:ptCount val="2"/>
                <c:pt idx="0">
                  <c:v>16882.59</c:v>
                </c:pt>
                <c:pt idx="1">
                  <c:v>20489.43</c:v>
                </c:pt>
              </c:numCache>
            </c:numRef>
          </c:val>
        </c:ser>
        <c:dLbls>
          <c:showLegendKey val="0"/>
          <c:showVal val="1"/>
          <c:showCatName val="0"/>
          <c:showSerName val="0"/>
          <c:showPercent val="0"/>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支出决算结构图</a:t>
            </a:r>
            <a:endParaRPr lang="zh-CN" altLang="en-US">
              <a:solidFill>
                <a:schemeClr val="tx1">
                  <a:lumMod val="50000"/>
                </a:schemeClr>
              </a:solidFill>
              <a:uFillTx/>
            </a:endParaRPr>
          </a:p>
        </c:rich>
      </c:tx>
      <c:layout>
        <c:manualLayout>
          <c:xMode val="edge"/>
          <c:yMode val="edge"/>
          <c:x val="0.364509929532351"/>
          <c:y val="0.0319645356976202"/>
        </c:manualLayout>
      </c:layout>
      <c:overlay val="0"/>
      <c:spPr>
        <a:noFill/>
        <a:ln>
          <a:noFill/>
        </a:ln>
        <a:effectLst/>
      </c:spPr>
    </c:title>
    <c:autoTitleDeleted val="0"/>
    <c:plotArea>
      <c:layout/>
      <c:pieChart>
        <c:varyColors val="1"/>
        <c:ser>
          <c:idx val="0"/>
          <c:order val="0"/>
          <c:tx>
            <c:strRef>
              <c:f>Sheet1!$B$1</c:f>
              <c:strCache>
                <c:ptCount val="1"/>
                <c:pt idx="0">
                  <c:v>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1482.72</c:v>
                </c:pt>
                <c:pt idx="1">
                  <c:v>35889.29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344891095451634"/>
          <c:y val="0.89452715453973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solidFill>
                  <a:schemeClr val="tx1">
                    <a:lumMod val="50000"/>
                  </a:schemeClr>
                </a:solidFill>
              </a:rPr>
              <a:t>财政拨款</a:t>
            </a:r>
            <a:r>
              <a:rPr lang="zh-CN" altLang="en-US" b="1">
                <a:solidFill>
                  <a:schemeClr val="tx1">
                    <a:lumMod val="50000"/>
                  </a:schemeClr>
                </a:solidFill>
                <a:uFillTx/>
              </a:rPr>
              <a:t>收、支决算总计变动情况</a:t>
            </a:r>
            <a:endParaRPr lang="zh-CN" altLang="en-US" b="1">
              <a:solidFill>
                <a:schemeClr val="tx1">
                  <a:lumMod val="50000"/>
                </a:schemeClr>
              </a:solidFill>
            </a:endParaRPr>
          </a:p>
        </c:rich>
      </c:tx>
      <c:layout>
        <c:manualLayout>
          <c:xMode val="edge"/>
          <c:yMode val="edge"/>
          <c:x val="0.308568598315998"/>
          <c:y val="0.0157350517008841"/>
        </c:manualLayout>
      </c:layout>
      <c:overlay val="0"/>
      <c:spPr>
        <a:noFill/>
        <a:ln>
          <a:noFill/>
        </a:ln>
        <a:effectLst/>
      </c:spPr>
    </c:title>
    <c:autoTitleDeleted val="0"/>
    <c:plotArea>
      <c:layout>
        <c:manualLayout>
          <c:layoutTarget val="inner"/>
          <c:xMode val="edge"/>
          <c:yMode val="edge"/>
          <c:x val="0.1043970653789"/>
          <c:y val="0.0812962409226826"/>
          <c:w val="0.87555"/>
          <c:h val="0.7605"/>
        </c:manualLayout>
      </c:layout>
      <c:barChart>
        <c:barDir val="col"/>
        <c:grouping val="clustered"/>
        <c:varyColors val="0"/>
        <c:ser>
          <c:idx val="0"/>
          <c:order val="0"/>
          <c:tx>
            <c:strRef>
              <c:f>Sheet1!$B$1</c:f>
              <c:strCache>
                <c:ptCount val="1"/>
                <c:pt idx="0">
                  <c:v>2024年度</c:v>
                </c:pt>
              </c:strCache>
            </c:strRef>
          </c:tx>
          <c:spPr>
            <a:solidFill>
              <a:schemeClr val="tx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27840.96</c:v>
                </c:pt>
                <c:pt idx="1">
                  <c:v>27840.96</c:v>
                </c:pt>
              </c:numCache>
            </c:numRef>
          </c:val>
        </c:ser>
        <c:ser>
          <c:idx val="1"/>
          <c:order val="1"/>
          <c:tx>
            <c:strRef>
              <c:f>Sheet1!$C$1</c:f>
              <c:strCache>
                <c:ptCount val="1"/>
                <c:pt idx="0">
                  <c:v>2025年度</c:v>
                </c:pt>
              </c:strCache>
            </c:strRef>
          </c:tx>
          <c:spPr>
            <a:solidFill>
              <a:schemeClr val="accent4"/>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37372.01</c:v>
                </c:pt>
                <c:pt idx="1">
                  <c:v>37372.01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406143146"/>
        <c:axId val="185996679"/>
      </c:barChart>
      <c:catAx>
        <c:axId val="40614314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996679"/>
        <c:crosses val="autoZero"/>
        <c:auto val="1"/>
        <c:lblAlgn val="ctr"/>
        <c:lblOffset val="100"/>
        <c:noMultiLvlLbl val="0"/>
      </c:catAx>
      <c:valAx>
        <c:axId val="1859966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143146"/>
        <c:crosses val="autoZero"/>
        <c:crossBetween val="between"/>
      </c:valAx>
      <c:spPr>
        <a:noFill/>
        <a:ln>
          <a:noFill/>
        </a:ln>
        <a:effectLst/>
      </c:spPr>
    </c:plotArea>
    <c:legend>
      <c:legendPos val="b"/>
      <c:legendEntry>
        <c:idx val="2"/>
        <c:delete val="1"/>
      </c:legendEntry>
      <c:layout>
        <c:manualLayout>
          <c:xMode val="edge"/>
          <c:yMode val="edge"/>
          <c:x val="0.340762753838534"/>
          <c:y val="0.9295669114341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sz="1400"/>
              <a:t>一般公共预算财政拨款支出决算变动情况</a:t>
            </a:r>
            <a:endParaRPr lang="zh-CN" altLang="en-US" sz="1400"/>
          </a:p>
        </c:rich>
      </c:tx>
      <c:layout>
        <c:manualLayout>
          <c:xMode val="edge"/>
          <c:yMode val="edge"/>
          <c:x val="0.159049120042028"/>
          <c:y val="0.00658472344161545"/>
        </c:manualLayout>
      </c:layout>
      <c:overlay val="0"/>
      <c:spPr>
        <a:noFill/>
        <a:ln>
          <a:noFill/>
        </a:ln>
        <a:effectLst/>
      </c:spPr>
    </c:title>
    <c:autoTitleDeleted val="0"/>
    <c:plotArea>
      <c:layout>
        <c:manualLayout>
          <c:layoutTarget val="inner"/>
          <c:xMode val="edge"/>
          <c:yMode val="edge"/>
          <c:x val="0.0820747520976354"/>
          <c:y val="0.183497241544735"/>
          <c:w val="0.889956775997966"/>
          <c:h val="0.643799472295514"/>
        </c:manualLayout>
      </c:layout>
      <c:barChart>
        <c:barDir val="col"/>
        <c:grouping val="clustered"/>
        <c:varyColors val="0"/>
        <c:ser>
          <c:idx val="0"/>
          <c:order val="0"/>
          <c:tx>
            <c:strRef>
              <c:f>Sheet1!$B$1</c:f>
              <c:strCache>
                <c:ptCount val="1"/>
                <c:pt idx="0">
                  <c:v>2025年度</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Sheet1!$B$2</c:f>
              <c:numCache>
                <c:formatCode>General</c:formatCode>
                <c:ptCount val="1"/>
                <c:pt idx="0">
                  <c:v>16882.58</c:v>
                </c:pt>
              </c:numCache>
            </c:numRef>
          </c:val>
        </c:ser>
        <c:ser>
          <c:idx val="1"/>
          <c:order val="1"/>
          <c:tx>
            <c:strRef>
              <c:f>Sheet1!$C$1</c:f>
              <c:strCache>
                <c:ptCount val="1"/>
                <c:pt idx="0">
                  <c:v>2024年度</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Sheet1!$C$2</c:f>
              <c:numCache>
                <c:formatCode>General</c:formatCode>
                <c:ptCount val="1"/>
                <c:pt idx="0">
                  <c:v>10724.46</c:v>
                </c:pt>
              </c:numCache>
            </c:numRef>
          </c:val>
        </c:ser>
        <c:ser>
          <c:idx val="2"/>
          <c:order val="2"/>
          <c:tx>
            <c:strRef>
              <c:f>Sheet1!$D$1</c:f>
              <c:strCache>
                <c:ptCount val="1"/>
                <c:pt idx="0">
                  <c:v>增幅</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c:f>
              <c:strCache>
                <c:ptCount val="1"/>
                <c:pt idx="0">
                  <c:v>支出</c:v>
                </c:pt>
              </c:strCache>
            </c:strRef>
          </c:cat>
          <c:val>
            <c:numRef>
              <c:f>Sheet1!$D$2</c:f>
              <c:numCache>
                <c:formatCode>General</c:formatCode>
                <c:ptCount val="1"/>
                <c:pt idx="0">
                  <c:v>6158.12</c:v>
                </c:pt>
              </c:numCache>
            </c:numRef>
          </c:val>
        </c:ser>
        <c:dLbls>
          <c:showLegendKey val="0"/>
          <c:showVal val="1"/>
          <c:showCatName val="0"/>
          <c:showSerName val="0"/>
          <c:showPercent val="0"/>
          <c:showBubbleSize val="0"/>
        </c:dLbls>
        <c:gapWidth val="355"/>
        <c:overlap val="-70"/>
        <c:axId val="645858728"/>
        <c:axId val="829565038"/>
      </c:barChart>
      <c:catAx>
        <c:axId val="645858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565038"/>
        <c:crosses val="autoZero"/>
        <c:auto val="1"/>
        <c:lblAlgn val="ctr"/>
        <c:lblOffset val="100"/>
        <c:noMultiLvlLbl val="0"/>
      </c:catAx>
      <c:valAx>
        <c:axId val="829565038"/>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40" b="0" i="0" u="none" strike="noStrike" kern="1200" spc="0" baseline="0">
                <a:solidFill>
                  <a:schemeClr val="tx1">
                    <a:lumMod val="65000"/>
                    <a:lumOff val="35000"/>
                  </a:schemeClr>
                </a:solidFill>
                <a:latin typeface="+mn-lt"/>
                <a:ea typeface="+mn-ea"/>
                <a:cs typeface="+mn-cs"/>
              </a:defRPr>
            </a:pPr>
            <a:r>
              <a:rPr lang="zh-CN" altLang="en-US" sz="1400">
                <a:solidFill>
                  <a:schemeClr val="tx1"/>
                </a:solidFill>
                <a:uFillTx/>
              </a:rPr>
              <a:t>一般公共预算财政拨款支出决算结构</a:t>
            </a:r>
            <a:endParaRPr lang="zh-CN" altLang="en-US" sz="1400">
              <a:solidFill>
                <a:schemeClr val="tx1"/>
              </a:solidFill>
              <a:uFillTx/>
            </a:endParaRPr>
          </a:p>
        </c:rich>
      </c:tx>
      <c:layout/>
      <c:overlay val="0"/>
      <c:spPr>
        <a:noFill/>
        <a:ln>
          <a:noFill/>
        </a:ln>
        <a:effectLst/>
      </c:spPr>
    </c:title>
    <c:autoTitleDeleted val="0"/>
    <c:view3D>
      <c:rotX val="50"/>
      <c:rotY val="43"/>
      <c:depthPercent val="100"/>
      <c:rAngAx val="0"/>
      <c:perspective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销售额</c:v>
                </c:pt>
              </c:strCache>
            </c:strRef>
          </c:tx>
          <c:explosion val="24"/>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dPt>
          <c:dPt>
            <c:idx val="6"/>
            <c:bubble3D val="0"/>
          </c:dPt>
          <c:dLbls>
            <c:delete val="1"/>
          </c:dLbls>
          <c:cat>
            <c:strRef>
              <c:f>Sheet1!$A$2:$A$8</c:f>
              <c:strCache>
                <c:ptCount val="7"/>
                <c:pt idx="0">
                  <c:v>卫生健康支出</c:v>
                </c:pt>
                <c:pt idx="1">
                  <c:v>一般公共服务支出</c:v>
                </c:pt>
                <c:pt idx="2">
                  <c:v>社会保障和就业支出</c:v>
                </c:pt>
                <c:pt idx="3">
                  <c:v>农林水支出</c:v>
                </c:pt>
                <c:pt idx="4">
                  <c:v>交通运输支出</c:v>
                </c:pt>
                <c:pt idx="5">
                  <c:v>其他支出</c:v>
                </c:pt>
                <c:pt idx="6">
                  <c:v>住房保障支出</c:v>
                </c:pt>
              </c:strCache>
            </c:strRef>
          </c:cat>
          <c:val>
            <c:numRef>
              <c:f>Sheet1!$B$2:$B$8</c:f>
              <c:numCache>
                <c:formatCode>General</c:formatCode>
                <c:ptCount val="7"/>
                <c:pt idx="0">
                  <c:v>58.75</c:v>
                </c:pt>
                <c:pt idx="1">
                  <c:v>10.6</c:v>
                </c:pt>
                <c:pt idx="2">
                  <c:v>399.36</c:v>
                </c:pt>
                <c:pt idx="3">
                  <c:v>6100</c:v>
                </c:pt>
                <c:pt idx="4">
                  <c:v>10151.91</c:v>
                </c:pt>
                <c:pt idx="5">
                  <c:v>80</c:v>
                </c:pt>
                <c:pt idx="6">
                  <c:v>81.97</c:v>
                </c:pt>
              </c:numCache>
            </c:numRef>
          </c:val>
        </c:ser>
        <c:dLbls>
          <c:showLegendKey val="0"/>
          <c:showVal val="1"/>
          <c:showCatName val="0"/>
          <c:showSerName val="0"/>
          <c:showPercent val="0"/>
          <c:showBubbleSize val="0"/>
        </c:dLbls>
      </c:pie3DChart>
      <c:spPr>
        <a:noFill/>
        <a:ln>
          <a:noFill/>
        </a:ln>
        <a:effectLst/>
      </c:spPr>
    </c:plotArea>
    <c:legend>
      <c:legendPos val="r"/>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solidFill>
                <a:uFillTx/>
              </a:rPr>
              <a:t>三公经费结构图</a:t>
            </a:r>
            <a:endParaRPr lang="zh-CN" altLang="en-US">
              <a:solidFill>
                <a:schemeClr val="tx1"/>
              </a:solidFill>
              <a:uFillTx/>
            </a:endParaRP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2325"/>
          <c:y val="0.16015"/>
          <c:w val="0.8316"/>
          <c:h val="0.669533333333333"/>
        </c:manualLayout>
      </c:layout>
      <c:pie3DChart>
        <c:varyColors val="1"/>
        <c:ser>
          <c:idx val="0"/>
          <c:order val="0"/>
          <c:tx>
            <c:strRef>
              <c:f>Sheet1!$B$1</c:f>
              <c:strCache>
                <c:ptCount val="1"/>
                <c:pt idx="0">
                  <c:v>三公经费结构图</c:v>
                </c:pt>
              </c:strCache>
            </c:strRef>
          </c:tx>
          <c:explosion val="0"/>
          <c:dPt>
            <c:idx val="0"/>
            <c:bubble3D val="0"/>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Lbls>
            <c:delete val="1"/>
          </c:dLbls>
          <c:cat>
            <c:strRef>
              <c:f>Sheet1!$A$2:$A$3</c:f>
              <c:strCache>
                <c:ptCount val="2"/>
                <c:pt idx="0">
                  <c:v>公务用车购置及运行维护费</c:v>
                </c:pt>
                <c:pt idx="1">
                  <c:v>公务接待费</c:v>
                </c:pt>
              </c:strCache>
            </c:strRef>
          </c:cat>
          <c:val>
            <c:numRef>
              <c:f>Sheet1!$B$2:$B$3</c:f>
              <c:numCache>
                <c:formatCode>General</c:formatCode>
                <c:ptCount val="2"/>
                <c:pt idx="0">
                  <c:v>1.7</c:v>
                </c:pt>
                <c:pt idx="1">
                  <c:v>0.87</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24</Pages>
  <Words>1488</Words>
  <Characters>8484</Characters>
  <Lines>70</Lines>
  <Paragraphs>19</Paragraphs>
  <TotalTime>3</TotalTime>
  <ScaleCrop>false</ScaleCrop>
  <LinksUpToDate>false</LinksUpToDate>
  <CharactersWithSpaces>9953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2026-09-04T04:41:00Z</dcterms:created>
  <dc:creator>曹颖</dc:creator>
  <cp:lastModifiedBy>熊锦秀</cp:lastModifiedBy>
  <cp:lastPrinted>2023-07-31T02:35:00Z</cp:lastPrinted>
  <dcterms:modified xsi:type="dcterms:W3CDTF">2026-09-11T09:28:00Z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DCD793BB96C14FC4A7E6EEE4A057F8AA</vt:lpwstr>
  </property>
</Properties>
</file>