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D6EED">
      <w:pPr>
        <w:pStyle w:val="2"/>
        <w:rPr>
          <w:rFonts w:hint="eastAsia" w:ascii="Times New Roman" w:hAnsi="Times New Roman" w:eastAsia="方正小标宋简体" w:cs="Times New Roman"/>
          <w:color w:val="auto"/>
          <w:kern w:val="2"/>
          <w:sz w:val="72"/>
          <w:szCs w:val="72"/>
          <w:highlight w:val="none"/>
          <w:lang w:val="en-US" w:eastAsia="zh-CN" w:bidi="ar-SA"/>
        </w:rPr>
      </w:pPr>
      <w:bookmarkStart w:id="0" w:name="_Toc15306267"/>
      <w:bookmarkStart w:id="1" w:name="_Toc15377193"/>
      <w:bookmarkStart w:id="2" w:name="_Toc15378441"/>
      <w:bookmarkStart w:id="3" w:name="_Toc15396597"/>
      <w:bookmarkStart w:id="4" w:name="_Toc15396475"/>
      <w:bookmarkStart w:id="5" w:name="_Toc15377425"/>
    </w:p>
    <w:p w14:paraId="162E7E4B">
      <w:pPr>
        <w:pStyle w:val="2"/>
        <w:rPr>
          <w:rFonts w:hint="eastAsia" w:ascii="Times New Roman" w:hAnsi="Times New Roman" w:eastAsia="方正小标宋简体" w:cs="Times New Roman"/>
          <w:color w:val="auto"/>
          <w:kern w:val="2"/>
          <w:sz w:val="72"/>
          <w:szCs w:val="72"/>
          <w:highlight w:val="none"/>
          <w:lang w:val="en-US" w:eastAsia="zh-CN" w:bidi="ar-SA"/>
        </w:rPr>
      </w:pPr>
    </w:p>
    <w:p w14:paraId="1D551452">
      <w:pPr>
        <w:pStyle w:val="2"/>
        <w:rPr>
          <w:rFonts w:hint="eastAsia" w:ascii="Times New Roman" w:hAnsi="Times New Roman" w:eastAsia="方正小标宋简体" w:cs="Times New Roman"/>
          <w:color w:val="auto"/>
          <w:kern w:val="2"/>
          <w:sz w:val="72"/>
          <w:szCs w:val="72"/>
          <w:highlight w:val="none"/>
          <w:lang w:val="en-US" w:eastAsia="zh-CN" w:bidi="ar-SA"/>
        </w:rPr>
      </w:pPr>
    </w:p>
    <w:p w14:paraId="267F9DB7">
      <w:pPr>
        <w:pStyle w:val="2"/>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攀枝花市公路养护总段</w:t>
      </w:r>
    </w:p>
    <w:p w14:paraId="1249F8BE">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单位决算公开文字说明</w:t>
      </w:r>
      <w:bookmarkEnd w:id="0"/>
      <w:bookmarkEnd w:id="1"/>
      <w:bookmarkEnd w:id="2"/>
      <w:bookmarkEnd w:id="3"/>
      <w:bookmarkEnd w:id="4"/>
      <w:bookmarkEnd w:id="5"/>
    </w:p>
    <w:p w14:paraId="14CE5F3E">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53256A92">
      <w:pPr>
        <w:widowControl/>
        <w:jc w:val="center"/>
        <w:rPr>
          <w:rFonts w:ascii="Times New Roman" w:hAnsi="Times New Roman" w:eastAsia="黑体" w:cstheme="minorBidi"/>
          <w:color w:val="auto"/>
          <w:sz w:val="28"/>
          <w:szCs w:val="28"/>
          <w:highlight w:val="none"/>
        </w:rPr>
      </w:pPr>
    </w:p>
    <w:p w14:paraId="01AA2E44">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12 </w:t>
      </w:r>
      <w:r>
        <w:rPr>
          <w:rFonts w:hint="eastAsia" w:ascii="Times New Roman" w:hAnsi="Times New Roman" w:eastAsia="仿宋_GB2312" w:cs="仿宋_GB2312"/>
          <w:color w:val="auto"/>
          <w:sz w:val="32"/>
          <w:szCs w:val="32"/>
          <w:highlight w:val="none"/>
        </w:rPr>
        <w:t>日</w:t>
      </w:r>
    </w:p>
    <w:p w14:paraId="29ACF12A">
      <w:pPr>
        <w:rPr>
          <w:rFonts w:ascii="Times New Roman" w:hAnsi="Times New Roman"/>
          <w:color w:val="auto"/>
          <w:highlight w:val="none"/>
        </w:rPr>
      </w:pPr>
    </w:p>
    <w:p w14:paraId="431FC47C">
      <w:pPr>
        <w:pStyle w:val="37"/>
        <w:tabs>
          <w:tab w:val="right" w:leader="dot" w:pos="8306"/>
        </w:tabs>
        <w:rPr>
          <w:rFonts w:hint="eastAsia" w:ascii="仿宋" w:hAnsi="仿宋" w:eastAsia="仿宋" w:cs="仿宋"/>
          <w:b w:val="0"/>
          <w:bCs w:val="0"/>
          <w:sz w:val="32"/>
          <w:szCs w:val="32"/>
        </w:rPr>
      </w:pPr>
      <w:bookmarkStart w:id="6" w:name="_Toc15396599"/>
      <w:bookmarkStart w:id="7" w:name="_Toc15377196"/>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\l _Toc26036_WPSOffice_Level1 </w:instrText>
      </w:r>
      <w:r>
        <w:rPr>
          <w:rFonts w:hint="eastAsia" w:ascii="仿宋" w:hAnsi="仿宋" w:eastAsia="仿宋" w:cs="仿宋"/>
          <w:b w:val="0"/>
          <w:bCs w:val="0"/>
          <w:sz w:val="32"/>
          <w:szCs w:val="32"/>
        </w:rPr>
        <w:fldChar w:fldCharType="separate"/>
      </w:r>
      <w:sdt>
        <w:sdtPr>
          <w:rPr>
            <w:rFonts w:hint="eastAsia" w:ascii="仿宋" w:hAnsi="仿宋" w:eastAsia="仿宋" w:cs="仿宋"/>
            <w:b w:val="0"/>
            <w:bCs w:val="0"/>
            <w:kern w:val="2"/>
            <w:sz w:val="32"/>
            <w:szCs w:val="32"/>
            <w:lang w:val="en-US" w:eastAsia="zh-CN" w:bidi="ar-SA"/>
          </w:rPr>
          <w:id w:val="147475180"/>
          <w:placeholder>
            <w:docPart w:val="{f768c6eb-43a2-441e-83c9-10733ca3bb8b}"/>
          </w:placeholder>
        </w:sdtPr>
        <w:sdtEndPr>
          <w:rPr>
            <w:rFonts w:hint="eastAsia" w:ascii="仿宋" w:hAnsi="仿宋" w:eastAsia="仿宋" w:cs="仿宋"/>
            <w:b w:val="0"/>
            <w:bCs w:val="0"/>
            <w:kern w:val="2"/>
            <w:sz w:val="32"/>
            <w:szCs w:val="32"/>
            <w:lang w:val="en-US" w:eastAsia="zh-CN" w:bidi="ar-SA"/>
          </w:rPr>
        </w:sdtEndPr>
        <w:sdtContent>
          <w:r>
            <w:rPr>
              <w:rFonts w:hint="eastAsia" w:ascii="黑体" w:hAnsi="黑体" w:eastAsia="黑体" w:cs="黑体"/>
              <w:b w:val="0"/>
              <w:bCs w:val="0"/>
              <w:sz w:val="32"/>
              <w:szCs w:val="32"/>
            </w:rPr>
            <w:t>第一部分 单位概况</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fldChar w:fldCharType="end"/>
      </w:r>
    </w:p>
    <w:p w14:paraId="68C31FA3">
      <w:pPr>
        <w:pStyle w:val="38"/>
        <w:tabs>
          <w:tab w:val="right" w:leader="dot" w:pos="8306"/>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_Toc16360_WPSOffice_Level2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2952"/>
          <w:placeholder>
            <w:docPart w:val="{78276974-de46-436e-87e5-63c53999f3f5}"/>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一、主要职责</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2FB47445">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_Toc20762_WPSOffice_Level2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5267"/>
          <w:placeholder>
            <w:docPart w:val="{67cd120f-075d-4416-8db6-491afaff82a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二、机构设置</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14:paraId="19360A36">
      <w:pPr>
        <w:pStyle w:val="37"/>
        <w:tabs>
          <w:tab w:val="right" w:leader="dot" w:pos="8306"/>
        </w:tabs>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_Toc16360_WPSOffice_Level1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sz w:val="32"/>
            <w:szCs w:val="32"/>
            <w:lang w:val="en-US" w:eastAsia="zh-CN"/>
          </w:rPr>
          <w:id w:val="147464146"/>
          <w:placeholder>
            <w:docPart w:val="{9599305b-53a2-4267-8104-a90436d42b35}"/>
          </w:placeholder>
        </w:sdtPr>
        <w:sdtEndPr>
          <w:rPr>
            <w:rFonts w:hint="eastAsia" w:ascii="黑体" w:hAnsi="黑体" w:eastAsia="黑体" w:cs="黑体"/>
            <w:b w:val="0"/>
            <w:bCs w:val="0"/>
            <w:sz w:val="32"/>
            <w:szCs w:val="32"/>
            <w:lang w:val="en-US" w:eastAsia="zh-CN"/>
          </w:rPr>
        </w:sdtEndPr>
        <w:sdtContent>
          <w:r>
            <w:rPr>
              <w:rFonts w:hint="eastAsia" w:ascii="黑体" w:hAnsi="黑体" w:eastAsia="黑体" w:cs="黑体"/>
              <w:b w:val="0"/>
              <w:bCs w:val="0"/>
              <w:sz w:val="32"/>
              <w:szCs w:val="32"/>
            </w:rPr>
            <w:t>第二部分 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年度单位决算情况说明</w:t>
          </w:r>
        </w:sdtContent>
      </w:sdt>
      <w:r>
        <w:rPr>
          <w:rFonts w:hint="eastAsia" w:ascii="黑体" w:hAnsi="黑体" w:eastAsia="黑体" w:cs="黑体"/>
          <w:b w:val="0"/>
          <w:bCs w:val="0"/>
          <w:sz w:val="32"/>
          <w:szCs w:val="32"/>
        </w:rPr>
        <w:tab/>
      </w:r>
      <w:bookmarkStart w:id="8" w:name="_Toc16360_WPSOffice_Level1Page"/>
      <w:r>
        <w:rPr>
          <w:rFonts w:hint="eastAsia" w:ascii="黑体" w:hAnsi="黑体" w:eastAsia="黑体" w:cs="黑体"/>
          <w:b w:val="0"/>
          <w:bCs w:val="0"/>
          <w:sz w:val="32"/>
          <w:szCs w:val="32"/>
        </w:rPr>
        <w:t>6</w:t>
      </w:r>
      <w:bookmarkEnd w:id="8"/>
      <w:r>
        <w:rPr>
          <w:rFonts w:hint="eastAsia" w:ascii="黑体" w:hAnsi="黑体" w:eastAsia="黑体" w:cs="黑体"/>
          <w:b w:val="0"/>
          <w:bCs w:val="0"/>
          <w:sz w:val="32"/>
          <w:szCs w:val="32"/>
        </w:rPr>
        <w:fldChar w:fldCharType="end"/>
      </w:r>
    </w:p>
    <w:p w14:paraId="13F16971">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_Toc4580_WPSOffice_Level2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6262"/>
          <w:placeholder>
            <w:docPart w:val="{7d1eee48-0ff7-4bc3-ba08-338cf60a2fd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 收入支出决算总体情况说明</w:t>
          </w:r>
        </w:sdtContent>
      </w:sdt>
      <w:r>
        <w:rPr>
          <w:rFonts w:hint="eastAsia" w:ascii="仿宋" w:hAnsi="仿宋" w:eastAsia="仿宋" w:cs="仿宋"/>
          <w:sz w:val="32"/>
          <w:szCs w:val="32"/>
        </w:rPr>
        <w:tab/>
      </w:r>
      <w:bookmarkStart w:id="9" w:name="_Toc4580_WPSOffice_Level2Page"/>
      <w:r>
        <w:rPr>
          <w:rFonts w:hint="eastAsia" w:ascii="仿宋" w:hAnsi="仿宋" w:eastAsia="仿宋" w:cs="仿宋"/>
          <w:sz w:val="32"/>
          <w:szCs w:val="32"/>
        </w:rPr>
        <w:t>6</w:t>
      </w:r>
      <w:bookmarkEnd w:id="9"/>
      <w:r>
        <w:rPr>
          <w:rFonts w:hint="eastAsia" w:ascii="仿宋" w:hAnsi="仿宋" w:eastAsia="仿宋" w:cs="仿宋"/>
          <w:sz w:val="32"/>
          <w:szCs w:val="32"/>
        </w:rPr>
        <w:fldChar w:fldCharType="end"/>
      </w:r>
    </w:p>
    <w:p w14:paraId="5F189775">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_Toc31258_WPSOffice_Level2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7527"/>
          <w:placeholder>
            <w:docPart w:val="{0d029bfb-3926-4646-8e67-a7516d29cca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 收入决算情况说明</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14:paraId="28DDB6D5">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_Toc27302_WPSOffice_Level2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1819"/>
          <w:placeholder>
            <w:docPart w:val="{1cfdd4c9-15bd-48ee-9bdc-774a7f0200ea}"/>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 支出决算情况说明</w:t>
          </w:r>
        </w:sdtContent>
      </w:sdt>
      <w:r>
        <w:rPr>
          <w:rFonts w:hint="eastAsia" w:ascii="仿宋" w:hAnsi="仿宋" w:eastAsia="仿宋" w:cs="仿宋"/>
          <w:sz w:val="32"/>
          <w:szCs w:val="32"/>
        </w:rPr>
        <w:tab/>
      </w:r>
      <w:bookmarkStart w:id="10" w:name="_Toc27302_WPSOffice_Level2Page"/>
      <w:r>
        <w:rPr>
          <w:rFonts w:hint="eastAsia" w:ascii="仿宋" w:hAnsi="仿宋" w:eastAsia="仿宋" w:cs="仿宋"/>
          <w:sz w:val="32"/>
          <w:szCs w:val="32"/>
        </w:rPr>
        <w:t>7</w:t>
      </w:r>
      <w:bookmarkEnd w:id="10"/>
      <w:r>
        <w:rPr>
          <w:rFonts w:hint="eastAsia" w:ascii="仿宋" w:hAnsi="仿宋" w:eastAsia="仿宋" w:cs="仿宋"/>
          <w:sz w:val="32"/>
          <w:szCs w:val="32"/>
        </w:rPr>
        <w:fldChar w:fldCharType="end"/>
      </w:r>
    </w:p>
    <w:p w14:paraId="5C6FBF3B">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_Toc25252_WPSOffice_Level2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8906"/>
          <w:placeholder>
            <w:docPart w:val="{5a1c29ff-6654-4ffe-8219-a2880921dc5e}"/>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四、财政拨款收入支出决算总体情况说明</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14:paraId="793484D1">
      <w:pPr>
        <w:pStyle w:val="38"/>
        <w:tabs>
          <w:tab w:val="right" w:leader="dot" w:pos="8306"/>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_Toc3639_WPSOffice_Level2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7174"/>
          <w:placeholder>
            <w:docPart w:val="{6547b674-9404-4af0-9a39-73eb3e8df4f0}"/>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五、一般公共预算财政拨款支出决算情况说明</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7089C6A8">
      <w:pPr>
        <w:pStyle w:val="38"/>
        <w:tabs>
          <w:tab w:val="right" w:leader="dot" w:pos="8306"/>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_Toc16267_WPSOffice_Level2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4040"/>
          <w:placeholder>
            <w:docPart w:val="{b3f149d1-d0fe-44bc-a06c-4f57e38fd8a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六、一般公共预算财政拨款基本支出决算情况说明</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14:paraId="7EAB3034">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_Toc858_WPSOffice_Level2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8964"/>
          <w:placeholder>
            <w:docPart w:val="{452411c7-8ba5-4f4e-8ff8-da8c4173c2b2}"/>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七、财政拨款“三公”经费支出决算情况说明</w:t>
          </w:r>
        </w:sdtContent>
      </w:sdt>
      <w:r>
        <w:rPr>
          <w:rFonts w:hint="eastAsia" w:ascii="仿宋" w:hAnsi="仿宋" w:eastAsia="仿宋" w:cs="仿宋"/>
          <w:sz w:val="32"/>
          <w:szCs w:val="32"/>
        </w:rPr>
        <w:tab/>
      </w:r>
      <w:bookmarkStart w:id="11" w:name="_Toc858_WPSOffice_Level2Page"/>
      <w:r>
        <w:rPr>
          <w:rFonts w:hint="eastAsia" w:ascii="仿宋" w:hAnsi="仿宋" w:eastAsia="仿宋" w:cs="仿宋"/>
          <w:sz w:val="32"/>
          <w:szCs w:val="32"/>
        </w:rPr>
        <w:t>1</w:t>
      </w:r>
      <w:bookmarkEnd w:id="11"/>
      <w:r>
        <w:rPr>
          <w:rFonts w:hint="eastAsia" w:ascii="仿宋" w:hAnsi="仿宋" w:eastAsia="仿宋" w:cs="仿宋"/>
          <w:sz w:val="32"/>
          <w:szCs w:val="32"/>
          <w:lang w:val="en-US" w:eastAsia="zh-CN"/>
        </w:rPr>
        <w:t>0</w:t>
      </w:r>
      <w:r>
        <w:rPr>
          <w:rFonts w:hint="eastAsia" w:ascii="仿宋" w:hAnsi="仿宋" w:eastAsia="仿宋" w:cs="仿宋"/>
          <w:sz w:val="32"/>
          <w:szCs w:val="32"/>
        </w:rPr>
        <w:fldChar w:fldCharType="end"/>
      </w:r>
    </w:p>
    <w:p w14:paraId="6D07D96D">
      <w:pPr>
        <w:pStyle w:val="38"/>
        <w:tabs>
          <w:tab w:val="right" w:leader="dot" w:pos="8306"/>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_Toc5306_WPSOffice_Level2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7517"/>
          <w:placeholder>
            <w:docPart w:val="{fbbd0b55-0f11-403e-900d-27fd558b83be}"/>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八、政府性基金预算支出决算情况说明</w:t>
          </w:r>
        </w:sdtContent>
      </w:sdt>
      <w:r>
        <w:rPr>
          <w:rFonts w:hint="eastAsia" w:ascii="仿宋" w:hAnsi="仿宋" w:eastAsia="仿宋" w:cs="仿宋"/>
          <w:sz w:val="32"/>
          <w:szCs w:val="32"/>
        </w:rPr>
        <w:tab/>
      </w:r>
      <w:bookmarkStart w:id="12" w:name="_Toc5306_WPSOffice_Level2Page"/>
      <w:r>
        <w:rPr>
          <w:rFonts w:hint="eastAsia" w:ascii="仿宋" w:hAnsi="仿宋" w:eastAsia="仿宋" w:cs="仿宋"/>
          <w:sz w:val="32"/>
          <w:szCs w:val="32"/>
        </w:rPr>
        <w:t>1</w:t>
      </w:r>
      <w:bookmarkEnd w:id="12"/>
      <w:r>
        <w:rPr>
          <w:rFonts w:hint="eastAsia" w:ascii="仿宋" w:hAnsi="仿宋" w:eastAsia="仿宋" w:cs="仿宋"/>
          <w:sz w:val="32"/>
          <w:szCs w:val="32"/>
          <w:lang w:val="en-US" w:eastAsia="zh-CN"/>
        </w:rPr>
        <w:t>0</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335CD37A">
      <w:pPr>
        <w:pStyle w:val="3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_Toc23967_WPSOffice_Level2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3064"/>
          <w:placeholder>
            <w:docPart w:val="{3ba1d1c8-a8bf-4fd8-92b2-109d3435d9da}"/>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九、 国有资本经营预算支出决算情况说明</w:t>
          </w:r>
        </w:sdtContent>
      </w:sdt>
      <w:r>
        <w:rPr>
          <w:rFonts w:hint="eastAsia" w:ascii="仿宋" w:hAnsi="仿宋" w:eastAsia="仿宋" w:cs="仿宋"/>
          <w:sz w:val="32"/>
          <w:szCs w:val="32"/>
        </w:rPr>
        <w:tab/>
      </w:r>
      <w:bookmarkStart w:id="13" w:name="_Toc23967_WPSOffice_Level2Page"/>
      <w:r>
        <w:rPr>
          <w:rFonts w:hint="eastAsia" w:ascii="仿宋" w:hAnsi="仿宋" w:eastAsia="仿宋" w:cs="仿宋"/>
          <w:sz w:val="32"/>
          <w:szCs w:val="32"/>
        </w:rPr>
        <w:t>1</w:t>
      </w:r>
      <w:bookmarkEnd w:id="13"/>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14:paraId="6E220E62">
      <w:pPr>
        <w:pStyle w:val="38"/>
        <w:tabs>
          <w:tab w:val="right" w:leader="dot" w:pos="8306"/>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_Toc4496_WPSOffice_Level2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6710"/>
          <w:placeholder>
            <w:docPart w:val="{c12ea3dc-4ba9-4976-a2ea-08159970f41d}"/>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 其他重要事项的情况说明</w:t>
          </w:r>
        </w:sdtContent>
      </w:sdt>
      <w:r>
        <w:rPr>
          <w:rFonts w:hint="eastAsia" w:ascii="仿宋" w:hAnsi="仿宋" w:eastAsia="仿宋" w:cs="仿宋"/>
          <w:sz w:val="32"/>
          <w:szCs w:val="32"/>
        </w:rPr>
        <w:tab/>
      </w:r>
      <w:bookmarkStart w:id="14" w:name="_Toc4496_WPSOffice_Level2Page"/>
      <w:r>
        <w:rPr>
          <w:rFonts w:hint="eastAsia" w:ascii="仿宋" w:hAnsi="仿宋" w:eastAsia="仿宋" w:cs="仿宋"/>
          <w:sz w:val="32"/>
          <w:szCs w:val="32"/>
        </w:rPr>
        <w:t>1</w:t>
      </w:r>
      <w:bookmarkEnd w:id="14"/>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-12</w:t>
      </w:r>
    </w:p>
    <w:p w14:paraId="34A4EB67">
      <w:pPr>
        <w:pStyle w:val="37"/>
        <w:tabs>
          <w:tab w:val="right" w:leader="dot" w:pos="8306"/>
        </w:tabs>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_Toc20762_WPSOffice_Level1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sz w:val="32"/>
            <w:szCs w:val="32"/>
            <w:lang w:val="en-US" w:eastAsia="zh-CN"/>
          </w:rPr>
          <w:id w:val="147478507"/>
          <w:placeholder>
            <w:docPart w:val="{4fc14cf9-486c-4eda-a8d6-7fa2750ee062}"/>
          </w:placeholder>
        </w:sdtPr>
        <w:sdtEndPr>
          <w:rPr>
            <w:rFonts w:hint="eastAsia" w:ascii="黑体" w:hAnsi="黑体" w:eastAsia="黑体" w:cs="黑体"/>
            <w:b w:val="0"/>
            <w:bCs w:val="0"/>
            <w:sz w:val="32"/>
            <w:szCs w:val="32"/>
            <w:lang w:val="en-US" w:eastAsia="zh-CN"/>
          </w:rPr>
        </w:sdtEndPr>
        <w:sdtContent>
          <w:r>
            <w:rPr>
              <w:rFonts w:hint="eastAsia" w:ascii="黑体" w:hAnsi="黑体" w:eastAsia="黑体" w:cs="黑体"/>
              <w:b w:val="0"/>
              <w:bCs w:val="0"/>
              <w:sz w:val="32"/>
              <w:szCs w:val="32"/>
            </w:rPr>
            <w:t>第三部分 名词解释</w:t>
          </w:r>
        </w:sdtContent>
      </w:sdt>
      <w:r>
        <w:rPr>
          <w:rFonts w:hint="eastAsia" w:ascii="黑体" w:hAnsi="黑体" w:eastAsia="黑体" w:cs="黑体"/>
          <w:b w:val="0"/>
          <w:bCs w:val="0"/>
          <w:sz w:val="32"/>
          <w:szCs w:val="32"/>
        </w:rPr>
        <w:tab/>
      </w:r>
      <w:bookmarkStart w:id="15" w:name="_Toc20762_WPSOffice_Level1Page"/>
      <w:r>
        <w:rPr>
          <w:rFonts w:hint="eastAsia" w:ascii="黑体" w:hAnsi="黑体" w:eastAsia="黑体" w:cs="黑体"/>
          <w:b w:val="0"/>
          <w:bCs w:val="0"/>
          <w:sz w:val="32"/>
          <w:szCs w:val="32"/>
        </w:rPr>
        <w:t>1</w:t>
      </w:r>
      <w:bookmarkEnd w:id="15"/>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lang w:val="en-US" w:eastAsia="zh-CN"/>
        </w:rPr>
        <w:t>-14</w:t>
      </w:r>
    </w:p>
    <w:p w14:paraId="43924523">
      <w:pPr>
        <w:pStyle w:val="37"/>
        <w:tabs>
          <w:tab w:val="right" w:leader="dot" w:pos="8306"/>
        </w:tabs>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_Toc4580_WPSOffice_Level1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sz w:val="32"/>
            <w:szCs w:val="32"/>
            <w:lang w:val="en-US" w:eastAsia="zh-CN"/>
          </w:rPr>
          <w:id w:val="147468177"/>
          <w:placeholder>
            <w:docPart w:val="{8ce99f25-2484-403b-ac7c-e0cc5dd60b33}"/>
          </w:placeholder>
        </w:sdtPr>
        <w:sdtEndPr>
          <w:rPr>
            <w:rFonts w:hint="eastAsia" w:ascii="黑体" w:hAnsi="黑体" w:eastAsia="黑体" w:cs="黑体"/>
            <w:b w:val="0"/>
            <w:bCs w:val="0"/>
            <w:sz w:val="32"/>
            <w:szCs w:val="32"/>
            <w:lang w:val="en-US" w:eastAsia="zh-CN"/>
          </w:rPr>
        </w:sdtEndPr>
        <w:sdtContent>
          <w:r>
            <w:rPr>
              <w:rFonts w:hint="eastAsia" w:ascii="黑体" w:hAnsi="黑体" w:eastAsia="黑体" w:cs="黑体"/>
              <w:b w:val="0"/>
              <w:bCs w:val="0"/>
              <w:sz w:val="32"/>
              <w:szCs w:val="32"/>
            </w:rPr>
            <w:t>第四部分 附件</w:t>
          </w:r>
        </w:sdtContent>
      </w:sdt>
      <w:r>
        <w:rPr>
          <w:rFonts w:hint="eastAsia" w:ascii="黑体" w:hAnsi="黑体" w:eastAsia="黑体" w:cs="黑体"/>
          <w:b w:val="0"/>
          <w:bCs w:val="0"/>
          <w:sz w:val="32"/>
          <w:szCs w:val="32"/>
        </w:rPr>
        <w:tab/>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lang w:val="en-US" w:eastAsia="zh-CN"/>
        </w:rPr>
        <w:t>5</w:t>
      </w:r>
    </w:p>
    <w:p w14:paraId="7C6D6776">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_Toc30929_WPSOffice_Level2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5492"/>
          <w:placeholder>
            <w:docPart w:val="{a79b6b34-6e3a-4864-92b4-30ac5b40f3ef}"/>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部门预算项目支出绩效自评表（202</w:t>
          </w:r>
          <w:r>
            <w:rPr>
              <w:rFonts w:hint="eastAsia" w:ascii="仿宋" w:hAnsi="仿宋" w:eastAsia="仿宋" w:cs="仿宋"/>
              <w:sz w:val="32"/>
              <w:szCs w:val="32"/>
              <w:lang w:val="en-US" w:eastAsia="zh-CN"/>
            </w:rPr>
            <w:t>4</w:t>
          </w:r>
          <w:r>
            <w:rPr>
              <w:rFonts w:hint="eastAsia" w:ascii="仿宋" w:hAnsi="仿宋" w:eastAsia="仿宋" w:cs="仿宋"/>
              <w:sz w:val="32"/>
              <w:szCs w:val="32"/>
            </w:rPr>
            <w:t>年度）见附件</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1D2A8BE4">
      <w:pPr>
        <w:pStyle w:val="37"/>
        <w:tabs>
          <w:tab w:val="right" w:leader="dot" w:pos="8306"/>
        </w:tabs>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_Toc31258_WPSOffice_Level1 </w:instrText>
      </w:r>
      <w:r>
        <w:rPr>
          <w:rFonts w:hint="eastAsia" w:ascii="黑体" w:hAnsi="黑体" w:eastAsia="黑体" w:cs="黑体"/>
          <w:b w:val="0"/>
          <w:bCs w:val="0"/>
          <w:sz w:val="32"/>
          <w:szCs w:val="32"/>
        </w:rPr>
        <w:fldChar w:fldCharType="separate"/>
      </w:r>
      <w:sdt>
        <w:sdtPr>
          <w:rPr>
            <w:rFonts w:hint="eastAsia" w:ascii="黑体" w:hAnsi="黑体" w:eastAsia="黑体" w:cs="黑体"/>
            <w:b w:val="0"/>
            <w:bCs w:val="0"/>
            <w:sz w:val="32"/>
            <w:szCs w:val="32"/>
            <w:lang w:val="en-US" w:eastAsia="zh-CN"/>
          </w:rPr>
          <w:id w:val="147480906"/>
          <w:placeholder>
            <w:docPart w:val="{e61132fb-218f-425c-8fff-d37e2d4c4393}"/>
          </w:placeholder>
        </w:sdtPr>
        <w:sdtEndPr>
          <w:rPr>
            <w:rFonts w:hint="eastAsia" w:ascii="黑体" w:hAnsi="黑体" w:eastAsia="黑体" w:cs="黑体"/>
            <w:b w:val="0"/>
            <w:bCs w:val="0"/>
            <w:sz w:val="32"/>
            <w:szCs w:val="32"/>
            <w:lang w:val="en-US" w:eastAsia="zh-CN"/>
          </w:rPr>
        </w:sdtEndPr>
        <w:sdtContent>
          <w:r>
            <w:rPr>
              <w:rFonts w:hint="eastAsia" w:ascii="黑体" w:hAnsi="黑体" w:eastAsia="黑体" w:cs="黑体"/>
              <w:b w:val="0"/>
              <w:bCs w:val="0"/>
              <w:sz w:val="32"/>
              <w:szCs w:val="32"/>
            </w:rPr>
            <w:t>第五部分 附表</w:t>
          </w:r>
        </w:sdtContent>
      </w:sdt>
      <w:r>
        <w:rPr>
          <w:rFonts w:hint="eastAsia" w:ascii="黑体" w:hAnsi="黑体" w:eastAsia="黑体" w:cs="黑体"/>
          <w:b w:val="0"/>
          <w:bCs w:val="0"/>
          <w:sz w:val="32"/>
          <w:szCs w:val="32"/>
        </w:rPr>
        <w:tab/>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lang w:val="en-US" w:eastAsia="zh-CN"/>
        </w:rPr>
        <w:t>6</w:t>
      </w:r>
    </w:p>
    <w:p w14:paraId="58020D69">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_Toc27909_WPSOffice_Level2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3977"/>
          <w:placeholder>
            <w:docPart w:val="{48dfbf16-97a0-42c9-b573-9a6724f5f9fe}"/>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一、收入支出决算总表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0C0ECBB6">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_Toc14580_WPSOffice_Level2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2872"/>
          <w:placeholder>
            <w:docPart w:val="{25bb4b50-4d6d-44a8-953d-23279684ae5d}"/>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二、收入决算表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7F579650">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_Toc10291_WPSOffice_Level2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1173"/>
          <w:placeholder>
            <w:docPart w:val="{62919632-55f6-48f0-80e9-e1db1e9d0bbe}"/>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三、支出决算表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5DF1F9A6">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_Toc15165_WPSOffice_Level2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7170"/>
          <w:placeholder>
            <w:docPart w:val="{aad70017-32a1-4984-a9fb-9e67ee96584b}"/>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四、财政拨款收入支出决算总表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4BE83B22">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_Toc4604_WPSOffice_Level2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0834"/>
          <w:placeholder>
            <w:docPart w:val="{5205d36d-beec-4661-94df-c9e97cd8dca9}"/>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五、财政拨款支出决算明细表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23025835">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_Toc1949_WPSOffice_Level2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7578"/>
          <w:placeholder>
            <w:docPart w:val="{a9324c4b-89ac-4a8a-b8a8-a7a30e88b778}"/>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六、一般公共预算财政拨款支出决算表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432914EA">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_Toc31953_WPSOffice_Level2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5172"/>
          <w:placeholder>
            <w:docPart w:val="{252ee77f-288a-4902-a23e-38019211063f}"/>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七、一般公共预算财政拨款支出决算明细表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1086698A">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_Toc4058_WPSOffice_Level2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53696"/>
          <w:placeholder>
            <w:docPart w:val="{e12c0dc9-5543-4f6a-adc3-b2eb4a59ccf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八、一般公共预算财政拨款基本支出决算表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bookmarkStart w:id="70" w:name="_GoBack"/>
      <w:bookmarkEnd w:id="70"/>
    </w:p>
    <w:p w14:paraId="24177F06">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_Toc24572_WPSOffice_Level2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80702"/>
          <w:placeholder>
            <w:docPart w:val="{492c8710-7487-4848-99b1-d1114dec9e89}"/>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九、一般公共预算财政拨款项目支出决算表（此表无数据）</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31CBAAE4">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_Toc28755_WPSOffice_Level2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2865"/>
          <w:placeholder>
            <w:docPart w:val="{758f2782-a6e8-411c-a29c-7dfb73edde02}"/>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十、政府性基金预算财政拨款收入支出决算表</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10D3385E">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_Toc10188_WPSOffice_Level2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6023"/>
          <w:placeholder>
            <w:docPart w:val="{267c1ae8-a1e2-4403-8280-40177f31c97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十一、国有资本经营预算财政拨款收入支出决算表（此表无数据）</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10985020">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_Toc18386_WPSOffice_Level2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70729"/>
          <w:placeholder>
            <w:docPart w:val="{bea74e95-e867-45af-98a8-08ab973e206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十二、国有资本经营预算财政拨款支出决算表（此表无数据）</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50BDB510">
      <w:pPr>
        <w:pStyle w:val="38"/>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_Toc21658_WPSOffice_Level2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147463645"/>
          <w:placeholder>
            <w:docPart w:val="{53c4b44c-9770-4a2a-b9e2-a1373bcc429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十三、财政拨款“三公”经费支出决算表</w:t>
          </w:r>
          <w:r>
            <w:rPr>
              <w:rFonts w:hint="eastAsia" w:ascii="仿宋" w:hAnsi="仿宋" w:eastAsia="仿宋" w:cs="仿宋"/>
              <w:sz w:val="32"/>
              <w:szCs w:val="32"/>
            </w:rPr>
            <w:t>（此表无数据）</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3F2C7828">
      <w:pPr>
        <w:pStyle w:val="38"/>
        <w:tabs>
          <w:tab w:val="right" w:leader="dot" w:pos="8306"/>
        </w:tabs>
        <w:rPr>
          <w:rFonts w:hint="eastAsia" w:ascii="方正仿宋简体" w:hAnsi="方正仿宋简体" w:eastAsia="方正仿宋简体" w:cs="方正仿宋简体"/>
          <w:sz w:val="28"/>
          <w:szCs w:val="28"/>
        </w:rPr>
      </w:pPr>
    </w:p>
    <w:p w14:paraId="1FEAE13E">
      <w:pPr>
        <w:pStyle w:val="38"/>
        <w:tabs>
          <w:tab w:val="right" w:leader="dot" w:pos="8306"/>
        </w:tabs>
        <w:rPr>
          <w:rFonts w:hint="eastAsia" w:ascii="方正仿宋简体" w:hAnsi="方正仿宋简体" w:eastAsia="方正仿宋简体" w:cs="方正仿宋简体"/>
          <w:sz w:val="28"/>
          <w:szCs w:val="28"/>
        </w:rPr>
      </w:pPr>
    </w:p>
    <w:p w14:paraId="4A0DC5A1">
      <w:pPr>
        <w:pStyle w:val="3"/>
        <w:jc w:val="center"/>
        <w:rPr>
          <w:rFonts w:hint="eastAsia" w:ascii="Times New Roman" w:hAnsi="Times New Roman" w:eastAsia="方正小标宋简体" w:cs="方正小标宋简体"/>
          <w:b w:val="0"/>
          <w:color w:val="auto"/>
          <w:highlight w:val="none"/>
        </w:rPr>
      </w:pPr>
    </w:p>
    <w:p w14:paraId="1327DCBD">
      <w:pPr>
        <w:rPr>
          <w:rFonts w:hint="eastAsia"/>
        </w:rPr>
      </w:pPr>
    </w:p>
    <w:p w14:paraId="2052E330">
      <w:pPr>
        <w:pStyle w:val="3"/>
        <w:jc w:val="center"/>
        <w:rPr>
          <w:rStyle w:val="30"/>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eastAsia="方正小标宋简体" w:cs="方正小标宋简体"/>
          <w:b w:val="0"/>
          <w:bCs w:val="0"/>
          <w:color w:val="auto"/>
          <w:highlight w:val="none"/>
          <w:lang w:eastAsia="zh-CN"/>
        </w:rPr>
        <w:t>单位</w:t>
      </w:r>
      <w:r>
        <w:rPr>
          <w:rStyle w:val="30"/>
          <w:rFonts w:hint="eastAsia" w:ascii="Times New Roman" w:hAnsi="Times New Roman" w:eastAsia="方正小标宋简体" w:cs="方正小标宋简体"/>
          <w:b w:val="0"/>
          <w:bCs w:val="0"/>
          <w:color w:val="auto"/>
          <w:highlight w:val="none"/>
        </w:rPr>
        <w:t>概况</w:t>
      </w:r>
      <w:bookmarkEnd w:id="6"/>
      <w:bookmarkEnd w:id="7"/>
    </w:p>
    <w:p w14:paraId="7EDB7531">
      <w:pPr>
        <w:widowControl/>
        <w:jc w:val="left"/>
        <w:rPr>
          <w:rFonts w:ascii="Times New Roman" w:hAnsi="Times New Roman" w:eastAsia="黑体"/>
          <w:color w:val="auto"/>
          <w:sz w:val="32"/>
          <w:szCs w:val="32"/>
          <w:highlight w:val="none"/>
        </w:rPr>
      </w:pPr>
    </w:p>
    <w:p w14:paraId="7B3135D0">
      <w:pPr>
        <w:pStyle w:val="4"/>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主要职责</w:t>
      </w:r>
    </w:p>
    <w:p w14:paraId="55B48AFC">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baseline"/>
        <w:rPr>
          <w:rFonts w:hint="eastAsia" w:ascii="仿宋_GB2312" w:hAnsi="仿宋_GB2312" w:eastAsia="仿宋_GB2312" w:cs="仿宋_GB2312"/>
          <w:sz w:val="32"/>
          <w:szCs w:val="32"/>
        </w:rPr>
      </w:pPr>
      <w:bookmarkStart w:id="16" w:name="_Toc15396601"/>
      <w:bookmarkStart w:id="17" w:name="_Toc15377200"/>
      <w:r>
        <w:rPr>
          <w:rFonts w:hint="eastAsia" w:ascii="仿宋_GB2312" w:hAnsi="仿宋_GB2312" w:eastAsia="仿宋_GB2312" w:cs="仿宋_GB2312"/>
          <w:sz w:val="32"/>
          <w:szCs w:val="32"/>
          <w:lang w:eastAsia="zh-CN"/>
        </w:rPr>
        <w:t>攀枝花市公路养护</w:t>
      </w:r>
      <w:r>
        <w:rPr>
          <w:rFonts w:hint="eastAsia" w:ascii="仿宋_GB2312" w:hAnsi="仿宋_GB2312" w:eastAsia="仿宋_GB2312" w:cs="仿宋_GB2312"/>
          <w:sz w:val="32"/>
          <w:szCs w:val="32"/>
        </w:rPr>
        <w:t>总段成立于1965年10月。2006年9月，攀枝花市机构编制委员会对总段的性质重新核定为差额拨款事业单位，</w:t>
      </w:r>
      <w:r>
        <w:rPr>
          <w:rFonts w:hint="eastAsia" w:ascii="仿宋_GB2312" w:hAnsi="仿宋_GB2312" w:eastAsia="仿宋_GB2312" w:cs="仿宋_GB2312"/>
          <w:b/>
          <w:bCs/>
          <w:sz w:val="32"/>
          <w:szCs w:val="32"/>
          <w:lang w:eastAsia="zh-CN"/>
        </w:rPr>
        <w:t>设定</w:t>
      </w:r>
      <w:r>
        <w:rPr>
          <w:rFonts w:hint="eastAsia" w:ascii="仿宋_GB2312" w:hAnsi="仿宋_GB2312" w:eastAsia="仿宋_GB2312" w:cs="仿宋_GB2312"/>
          <w:b/>
          <w:bCs/>
          <w:kern w:val="0"/>
          <w:sz w:val="32"/>
          <w:szCs w:val="32"/>
        </w:rPr>
        <w:t>主要职能职责为：</w:t>
      </w:r>
      <w:r>
        <w:rPr>
          <w:rFonts w:hint="eastAsia" w:ascii="仿宋_GB2312" w:hAnsi="Times New Roman" w:eastAsia="仿宋_GB2312" w:cs="Times New Roman"/>
          <w:color w:val="000000"/>
          <w:kern w:val="0"/>
          <w:sz w:val="32"/>
          <w:szCs w:val="32"/>
          <w:lang w:val="en-US" w:eastAsia="zh-CN" w:bidi="ar-SA"/>
        </w:rPr>
        <w:t>贯彻执行国家有关公路的法律、法规、规章和方针政策、技术规范、养护标准</w:t>
      </w:r>
      <w:r>
        <w:rPr>
          <w:rFonts w:hint="eastAsia" w:ascii="仿宋_GB2312" w:eastAsia="仿宋_GB2312" w:cs="Times New Roman"/>
          <w:color w:val="000000"/>
          <w:kern w:val="0"/>
          <w:sz w:val="32"/>
          <w:szCs w:val="32"/>
          <w:lang w:val="en-US" w:eastAsia="zh-CN" w:bidi="ar-SA"/>
        </w:rPr>
        <w:t>,</w:t>
      </w:r>
      <w:r>
        <w:rPr>
          <w:rFonts w:hint="eastAsia" w:ascii="仿宋_GB2312" w:hAnsi="仿宋_GB2312" w:eastAsia="仿宋_GB2312" w:cs="仿宋_GB2312"/>
          <w:kern w:val="0"/>
          <w:sz w:val="32"/>
          <w:szCs w:val="32"/>
        </w:rPr>
        <w:t>为公路畅通提供养护与路政管理保</w:t>
      </w:r>
      <w:r>
        <w:rPr>
          <w:rFonts w:hint="eastAsia" w:ascii="仿宋_GB2312" w:hAnsi="仿宋_GB2312" w:eastAsia="仿宋_GB2312" w:cs="仿宋_GB2312"/>
          <w:sz w:val="32"/>
          <w:szCs w:val="32"/>
        </w:rPr>
        <w:t>障、公路养护与改建、公路养护质量监督检查与路况评定、公路灾害抢修与保通、公路绿化、公路收费站点设置、公路通行费征收与收费权转让管理、收费公路养护与运营服务、公路行业统计、公路行业普查、公路数据库建设与维护。</w:t>
      </w:r>
    </w:p>
    <w:p w14:paraId="6B965F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目前总段属于待改革事业单位，</w:t>
      </w:r>
      <w:r>
        <w:rPr>
          <w:rFonts w:hint="eastAsia" w:ascii="仿宋_GB2312" w:hAnsi="仿宋_GB2312" w:eastAsia="仿宋_GB2312" w:cs="仿宋_GB2312"/>
          <w:sz w:val="32"/>
          <w:szCs w:val="32"/>
          <w:lang w:eastAsia="zh-CN"/>
        </w:rPr>
        <w:t>随着经济社会发展带来的变化和行业发展的需要，总段履行的职责随之发生变化，</w:t>
      </w:r>
      <w:r>
        <w:rPr>
          <w:rFonts w:hint="eastAsia" w:ascii="仿宋_GB2312" w:hAnsi="仿宋_GB2312" w:eastAsia="仿宋_GB2312" w:cs="仿宋_GB2312"/>
          <w:b/>
          <w:bCs/>
          <w:sz w:val="32"/>
          <w:szCs w:val="32"/>
          <w:lang w:eastAsia="zh-CN"/>
        </w:rPr>
        <w:t>目前</w:t>
      </w:r>
      <w:r>
        <w:rPr>
          <w:rFonts w:hint="eastAsia" w:ascii="仿宋_GB2312" w:hAnsi="仿宋_GB2312" w:eastAsia="仿宋_GB2312" w:cs="仿宋_GB2312"/>
          <w:b/>
          <w:bCs/>
          <w:color w:val="auto"/>
          <w:sz w:val="32"/>
          <w:szCs w:val="32"/>
        </w:rPr>
        <w:t>实际承担职能职责为：</w:t>
      </w:r>
      <w:r>
        <w:rPr>
          <w:rFonts w:hint="eastAsia" w:ascii="仿宋_GB2312" w:hAnsi="Times New Roman" w:eastAsia="仿宋_GB2312" w:cs="Times New Roman"/>
          <w:color w:val="000000"/>
          <w:kern w:val="0"/>
          <w:sz w:val="32"/>
          <w:szCs w:val="32"/>
          <w:lang w:val="en-US" w:eastAsia="zh-CN" w:bidi="ar-SA"/>
        </w:rPr>
        <w:t>贯彻执行国家有关公路的法律、法规、规章和方针政策、技术规范、养护标准</w:t>
      </w:r>
      <w:r>
        <w:rPr>
          <w:rFonts w:hint="eastAsia" w:ascii="仿宋_GB2312" w:eastAsia="仿宋_GB2312" w:cs="Times New Roman"/>
          <w:color w:val="000000"/>
          <w:kern w:val="0"/>
          <w:sz w:val="32"/>
          <w:szCs w:val="32"/>
          <w:lang w:val="en-US" w:eastAsia="zh-CN" w:bidi="ar-SA"/>
        </w:rPr>
        <w:t>,承担</w:t>
      </w:r>
      <w:r>
        <w:rPr>
          <w:rFonts w:hint="eastAsia" w:ascii="仿宋_GB2312" w:hAnsi="仿宋_GB2312" w:eastAsia="仿宋_GB2312" w:cs="仿宋_GB2312"/>
          <w:color w:val="auto"/>
          <w:sz w:val="32"/>
          <w:szCs w:val="32"/>
        </w:rPr>
        <w:t>公路（含桥梁与隧道）日常养护、养护工程管理、公路灾害抢修与应急抢险保通、灾后恢复工程建设、公路养护质量监督检查与路况评定、公路绿化、公路行业统计、公路行业普查、公路数据库建设与维护、公路交通量调查、四新技术运用、公路信息化建设、公路养护节能减排及环保工作监督指导、国省干线战备保障、国省干线公路迎接上级政府目标绩效考核工作和上级临时安排的任务。</w:t>
      </w:r>
      <w:r>
        <w:rPr>
          <w:rFonts w:hint="eastAsia" w:ascii="仿宋_GB2312" w:hAnsi="仿宋_GB2312" w:eastAsia="仿宋_GB2312" w:cs="仿宋_GB2312"/>
          <w:color w:val="auto"/>
          <w:sz w:val="32"/>
          <w:szCs w:val="32"/>
          <w:lang w:eastAsia="zh-CN"/>
        </w:rPr>
        <w:t>总段</w:t>
      </w:r>
      <w:r>
        <w:rPr>
          <w:rFonts w:hint="eastAsia" w:ascii="仿宋_GB2312" w:hAnsi="仿宋_GB2312" w:eastAsia="仿宋_GB2312" w:cs="仿宋_GB2312"/>
          <w:color w:val="auto"/>
          <w:sz w:val="32"/>
          <w:szCs w:val="32"/>
        </w:rPr>
        <w:t>管养公路1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条，其中国道3条、省道4</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、县乡道</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条，总里程4</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541</w:t>
      </w:r>
      <w:r>
        <w:rPr>
          <w:rFonts w:hint="eastAsia" w:ascii="仿宋_GB2312" w:hAnsi="仿宋_GB2312" w:eastAsia="仿宋_GB2312" w:cs="仿宋_GB2312"/>
          <w:color w:val="auto"/>
          <w:sz w:val="32"/>
          <w:szCs w:val="32"/>
        </w:rPr>
        <w:t>公里；养护桥梁11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座，其中特大桥</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座，大桥2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座；隧道3座。</w:t>
      </w:r>
    </w:p>
    <w:p w14:paraId="71D5D8CB">
      <w:pPr>
        <w:pStyle w:val="4"/>
        <w:numPr>
          <w:ilvl w:val="0"/>
          <w:numId w:val="0"/>
        </w:numPr>
        <w:rPr>
          <w:rStyle w:val="31"/>
          <w:rFonts w:ascii="Times New Roman" w:hAnsi="Times New Roman"/>
          <w:b w:val="0"/>
          <w:bCs w:val="0"/>
          <w:color w:val="auto"/>
          <w:highlight w:val="none"/>
        </w:rPr>
      </w:pPr>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16"/>
      <w:bookmarkEnd w:id="17"/>
    </w:p>
    <w:p w14:paraId="707A577C">
      <w:pPr>
        <w:ind w:firstLine="640" w:firstLineChars="20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四川省攀枝花市公路养护总段</w:t>
      </w:r>
      <w:r>
        <w:rPr>
          <w:rFonts w:hint="eastAsia" w:ascii="仿宋_GB2312" w:hAnsi="仿宋_GB2312" w:eastAsia="仿宋_GB2312" w:cs="仿宋_GB2312"/>
          <w:sz w:val="32"/>
          <w:szCs w:val="32"/>
        </w:rPr>
        <w:t>属于待改革事业单位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总段机关内设12个科（室）：计划养护科、公路实验室、科技教育科、办公室、政工科、财务审计科、劳动人事科、纪检监察科、安全保卫科、工会、离退休人员管理科、资产管理科。下属单位7个，分别是：大渡口公路养护段、河门口公路养护段、金江公路养护段、米易公路养护段、桥梁养护队、桥梁检测中心和机械工程站。</w:t>
      </w:r>
    </w:p>
    <w:p w14:paraId="40A22550">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15536AB2">
      <w:pPr>
        <w:pStyle w:val="3"/>
        <w:jc w:val="center"/>
        <w:rPr>
          <w:rFonts w:hint="eastAsia" w:ascii="Times New Roman" w:hAnsi="Times New Roman" w:eastAsia="方正小标宋简体" w:cs="方正小标宋简体"/>
          <w:b w:val="0"/>
          <w:color w:val="auto"/>
          <w:highlight w:val="none"/>
        </w:rPr>
      </w:pPr>
      <w:bookmarkStart w:id="18" w:name="_Toc15377204"/>
      <w:bookmarkStart w:id="19"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8"/>
      <w:bookmarkEnd w:id="19"/>
    </w:p>
    <w:p w14:paraId="2923EC51">
      <w:pPr>
        <w:rPr>
          <w:rFonts w:ascii="Times New Roman" w:hAnsi="Times New Roman"/>
          <w:color w:val="auto"/>
          <w:highlight w:val="none"/>
        </w:rPr>
      </w:pPr>
    </w:p>
    <w:p w14:paraId="4AE9E27F">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20" w:name="_Toc15377205"/>
      <w:bookmarkStart w:id="21"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20"/>
      <w:bookmarkEnd w:id="21"/>
    </w:p>
    <w:p w14:paraId="4D06AF08">
      <w:pPr>
        <w:ind w:firstLine="709"/>
        <w:rPr>
          <w:rFonts w:hint="eastAsia" w:ascii="仿宋_GB2312" w:hAnsi="仿宋" w:eastAsia="仿宋_GB2312" w:cs="仿宋"/>
          <w:color w:val="000000"/>
          <w:sz w:val="32"/>
          <w:szCs w:val="32"/>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10432.79</w:t>
      </w:r>
      <w:r>
        <w:rPr>
          <w:rFonts w:hint="eastAsia" w:ascii="Times New Roman" w:hAnsi="Times New Roman" w:eastAsia="仿宋_GB2312" w:cs="仿宋_GB2312"/>
          <w:color w:val="auto"/>
          <w:sz w:val="32"/>
          <w:szCs w:val="32"/>
          <w:highlight w:val="none"/>
        </w:rPr>
        <w:t>万元。</w:t>
      </w:r>
      <w:r>
        <w:rPr>
          <w:rFonts w:hint="eastAsia" w:ascii="仿宋_GB2312" w:hAnsi="仿宋" w:eastAsia="仿宋_GB2312" w:cs="仿宋"/>
          <w:color w:val="000000"/>
          <w:sz w:val="32"/>
          <w:szCs w:val="32"/>
          <w:lang w:val="en-US" w:eastAsia="zh-CN"/>
        </w:rPr>
        <w:t>攀枝花市公路养护总段为2024年新纳入财政预算单位，</w:t>
      </w:r>
      <w:r>
        <w:rPr>
          <w:rFonts w:hint="eastAsia" w:ascii="仿宋_GB2312" w:hAnsi="仿宋" w:eastAsia="仿宋_GB2312" w:cs="Times New Roman"/>
          <w:sz w:val="32"/>
          <w:szCs w:val="32"/>
          <w:lang w:val="en-US" w:eastAsia="zh-CN"/>
        </w:rPr>
        <w:t>且预算只解决人员经费，无公用经费，</w:t>
      </w:r>
      <w:r>
        <w:rPr>
          <w:rFonts w:hint="eastAsia" w:ascii="仿宋_GB2312" w:hAnsi="仿宋" w:eastAsia="仿宋_GB2312" w:cs="仿宋"/>
          <w:color w:val="000000"/>
          <w:sz w:val="32"/>
          <w:szCs w:val="32"/>
          <w:lang w:val="en-US" w:eastAsia="zh-CN"/>
        </w:rPr>
        <w:t>无上年数据。</w:t>
      </w:r>
    </w:p>
    <w:p w14:paraId="739E5A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553489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2" w:name="_Toc15396604"/>
      <w:bookmarkStart w:id="23" w:name="_Toc15377206"/>
      <w:r>
        <w:rPr>
          <w:rFonts w:hint="eastAsia" w:ascii="Times New Roman" w:hAnsi="Times New Roman" w:eastAsia="黑体"/>
          <w:color w:val="auto"/>
          <w:sz w:val="32"/>
          <w:szCs w:val="32"/>
          <w:highlight w:val="none"/>
          <w:lang w:eastAsia="zh-CN"/>
        </w:rPr>
        <w:t>二、收入决算情况说明</w:t>
      </w:r>
      <w:bookmarkEnd w:id="22"/>
      <w:bookmarkEnd w:id="23"/>
    </w:p>
    <w:p w14:paraId="4C73375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10432.79万元，其中：一般公共预算财政拨款收入10382.39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%；政府性基金预算财政拨款收入</w:t>
      </w:r>
      <w:bookmarkStart w:id="24" w:name="OLE_LINK1"/>
      <w:r>
        <w:rPr>
          <w:rFonts w:hint="eastAsia" w:ascii="仿宋_GB2312" w:hAnsi="仿宋_GB2312" w:eastAsia="仿宋_GB2312" w:cs="仿宋_GB2312"/>
          <w:sz w:val="32"/>
          <w:szCs w:val="32"/>
        </w:rPr>
        <w:t>50.4</w:t>
      </w:r>
      <w:bookmarkEnd w:id="24"/>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0.48%</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021CB70A">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080000" cy="248666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CAA4E3">
      <w:pPr>
        <w:spacing w:line="600" w:lineRule="exact"/>
        <w:ind w:firstLine="1920" w:firstLineChars="600"/>
        <w:jc w:val="both"/>
        <w:rPr>
          <w:rFonts w:ascii="仿宋" w:hAnsi="仿宋" w:eastAsia="仿宋"/>
          <w:sz w:val="32"/>
          <w:szCs w:val="32"/>
        </w:rPr>
      </w:pPr>
      <w:bookmarkStart w:id="25" w:name="_Toc15396605"/>
      <w:bookmarkStart w:id="26" w:name="_Toc15377207"/>
      <w:r>
        <w:rPr>
          <w:rFonts w:hint="eastAsia" w:ascii="仿宋" w:hAnsi="仿宋" w:eastAsia="仿宋"/>
          <w:sz w:val="32"/>
          <w:szCs w:val="32"/>
        </w:rPr>
        <w:t>（图2：收入决算结构图）</w:t>
      </w:r>
    </w:p>
    <w:p w14:paraId="3E6ED0C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25"/>
      <w:bookmarkEnd w:id="26"/>
    </w:p>
    <w:p w14:paraId="68FC1EB6">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10432.79</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10382.39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50.4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0.48</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038D23C0">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5080000" cy="2810510"/>
            <wp:effectExtent l="4445" t="4445" r="20955" b="234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E45676">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7B8A5DD4">
      <w:pPr>
        <w:spacing w:line="600" w:lineRule="exact"/>
        <w:ind w:firstLine="640" w:firstLineChars="200"/>
        <w:outlineLvl w:val="1"/>
        <w:rPr>
          <w:rStyle w:val="31"/>
          <w:rFonts w:ascii="Times New Roman" w:hAnsi="Times New Roman" w:eastAsia="黑体"/>
          <w:b w:val="0"/>
          <w:color w:val="auto"/>
          <w:highlight w:val="none"/>
        </w:rPr>
      </w:pPr>
      <w:bookmarkStart w:id="27" w:name="_Toc15377208"/>
      <w:bookmarkStart w:id="28"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27"/>
      <w:bookmarkEnd w:id="28"/>
    </w:p>
    <w:p w14:paraId="6087AB24">
      <w:pPr>
        <w:ind w:firstLine="709"/>
        <w:rPr>
          <w:rFonts w:hint="eastAsia" w:ascii="仿宋_GB2312" w:hAnsi="仿宋" w:eastAsia="仿宋_GB2312" w:cs="仿宋"/>
          <w:color w:val="000000"/>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10432.79</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hAnsi="仿宋" w:eastAsia="仿宋_GB2312" w:cs="仿宋"/>
          <w:color w:val="000000"/>
          <w:sz w:val="32"/>
          <w:szCs w:val="32"/>
          <w:lang w:val="en-US" w:eastAsia="zh-CN"/>
        </w:rPr>
        <w:t>攀枝花市公路养护总段为2024年新纳入财政预算单位，无上年数据。</w:t>
      </w:r>
    </w:p>
    <w:p w14:paraId="109DBE73">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22F421CD">
      <w:pPr>
        <w:spacing w:line="600" w:lineRule="exact"/>
        <w:ind w:firstLine="640" w:firstLineChars="200"/>
        <w:outlineLvl w:val="1"/>
        <w:rPr>
          <w:rStyle w:val="31"/>
          <w:rFonts w:ascii="Times New Roman" w:hAnsi="Times New Roman" w:eastAsia="黑体"/>
          <w:b w:val="0"/>
          <w:color w:val="auto"/>
          <w:highlight w:val="none"/>
        </w:rPr>
      </w:pPr>
      <w:bookmarkStart w:id="29" w:name="_Toc15377209"/>
      <w:bookmarkStart w:id="30"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29"/>
      <w:bookmarkEnd w:id="30"/>
    </w:p>
    <w:p w14:paraId="6AC273A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1"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1"/>
    </w:p>
    <w:p w14:paraId="482D6B91">
      <w:pPr>
        <w:spacing w:line="600" w:lineRule="exact"/>
        <w:ind w:firstLine="640"/>
        <w:rPr>
          <w:rFonts w:hint="eastAsia" w:ascii="仿宋_GB2312" w:hAnsi="仿宋" w:eastAsia="仿宋_GB2312" w:cs="仿宋"/>
          <w:color w:val="000000"/>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10382.39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 w:eastAsia="仿宋_GB2312" w:cs="仿宋"/>
          <w:color w:val="000000"/>
          <w:sz w:val="32"/>
          <w:szCs w:val="32"/>
          <w:lang w:val="en-US" w:eastAsia="zh-CN"/>
        </w:rPr>
        <w:t>攀枝花市公路养护总段为2024年新纳入财政预算单位，无上年数据。</w:t>
      </w:r>
    </w:p>
    <w:p w14:paraId="72CA5E6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1E41B32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2"/>
    </w:p>
    <w:p w14:paraId="573D03D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10382.39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0.02</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ascii="仿宋_GB2312" w:hAnsi="仿宋_GB2312" w:eastAsia="仿宋_GB2312" w:cs="仿宋_GB2312"/>
          <w:sz w:val="32"/>
          <w:szCs w:val="32"/>
        </w:rPr>
        <w:t>3915</w:t>
      </w:r>
      <w:r>
        <w:rPr>
          <w:rFonts w:hint="eastAsia" w:ascii="仿宋_GB2312" w:hAnsi="仿宋_GB2312" w:eastAsia="仿宋_GB2312" w:cs="仿宋_GB2312"/>
          <w:sz w:val="32"/>
          <w:szCs w:val="32"/>
          <w:lang w:val="en-US" w:eastAsia="zh-CN"/>
        </w:rPr>
        <w:t>.5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37.71</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ascii="仿宋_GB2312" w:hAnsi="仿宋_GB2312" w:eastAsia="仿宋_GB2312" w:cs="仿宋_GB2312"/>
          <w:sz w:val="32"/>
          <w:szCs w:val="32"/>
        </w:rPr>
        <w:t>436</w:t>
      </w:r>
      <w:r>
        <w:rPr>
          <w:rFonts w:hint="eastAsia" w:ascii="仿宋_GB2312" w:hAnsi="仿宋_GB2312" w:eastAsia="仿宋_GB2312" w:cs="仿宋_GB2312"/>
          <w:sz w:val="32"/>
          <w:szCs w:val="32"/>
          <w:lang w:val="en-US" w:eastAsia="zh-CN"/>
        </w:rPr>
        <w:t>万</w:t>
      </w:r>
      <w:r>
        <w:rPr>
          <w:rFonts w:hint="eastAsia" w:ascii="Times New Roman" w:hAnsi="Times New Roman" w:eastAsia="仿宋_GB2312" w:cs="仿宋_GB2312"/>
          <w:color w:val="auto"/>
          <w:kern w:val="2"/>
          <w:sz w:val="32"/>
          <w:szCs w:val="32"/>
          <w:highlight w:val="none"/>
          <w:lang w:val="en-US" w:eastAsia="zh-CN" w:bidi="ar-SA"/>
        </w:rPr>
        <w:t>元，占</w:t>
      </w:r>
      <w:r>
        <w:rPr>
          <w:rFonts w:hint="eastAsia" w:eastAsia="仿宋_GB2312" w:cs="仿宋_GB2312"/>
          <w:color w:val="auto"/>
          <w:kern w:val="2"/>
          <w:sz w:val="32"/>
          <w:szCs w:val="32"/>
          <w:highlight w:val="none"/>
          <w:lang w:val="en-US" w:eastAsia="zh-CN" w:bidi="ar-SA"/>
        </w:rPr>
        <w:t>4.2</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ascii="仿宋_GB2312" w:hAnsi="仿宋_GB2312" w:eastAsia="仿宋_GB2312" w:cs="仿宋_GB2312"/>
          <w:sz w:val="32"/>
          <w:szCs w:val="32"/>
        </w:rPr>
        <w:t>599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5.77</w:t>
      </w:r>
      <w:r>
        <w:rPr>
          <w:rFonts w:hint="eastAsia" w:ascii="Times New Roman" w:hAnsi="Times New Roman" w:eastAsia="仿宋_GB2312" w:cs="仿宋_GB2312"/>
          <w:color w:val="auto"/>
          <w:kern w:val="2"/>
          <w:sz w:val="32"/>
          <w:szCs w:val="32"/>
          <w:highlight w:val="none"/>
          <w:lang w:val="en-US" w:eastAsia="zh-CN" w:bidi="ar-SA"/>
        </w:rPr>
        <w:t>%；交通运输支出</w:t>
      </w:r>
      <w:r>
        <w:rPr>
          <w:rFonts w:hint="eastAsia" w:ascii="仿宋_GB2312" w:hAnsi="仿宋_GB2312" w:eastAsia="仿宋_GB2312" w:cs="仿宋_GB2312"/>
          <w:sz w:val="32"/>
          <w:szCs w:val="32"/>
        </w:rPr>
        <w:t>5429.59</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52.3</w:t>
      </w:r>
      <w:r>
        <w:rPr>
          <w:rFonts w:hint="eastAsia" w:ascii="Times New Roman" w:hAnsi="Times New Roman" w:eastAsia="仿宋_GB2312" w:cs="仿宋_GB2312"/>
          <w:color w:val="auto"/>
          <w:kern w:val="2"/>
          <w:sz w:val="32"/>
          <w:szCs w:val="32"/>
          <w:highlight w:val="none"/>
          <w:lang w:val="en-US" w:eastAsia="zh-CN" w:bidi="ar-SA"/>
        </w:rPr>
        <w:t>%</w:t>
      </w:r>
    </w:p>
    <w:p w14:paraId="353B13A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B7C15A6">
      <w:pPr>
        <w:pStyle w:val="7"/>
        <w:ind w:left="0" w:leftChars="0" w:firstLine="0" w:firstLineChars="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65420" cy="2291080"/>
            <wp:effectExtent l="4445" t="4445" r="6985" b="9525"/>
            <wp:docPr id="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102E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24D4FAF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3"/>
    </w:p>
    <w:p w14:paraId="0DCDA74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8460"/>
      <w:bookmarkStart w:id="35" w:name="_Toc15377444"/>
      <w:bookmarkStart w:id="36"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10382.39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4"/>
      <w:bookmarkEnd w:id="35"/>
      <w:bookmarkEnd w:id="36"/>
    </w:p>
    <w:p w14:paraId="045D716C">
      <w:pPr>
        <w:numPr>
          <w:ilvl w:val="0"/>
          <w:numId w:val="0"/>
        </w:numPr>
        <w:spacing w:line="600" w:lineRule="exact"/>
        <w:ind w:firstLine="640" w:firstLineChars="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一般公共服务（类）组织事务（款）其他组织事务支出（项）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3C8106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lang w:val="en-US" w:eastAsia="zh-CN" w:bidi="ar-SA"/>
        </w:rPr>
        <w:t>2</w:t>
      </w:r>
      <w:r>
        <w:rPr>
          <w:rFonts w:hint="eastAsia"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社会保障和就业（类）行政事业单位养老支出（款）事业单位离退休（项）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2691.25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499C1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812.39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648F31C">
      <w:pPr>
        <w:numPr>
          <w:ilvl w:val="0"/>
          <w:numId w:val="0"/>
        </w:numPr>
        <w:spacing w:line="600" w:lineRule="exact"/>
        <w:ind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380.46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0B44A6F">
      <w:pPr>
        <w:numPr>
          <w:ilvl w:val="0"/>
          <w:numId w:val="0"/>
        </w:numPr>
        <w:spacing w:line="600" w:lineRule="exact"/>
        <w:ind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5.社会保障和就业（类）抚恤（款）死亡抚恤（项）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31.41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B455B4C">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6.卫生健康（类）行政事业单位医疗（款）事业单位医疗（项）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支出决算为385.00万元，完成预算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61E3767">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支出决算为51.00万元，完成预算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762217B">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交通运输（类）公路水路运输（款）机关服务（项）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5429.59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6FD3CE4">
      <w:pPr>
        <w:keepNext w:val="0"/>
        <w:keepLines w:val="0"/>
        <w:widowControl/>
        <w:suppressLineNumbers w:val="0"/>
        <w:ind w:firstLine="640" w:firstLineChars="200"/>
        <w:jc w:val="left"/>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住房保障（类）住房改革（款）住房公积金（项）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ascii="仿宋_GB2312" w:hAnsi="仿宋_GB2312" w:eastAsia="仿宋_GB2312" w:cs="仿宋_GB2312"/>
          <w:sz w:val="32"/>
          <w:szCs w:val="32"/>
          <w:lang w:val="en-US" w:eastAsia="zh-CN"/>
        </w:rPr>
        <w:t>599.21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7ED7D49B">
      <w:pPr>
        <w:tabs>
          <w:tab w:val="right" w:pos="8306"/>
        </w:tabs>
        <w:spacing w:line="600" w:lineRule="exact"/>
        <w:ind w:firstLine="640"/>
        <w:outlineLvl w:val="1"/>
        <w:rPr>
          <w:rStyle w:val="31"/>
          <w:rFonts w:ascii="Times New Roman" w:hAnsi="Times New Roman"/>
          <w:color w:val="auto"/>
          <w:highlight w:val="none"/>
        </w:rPr>
      </w:pPr>
      <w:bookmarkStart w:id="37" w:name="_Toc15396608"/>
      <w:bookmarkStart w:id="38"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37"/>
      <w:bookmarkEnd w:id="38"/>
      <w:r>
        <w:rPr>
          <w:rStyle w:val="31"/>
          <w:rFonts w:ascii="Times New Roman" w:hAnsi="Times New Roman" w:eastAsia="黑体"/>
          <w:b w:val="0"/>
          <w:color w:val="auto"/>
          <w:highlight w:val="none"/>
        </w:rPr>
        <w:tab/>
      </w:r>
    </w:p>
    <w:p w14:paraId="03CDBB0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10382.39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34EC596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10382.39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62CAC181">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公用经费</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w:t>
      </w:r>
      <w:r>
        <w:rPr>
          <w:rFonts w:hint="eastAsia" w:eastAsia="仿宋_GB2312" w:cs="仿宋_GB2312"/>
          <w:color w:val="auto"/>
          <w:kern w:val="2"/>
          <w:sz w:val="32"/>
          <w:szCs w:val="32"/>
          <w:highlight w:val="none"/>
          <w:lang w:val="en-US" w:eastAsia="zh-CN" w:bidi="ar-SA"/>
        </w:rPr>
        <w:t>原因是</w:t>
      </w:r>
      <w:r>
        <w:rPr>
          <w:rFonts w:hint="eastAsia" w:ascii="Times New Roman" w:hAnsi="Times New Roman" w:eastAsia="仿宋_GB2312" w:cs="仿宋_GB2312"/>
          <w:color w:val="auto"/>
          <w:kern w:val="2"/>
          <w:sz w:val="32"/>
          <w:szCs w:val="32"/>
          <w:highlight w:val="none"/>
          <w:lang w:val="en-US" w:eastAsia="zh-CN" w:bidi="ar-SA"/>
        </w:rPr>
        <w:t>攀枝花市公路养护总段为2024年新纳入财政预算单位，且预算只解决人员经费，无公用经费</w:t>
      </w:r>
      <w:r>
        <w:rPr>
          <w:rFonts w:hint="eastAsia" w:eastAsia="仿宋_GB2312" w:cs="仿宋_GB2312"/>
          <w:color w:val="auto"/>
          <w:kern w:val="2"/>
          <w:sz w:val="32"/>
          <w:szCs w:val="32"/>
          <w:highlight w:val="none"/>
          <w:lang w:val="en-US" w:eastAsia="zh-CN" w:bidi="ar-SA"/>
        </w:rPr>
        <w:t>。</w:t>
      </w:r>
    </w:p>
    <w:p w14:paraId="703EB1AD">
      <w:pPr>
        <w:spacing w:line="600" w:lineRule="exact"/>
        <w:ind w:firstLine="640"/>
        <w:outlineLvl w:val="1"/>
        <w:rPr>
          <w:rStyle w:val="31"/>
          <w:rFonts w:ascii="Times New Roman" w:hAnsi="Times New Roman" w:eastAsia="黑体"/>
          <w:b w:val="0"/>
          <w:color w:val="auto"/>
          <w:highlight w:val="none"/>
        </w:rPr>
      </w:pPr>
      <w:bookmarkStart w:id="39" w:name="_Toc15377215"/>
      <w:bookmarkStart w:id="40" w:name="_Toc15396609"/>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39"/>
      <w:bookmarkEnd w:id="40"/>
    </w:p>
    <w:p w14:paraId="71BD046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1"/>
    </w:p>
    <w:p w14:paraId="7CC852A4">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 w:eastAsia="仿宋_GB2312" w:cs="仿宋"/>
          <w:color w:val="000000"/>
          <w:sz w:val="32"/>
          <w:szCs w:val="32"/>
          <w:lang w:val="en-US" w:eastAsia="zh-CN"/>
        </w:rPr>
        <w:t>攀枝花市公路养护总段为2024年新纳入财政预算单位，</w:t>
      </w:r>
      <w:r>
        <w:rPr>
          <w:rFonts w:hint="eastAsia" w:ascii="仿宋_GB2312" w:hAnsi="仿宋" w:eastAsia="仿宋_GB2312" w:cs="Times New Roman"/>
          <w:sz w:val="32"/>
          <w:szCs w:val="32"/>
          <w:lang w:val="en-US" w:eastAsia="zh-CN"/>
        </w:rPr>
        <w:t>且预算只解决人员经费，无公用经费，</w:t>
      </w:r>
    </w:p>
    <w:p w14:paraId="62A8007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2"/>
    </w:p>
    <w:p w14:paraId="61CE7A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hAnsi="仿宋" w:eastAsia="仿宋_GB2312" w:cs="仿宋"/>
          <w:color w:val="000000"/>
          <w:sz w:val="32"/>
          <w:szCs w:val="32"/>
          <w:lang w:val="en-US" w:eastAsia="zh-CN"/>
        </w:rPr>
        <w:t>攀枝花市公路养护总段为2024年新纳入财政预算单位，</w:t>
      </w:r>
      <w:r>
        <w:rPr>
          <w:rFonts w:hint="eastAsia" w:ascii="仿宋_GB2312" w:hAnsi="仿宋" w:eastAsia="仿宋_GB2312" w:cs="Times New Roman"/>
          <w:sz w:val="32"/>
          <w:szCs w:val="32"/>
          <w:lang w:val="en-US" w:eastAsia="zh-CN"/>
        </w:rPr>
        <w:t>且预算只解决人员经费，无公用经费，</w:t>
      </w:r>
    </w:p>
    <w:p w14:paraId="0523B8C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p>
    <w:p w14:paraId="58C22A0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p>
    <w:p w14:paraId="4282FFDE">
      <w:pPr>
        <w:spacing w:line="600" w:lineRule="exact"/>
        <w:ind w:firstLine="640"/>
        <w:outlineLvl w:val="1"/>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bookmarkStart w:id="43" w:name="_Toc15377218"/>
      <w:bookmarkStart w:id="44" w:name="_Toc15396610"/>
    </w:p>
    <w:p w14:paraId="6A472287">
      <w:pPr>
        <w:spacing w:line="600" w:lineRule="exact"/>
        <w:ind w:firstLine="640"/>
        <w:outlineLvl w:val="1"/>
        <w:rPr>
          <w:rStyle w:val="31"/>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43"/>
      <w:bookmarkEnd w:id="44"/>
    </w:p>
    <w:p w14:paraId="53EFC80C">
      <w:pPr>
        <w:ind w:firstLine="709"/>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50.4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0.48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hAnsi="仿宋" w:eastAsia="仿宋_GB2312" w:cs="仿宋"/>
          <w:color w:val="000000"/>
          <w:sz w:val="32"/>
          <w:szCs w:val="32"/>
          <w:lang w:val="en-US" w:eastAsia="zh-CN"/>
        </w:rPr>
        <w:t>攀枝花市公路养护总段为2024年新纳入财政预算单位，无上年数据。</w:t>
      </w:r>
    </w:p>
    <w:p w14:paraId="466DC71A">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45" w:name="_Toc15396611"/>
      <w:bookmarkStart w:id="46" w:name="_Toc15377219"/>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45"/>
      <w:bookmarkEnd w:id="46"/>
    </w:p>
    <w:p w14:paraId="48CEB0C3">
      <w:pPr>
        <w:numPr>
          <w:ilvl w:val="0"/>
          <w:numId w:val="0"/>
        </w:numPr>
        <w:spacing w:line="600" w:lineRule="exact"/>
        <w:ind w:left="630" w:leftChars="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bookmarkStart w:id="47" w:name="_Toc15396612"/>
      <w:bookmarkStart w:id="48" w:name="_Toc15377221"/>
    </w:p>
    <w:p w14:paraId="7EFE1D9A">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47"/>
      <w:bookmarkEnd w:id="48"/>
    </w:p>
    <w:p w14:paraId="2FA26B9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22"/>
      <w:r>
        <w:rPr>
          <w:rFonts w:hint="eastAsia" w:ascii="Times New Roman" w:hAnsi="Times New Roman" w:eastAsia="楷体_GB2312" w:cs="楷体_GB2312"/>
          <w:b/>
          <w:color w:val="auto"/>
          <w:sz w:val="32"/>
          <w:szCs w:val="32"/>
          <w:highlight w:val="none"/>
        </w:rPr>
        <w:t>（一）机关运行经费支出情况</w:t>
      </w:r>
      <w:bookmarkEnd w:id="49"/>
    </w:p>
    <w:p w14:paraId="2633005F">
      <w:pPr>
        <w:ind w:firstLine="709"/>
        <w:rPr>
          <w:rFonts w:hint="eastAsia" w:ascii="仿宋_GB2312" w:hAnsi="仿宋" w:eastAsia="仿宋_GB2312" w:cs="仿宋"/>
          <w:color w:val="000000"/>
          <w:sz w:val="32"/>
          <w:szCs w:val="32"/>
          <w:lang w:val="en-US" w:eastAsia="zh-CN"/>
        </w:rPr>
      </w:pPr>
      <w:r>
        <w:rPr>
          <w:rFonts w:hint="eastAsia" w:ascii="仿宋_GB2312" w:hAnsi="仿宋_GB2312" w:eastAsia="仿宋_GB2312" w:cs="仿宋_GB2312"/>
          <w:sz w:val="32"/>
          <w:szCs w:val="32"/>
        </w:rPr>
        <w:t>攀枝花市公路养护总段</w:t>
      </w:r>
      <w:r>
        <w:rPr>
          <w:rFonts w:hint="eastAsia" w:ascii="仿宋_GB2312" w:hAnsi="方正仿宋_GB2312" w:eastAsia="仿宋_GB2312" w:cs="方正仿宋_GB2312"/>
          <w:sz w:val="32"/>
          <w:szCs w:val="32"/>
        </w:rPr>
        <w:t>系市</w:t>
      </w:r>
      <w:r>
        <w:rPr>
          <w:rFonts w:hint="eastAsia" w:ascii="仿宋_GB2312" w:hAnsi="方正仿宋_GB2312" w:eastAsia="仿宋_GB2312" w:cs="方正仿宋_GB2312"/>
          <w:sz w:val="32"/>
          <w:szCs w:val="32"/>
          <w:lang w:val="en-US" w:eastAsia="zh-CN"/>
        </w:rPr>
        <w:t>交通运输</w:t>
      </w:r>
      <w:r>
        <w:rPr>
          <w:rFonts w:hint="eastAsia" w:ascii="仿宋_GB2312" w:hAnsi="方正仿宋_GB2312" w:eastAsia="仿宋_GB2312" w:cs="方正仿宋_GB2312"/>
          <w:sz w:val="32"/>
          <w:szCs w:val="32"/>
        </w:rPr>
        <w:t>局下属</w:t>
      </w:r>
      <w:r>
        <w:rPr>
          <w:rFonts w:hint="eastAsia" w:ascii="仿宋_GB2312" w:hAnsi="方正仿宋_GB2312" w:eastAsia="仿宋_GB2312" w:cs="方正仿宋_GB2312"/>
          <w:sz w:val="32"/>
          <w:szCs w:val="32"/>
          <w:lang w:val="en-US" w:eastAsia="zh-CN"/>
        </w:rPr>
        <w:t>待改革</w:t>
      </w:r>
      <w:r>
        <w:rPr>
          <w:rFonts w:hint="eastAsia" w:ascii="仿宋_GB2312" w:hAnsi="方正仿宋_GB2312" w:eastAsia="仿宋_GB2312" w:cs="方正仿宋_GB2312"/>
          <w:sz w:val="32"/>
          <w:szCs w:val="32"/>
        </w:rPr>
        <w:t>事业单位，无机关运行经费。202</w:t>
      </w:r>
      <w:r>
        <w:rPr>
          <w:rFonts w:hint="eastAsia" w:ascii="仿宋_GB2312" w:hAnsi="方正仿宋_GB2312" w:eastAsia="仿宋_GB2312" w:cs="方正仿宋_GB2312"/>
          <w:sz w:val="32"/>
          <w:szCs w:val="32"/>
          <w:lang w:val="en-US" w:eastAsia="zh-CN"/>
        </w:rPr>
        <w:t>4</w:t>
      </w:r>
      <w:r>
        <w:rPr>
          <w:rFonts w:hint="eastAsia" w:ascii="仿宋_GB2312" w:hAnsi="方正仿宋_GB2312" w:eastAsia="仿宋_GB2312" w:cs="方正仿宋_GB2312"/>
          <w:sz w:val="32"/>
          <w:szCs w:val="32"/>
        </w:rPr>
        <w:t>年，机关运行经费支出0万元。</w:t>
      </w:r>
    </w:p>
    <w:p w14:paraId="362D6D4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0" w:name="_Toc15377223"/>
      <w:r>
        <w:rPr>
          <w:rFonts w:hint="eastAsia" w:ascii="Times New Roman" w:hAnsi="Times New Roman" w:eastAsia="楷体_GB2312" w:cs="楷体_GB2312"/>
          <w:b/>
          <w:color w:val="auto"/>
          <w:sz w:val="32"/>
          <w:szCs w:val="32"/>
          <w:highlight w:val="none"/>
        </w:rPr>
        <w:t>（二）政府采购支出情况</w:t>
      </w:r>
      <w:bookmarkEnd w:id="50"/>
    </w:p>
    <w:p w14:paraId="3711F2C7">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四川省攀枝花市公路养护总段</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2829.12</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2829.12</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2829.12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2829.12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p>
    <w:p w14:paraId="682FFF0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24"/>
      <w:r>
        <w:rPr>
          <w:rFonts w:hint="eastAsia" w:ascii="Times New Roman" w:hAnsi="Times New Roman" w:eastAsia="楷体_GB2312" w:cs="楷体_GB2312"/>
          <w:b/>
          <w:color w:val="auto"/>
          <w:sz w:val="32"/>
          <w:szCs w:val="32"/>
          <w:highlight w:val="none"/>
        </w:rPr>
        <w:t>（三）国有资产占有使用情况</w:t>
      </w:r>
      <w:bookmarkEnd w:id="51"/>
    </w:p>
    <w:p w14:paraId="06B6253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四川省攀枝花市公路养护总段</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78</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辆、特种用车62辆、其他用车</w:t>
      </w:r>
      <w:r>
        <w:rPr>
          <w:rFonts w:hint="eastAsia" w:ascii="仿宋_GB2312" w:hAnsi="仿宋_GB2312" w:eastAsia="仿宋_GB2312" w:cs="仿宋_GB2312"/>
          <w:sz w:val="32"/>
          <w:szCs w:val="32"/>
        </w:rPr>
        <w:t>16</w:t>
      </w:r>
      <w:r>
        <w:rPr>
          <w:rFonts w:hint="eastAsia" w:ascii="仿宋_GB2312" w:hAnsi="仿宋_GB2312" w:eastAsia="仿宋_GB2312" w:cs="仿宋_GB2312"/>
          <w:color w:val="auto"/>
          <w:kern w:val="2"/>
          <w:sz w:val="32"/>
          <w:szCs w:val="32"/>
          <w:highlight w:val="none"/>
          <w:lang w:val="en-US" w:eastAsia="zh-CN" w:bidi="ar-SA"/>
        </w:rPr>
        <w:t>辆，其他用车主要是</w:t>
      </w:r>
      <w:r>
        <w:rPr>
          <w:rFonts w:hint="eastAsia" w:ascii="仿宋_GB2312" w:hAnsi="方正仿宋_GB2312" w:eastAsia="仿宋_GB2312" w:cs="方正仿宋_GB2312"/>
          <w:sz w:val="32"/>
          <w:szCs w:val="32"/>
        </w:rPr>
        <w:t>用于保障单位日常用车</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07526E8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ED4482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20AD2BB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在2024年度预算编制阶段，组织对市级农村公路养护等</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个项目开展了预算事前绩效评估，编制了绩效目标，预算执行过程中，选取</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个项目开展绩效监控。组织对1个项目开展绩效自评，绩效自评</w:t>
      </w:r>
      <w:r>
        <w:rPr>
          <w:rFonts w:hint="eastAsia" w:eastAsia="仿宋_GB2312" w:cs="仿宋_GB2312"/>
          <w:color w:val="auto"/>
          <w:kern w:val="2"/>
          <w:sz w:val="32"/>
          <w:szCs w:val="32"/>
          <w:highlight w:val="none"/>
          <w:lang w:val="en-US" w:eastAsia="zh-CN" w:bidi="ar-SA"/>
        </w:rPr>
        <w:t>表</w:t>
      </w:r>
      <w:r>
        <w:rPr>
          <w:rFonts w:hint="eastAsia" w:ascii="Times New Roman" w:hAnsi="Times New Roman" w:eastAsia="仿宋_GB2312" w:cs="仿宋_GB2312"/>
          <w:color w:val="auto"/>
          <w:kern w:val="2"/>
          <w:sz w:val="32"/>
          <w:szCs w:val="32"/>
          <w:highlight w:val="none"/>
          <w:lang w:val="en-US" w:eastAsia="zh-CN" w:bidi="ar-SA"/>
        </w:rPr>
        <w:t>详见</w:t>
      </w:r>
      <w:r>
        <w:rPr>
          <w:rFonts w:hint="eastAsia" w:ascii="仿宋_GB2312" w:eastAsia="仿宋_GB2312"/>
          <w:sz w:val="32"/>
          <w:szCs w:val="32"/>
        </w:rPr>
        <w:t>第四部分附件</w:t>
      </w:r>
      <w:r>
        <w:rPr>
          <w:rFonts w:hint="eastAsia" w:ascii="Times New Roman" w:hAnsi="Times New Roman" w:eastAsia="仿宋_GB2312" w:cs="仿宋_GB2312"/>
          <w:color w:val="auto"/>
          <w:kern w:val="2"/>
          <w:sz w:val="32"/>
          <w:szCs w:val="32"/>
          <w:highlight w:val="none"/>
          <w:lang w:val="en-US" w:eastAsia="zh-CN" w:bidi="ar-SA"/>
        </w:rPr>
        <w:t>。</w:t>
      </w:r>
    </w:p>
    <w:p w14:paraId="1F9067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F0A61B2">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52" w:name="_Toc15396613"/>
      <w:bookmarkStart w:id="53"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52"/>
      <w:bookmarkEnd w:id="53"/>
    </w:p>
    <w:p w14:paraId="785F41C1">
      <w:pPr>
        <w:spacing w:line="600" w:lineRule="exact"/>
        <w:jc w:val="left"/>
        <w:rPr>
          <w:rFonts w:ascii="Times New Roman" w:hAnsi="Times New Roman"/>
          <w:b/>
          <w:color w:val="auto"/>
          <w:sz w:val="44"/>
          <w:szCs w:val="44"/>
          <w:highlight w:val="none"/>
        </w:rPr>
      </w:pPr>
    </w:p>
    <w:p w14:paraId="20AFB6F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70BD098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2.年初结转和结余：指以前年度尚未完成、结转到本年按有关规定继续使用的资金。</w:t>
      </w:r>
    </w:p>
    <w:p w14:paraId="409ED4F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3.结余分配：指事业单位按照会计制度规定缴纳的所得税、提取的专用结余以及转入非财政拨款结余的金额等。</w:t>
      </w:r>
    </w:p>
    <w:p w14:paraId="267C89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 年末结转和结余：指单位按有关规定结转到下年或以后年度继续使用的资金。</w:t>
      </w:r>
    </w:p>
    <w:p w14:paraId="62C199F8">
      <w:pPr>
        <w:numPr>
          <w:ilvl w:val="0"/>
          <w:numId w:val="0"/>
        </w:numPr>
        <w:spacing w:line="600" w:lineRule="exact"/>
        <w:ind w:firstLine="640" w:firstLineChars="0"/>
        <w:rPr>
          <w:rFonts w:hint="default" w:eastAsia="仿宋_GB2312" w:cs="仿宋_GB2312"/>
          <w:color w:val="FF0000"/>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5.一般公共服务（类）组织事务（款）其他组织事务支出（项）</w:t>
      </w:r>
      <w:r>
        <w:rPr>
          <w:rFonts w:hint="eastAsia" w:eastAsia="仿宋_GB2312" w:cs="仿宋_GB2312"/>
          <w:color w:val="auto"/>
          <w:kern w:val="2"/>
          <w:sz w:val="32"/>
          <w:szCs w:val="32"/>
          <w:highlight w:val="none"/>
          <w:lang w:val="en-US" w:eastAsia="zh-CN" w:bidi="ar-SA"/>
        </w:rPr>
        <w:t>：</w:t>
      </w:r>
      <w:r>
        <w:rPr>
          <w:rStyle w:val="17"/>
          <w:rFonts w:hint="eastAsia" w:ascii="仿宋_GB2312" w:hAnsi="仿宋_GB2312" w:eastAsia="仿宋_GB2312" w:cs="仿宋_GB2312"/>
          <w:b w:val="0"/>
          <w:bCs w:val="0"/>
          <w:sz w:val="32"/>
          <w:szCs w:val="32"/>
          <w:lang w:eastAsia="zh-CN"/>
        </w:rPr>
        <w:t>反映</w:t>
      </w:r>
      <w:r>
        <w:rPr>
          <w:rStyle w:val="17"/>
          <w:rFonts w:hint="eastAsia" w:ascii="仿宋_GB2312" w:hAnsi="仿宋_GB2312" w:eastAsia="仿宋_GB2312" w:cs="仿宋_GB2312"/>
          <w:b w:val="0"/>
          <w:bCs w:val="0"/>
          <w:sz w:val="32"/>
          <w:szCs w:val="32"/>
          <w:lang w:val="en-US" w:eastAsia="zh-CN"/>
        </w:rPr>
        <w:t>除上述项目以外其他用于中国共产党组织事务部门的</w:t>
      </w:r>
      <w:r>
        <w:rPr>
          <w:rStyle w:val="17"/>
          <w:rFonts w:hint="eastAsia" w:ascii="仿宋_GB2312" w:hAnsi="仿宋_GB2312" w:eastAsia="仿宋_GB2312" w:cs="仿宋_GB2312"/>
          <w:b w:val="0"/>
          <w:bCs w:val="0"/>
          <w:sz w:val="32"/>
          <w:szCs w:val="32"/>
          <w:lang w:eastAsia="zh-CN"/>
        </w:rPr>
        <w:t>支出</w:t>
      </w:r>
      <w:r>
        <w:rPr>
          <w:rStyle w:val="17"/>
          <w:rFonts w:hint="eastAsia" w:ascii="仿宋_GB2312" w:hAnsi="仿宋_GB2312" w:eastAsia="仿宋_GB2312" w:cs="仿宋_GB2312"/>
          <w:b w:val="0"/>
          <w:bCs w:val="0"/>
          <w:sz w:val="32"/>
          <w:szCs w:val="32"/>
        </w:rPr>
        <w:t>。</w:t>
      </w:r>
    </w:p>
    <w:p w14:paraId="6FEBCD9C">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社会保障和就业（类）行政事业单位养老支出（款）事业单位离退休（项）</w:t>
      </w:r>
      <w:r>
        <w:rPr>
          <w:rFonts w:hint="eastAsia" w:eastAsia="仿宋_GB2312" w:cs="仿宋_GB2312"/>
          <w:color w:val="auto"/>
          <w:kern w:val="2"/>
          <w:sz w:val="32"/>
          <w:szCs w:val="32"/>
          <w:highlight w:val="none"/>
          <w:lang w:val="en-US" w:eastAsia="zh-CN" w:bidi="ar-SA"/>
        </w:rPr>
        <w:t>：指事业</w:t>
      </w:r>
      <w:r>
        <w:rPr>
          <w:rFonts w:hint="eastAsia" w:eastAsia="仿宋_GB2312"/>
          <w:color w:val="0D0D0D" w:themeColor="text1" w:themeTint="F2"/>
          <w:sz w:val="32"/>
          <w:szCs w:val="32"/>
          <w14:textFill>
            <w14:solidFill>
              <w14:schemeClr w14:val="tx1">
                <w14:lumMod w14:val="95000"/>
                <w14:lumOff w14:val="5000"/>
              </w14:schemeClr>
            </w14:solidFill>
          </w14:textFill>
        </w:rPr>
        <w:t>单位开支的离退休经费。</w:t>
      </w:r>
    </w:p>
    <w:p w14:paraId="4D0D5D07">
      <w:pPr>
        <w:numPr>
          <w:ilvl w:val="0"/>
          <w:numId w:val="0"/>
        </w:numPr>
        <w:spacing w:line="600" w:lineRule="exact"/>
        <w:ind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指机关</w:t>
      </w:r>
      <w:r>
        <w:rPr>
          <w:rFonts w:hint="eastAsia" w:eastAsia="仿宋_GB2312" w:cs="仿宋_GB2312"/>
          <w:color w:val="auto"/>
          <w:kern w:val="2"/>
          <w:sz w:val="32"/>
          <w:szCs w:val="32"/>
          <w:highlight w:val="none"/>
          <w:lang w:val="en-US" w:eastAsia="zh-CN" w:bidi="ar-SA"/>
        </w:rPr>
        <w:t>事业</w:t>
      </w:r>
      <w:r>
        <w:rPr>
          <w:rFonts w:hint="eastAsia" w:ascii="Times New Roman" w:hAnsi="Times New Roman" w:eastAsia="仿宋_GB2312" w:cs="仿宋_GB2312"/>
          <w:color w:val="auto"/>
          <w:kern w:val="2"/>
          <w:sz w:val="32"/>
          <w:szCs w:val="32"/>
          <w:highlight w:val="none"/>
          <w:lang w:val="en-US" w:eastAsia="zh-CN" w:bidi="ar-SA"/>
        </w:rPr>
        <w:t>单位开支的基本养老保险缴费</w:t>
      </w:r>
      <w:r>
        <w:rPr>
          <w:rFonts w:hint="eastAsia" w:eastAsia="仿宋_GB2312" w:cs="仿宋_GB2312"/>
          <w:color w:val="auto"/>
          <w:kern w:val="2"/>
          <w:sz w:val="32"/>
          <w:szCs w:val="32"/>
          <w:highlight w:val="none"/>
          <w:lang w:val="en-US" w:eastAsia="zh-CN" w:bidi="ar-SA"/>
        </w:rPr>
        <w:t>。</w:t>
      </w:r>
    </w:p>
    <w:p w14:paraId="456A2DCB">
      <w:pPr>
        <w:numPr>
          <w:ilvl w:val="0"/>
          <w:numId w:val="0"/>
        </w:numPr>
        <w:spacing w:line="600" w:lineRule="exact"/>
        <w:ind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.社会保障和就业（类）行政事业单位养老支出（款）机关事业单位职业年金缴费支出（项）</w:t>
      </w:r>
      <w:r>
        <w:rPr>
          <w:rFonts w:hint="eastAsia" w:eastAsia="仿宋_GB2312" w:cs="仿宋_GB2312"/>
          <w:color w:val="auto"/>
          <w:kern w:val="2"/>
          <w:sz w:val="32"/>
          <w:szCs w:val="32"/>
          <w:highlight w:val="none"/>
          <w:lang w:val="en-US" w:eastAsia="zh-CN" w:bidi="ar-SA"/>
        </w:rPr>
        <w:t>：指</w:t>
      </w:r>
      <w:r>
        <w:rPr>
          <w:rFonts w:hint="eastAsia" w:ascii="仿宋_GB2312" w:eastAsia="仿宋_GB2312"/>
          <w:sz w:val="32"/>
          <w:szCs w:val="32"/>
          <w:lang w:eastAsia="zh-CN"/>
        </w:rPr>
        <w:t>机关事业单位实施养老保险制度由单位实际缴纳的职业年金支出</w:t>
      </w:r>
      <w:r>
        <w:rPr>
          <w:rFonts w:hint="eastAsia" w:eastAsia="仿宋_GB2312" w:cs="仿宋_GB2312"/>
          <w:color w:val="auto"/>
          <w:kern w:val="2"/>
          <w:sz w:val="32"/>
          <w:szCs w:val="32"/>
          <w:highlight w:val="none"/>
          <w:lang w:val="en-US" w:eastAsia="zh-CN" w:bidi="ar-SA"/>
        </w:rPr>
        <w:t>。</w:t>
      </w:r>
    </w:p>
    <w:p w14:paraId="711AF18C">
      <w:pPr>
        <w:numPr>
          <w:ilvl w:val="0"/>
          <w:numId w:val="0"/>
        </w:numPr>
        <w:spacing w:line="600" w:lineRule="exact"/>
        <w:ind w:firstLine="640" w:firstLineChars="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.社会保障和就业（类）抚恤（款）死亡抚恤（项）</w:t>
      </w:r>
      <w:r>
        <w:rPr>
          <w:rFonts w:hint="eastAsia" w:eastAsia="仿宋_GB2312" w:cs="仿宋_GB2312"/>
          <w:color w:val="auto"/>
          <w:kern w:val="2"/>
          <w:sz w:val="32"/>
          <w:szCs w:val="32"/>
          <w:highlight w:val="none"/>
          <w:lang w:val="en-US" w:eastAsia="zh-CN" w:bidi="ar-SA"/>
        </w:rPr>
        <w:t>：</w:t>
      </w:r>
      <w:r>
        <w:rPr>
          <w:rFonts w:hint="eastAsia" w:ascii="仿宋_GB2312" w:eastAsia="仿宋_GB2312" w:cs="仿宋_GB2312"/>
          <w:sz w:val="32"/>
          <w:szCs w:val="32"/>
        </w:rPr>
        <w:t>按规定用于烈士和牺牲、病故人员家属的一次性和定期抚恤金以及丧葬补助费</w:t>
      </w:r>
      <w:r>
        <w:rPr>
          <w:rFonts w:hint="eastAsia" w:ascii="仿宋_GB2312" w:eastAsia="仿宋_GB2312" w:cs="仿宋_GB2312"/>
          <w:sz w:val="32"/>
          <w:szCs w:val="32"/>
          <w:lang w:eastAsia="zh-CN"/>
        </w:rPr>
        <w:t>。</w:t>
      </w:r>
    </w:p>
    <w:p w14:paraId="55A6655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.卫生健康（类）行政事业单位医疗（款）事业单位医疗（项）</w:t>
      </w:r>
      <w:r>
        <w:rPr>
          <w:rFonts w:hint="eastAsia" w:eastAsia="仿宋_GB2312" w:cs="仿宋_GB2312"/>
          <w:color w:val="auto"/>
          <w:kern w:val="2"/>
          <w:sz w:val="32"/>
          <w:szCs w:val="32"/>
          <w:highlight w:val="none"/>
          <w:lang w:val="en-US" w:eastAsia="zh-CN" w:bidi="ar-SA"/>
        </w:rPr>
        <w:t>：指</w:t>
      </w:r>
      <w:r>
        <w:rPr>
          <w:rFonts w:hint="eastAsia" w:ascii="仿宋_GB2312" w:eastAsia="仿宋_GB2312"/>
          <w:sz w:val="32"/>
          <w:szCs w:val="32"/>
          <w:lang w:eastAsia="zh-CN"/>
        </w:rPr>
        <w:t>财政部门安排的</w:t>
      </w:r>
      <w:r>
        <w:rPr>
          <w:rFonts w:hint="eastAsia" w:ascii="Times New Roman" w:hAnsi="Times New Roman" w:eastAsia="仿宋_GB2312" w:cs="仿宋_GB2312"/>
          <w:color w:val="auto"/>
          <w:kern w:val="2"/>
          <w:sz w:val="32"/>
          <w:szCs w:val="32"/>
          <w:highlight w:val="none"/>
          <w:lang w:val="en-US" w:eastAsia="zh-CN" w:bidi="ar-SA"/>
        </w:rPr>
        <w:t>事业单位基本医疗保险缴费经费，未参加医疗保险的事业单位的公费医疗经费，按国家规定享受离休人员待遇人员的医疗经费。</w:t>
      </w:r>
    </w:p>
    <w:p w14:paraId="7EF2090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卫生健康（类）行政事业单位医疗（款）公务员医疗补助（项）</w:t>
      </w:r>
      <w:r>
        <w:rPr>
          <w:rFonts w:hint="eastAsia" w:eastAsia="仿宋_GB2312" w:cs="仿宋_GB2312"/>
          <w:color w:val="auto"/>
          <w:kern w:val="2"/>
          <w:sz w:val="32"/>
          <w:szCs w:val="32"/>
          <w:highlight w:val="none"/>
          <w:lang w:val="en-US" w:eastAsia="zh-CN" w:bidi="ar-SA"/>
        </w:rPr>
        <w:t>：指</w:t>
      </w:r>
      <w:r>
        <w:rPr>
          <w:rStyle w:val="17"/>
          <w:rFonts w:hint="eastAsia" w:ascii="仿宋_GB2312" w:hAnsi="方正仿宋_GB2312" w:eastAsia="仿宋_GB2312" w:cs="方正仿宋_GB2312"/>
          <w:b w:val="0"/>
          <w:bCs/>
          <w:color w:val="000000"/>
          <w:sz w:val="32"/>
          <w:szCs w:val="32"/>
        </w:rPr>
        <w:t>行政事业单位缴纳的公务员医疗补助经费</w:t>
      </w:r>
      <w:r>
        <w:rPr>
          <w:rFonts w:hint="eastAsia" w:eastAsia="仿宋_GB2312" w:cs="仿宋_GB2312"/>
          <w:color w:val="auto"/>
          <w:kern w:val="2"/>
          <w:sz w:val="32"/>
          <w:szCs w:val="32"/>
          <w:highlight w:val="none"/>
          <w:lang w:val="en-US" w:eastAsia="zh-CN" w:bidi="ar-SA"/>
        </w:rPr>
        <w:t>。</w:t>
      </w:r>
    </w:p>
    <w:p w14:paraId="4832105A">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交通运输（类）公路水路运输（款）机关服务（项）</w:t>
      </w:r>
      <w:r>
        <w:rPr>
          <w:rFonts w:hint="eastAsia" w:eastAsia="仿宋_GB2312" w:cs="仿宋_GB2312"/>
          <w:color w:val="auto"/>
          <w:kern w:val="2"/>
          <w:sz w:val="32"/>
          <w:szCs w:val="32"/>
          <w:highlight w:val="none"/>
          <w:lang w:val="en-US" w:eastAsia="zh-CN" w:bidi="ar-SA"/>
        </w:rPr>
        <w:t>：</w:t>
      </w:r>
      <w:r>
        <w:rPr>
          <w:rFonts w:hint="eastAsia" w:eastAsia="仿宋_GB2312"/>
          <w:color w:val="auto"/>
          <w:sz w:val="32"/>
          <w:szCs w:val="32"/>
        </w:rPr>
        <w:t>指行政</w:t>
      </w:r>
      <w:r>
        <w:rPr>
          <w:rFonts w:hint="eastAsia" w:eastAsia="仿宋_GB2312"/>
          <w:color w:val="auto"/>
          <w:sz w:val="32"/>
          <w:szCs w:val="32"/>
          <w:lang w:val="en-US" w:eastAsia="zh-CN"/>
        </w:rPr>
        <w:t>事业</w:t>
      </w:r>
      <w:r>
        <w:rPr>
          <w:rFonts w:hint="eastAsia" w:eastAsia="仿宋_GB2312"/>
          <w:color w:val="auto"/>
          <w:sz w:val="32"/>
          <w:szCs w:val="32"/>
        </w:rPr>
        <w:t>单位</w:t>
      </w:r>
      <w:r>
        <w:rPr>
          <w:rFonts w:hint="eastAsia" w:ascii="Times New Roman" w:hAnsi="Times New Roman" w:eastAsia="仿宋_GB2312" w:cs="仿宋_GB2312"/>
          <w:color w:val="auto"/>
          <w:kern w:val="2"/>
          <w:sz w:val="32"/>
          <w:szCs w:val="32"/>
          <w:highlight w:val="none"/>
          <w:lang w:val="en-US" w:eastAsia="zh-CN" w:bidi="ar-SA"/>
        </w:rPr>
        <w:t>提供后勤服务的各类后勤服务中心、医务室等附属事业单位的支出</w:t>
      </w:r>
      <w:r>
        <w:rPr>
          <w:rFonts w:hint="eastAsia" w:eastAsia="仿宋_GB2312" w:cs="仿宋_GB2312"/>
          <w:color w:val="auto"/>
          <w:kern w:val="2"/>
          <w:sz w:val="32"/>
          <w:szCs w:val="32"/>
          <w:highlight w:val="none"/>
          <w:lang w:val="en-US" w:eastAsia="zh-CN" w:bidi="ar-SA"/>
        </w:rPr>
        <w:t>。</w:t>
      </w:r>
    </w:p>
    <w:p w14:paraId="3DADD0E4">
      <w:pPr>
        <w:keepNext w:val="0"/>
        <w:keepLines w:val="0"/>
        <w:widowControl/>
        <w:suppressLineNumbers w:val="0"/>
        <w:ind w:firstLine="640" w:firstLineChars="200"/>
        <w:jc w:val="left"/>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住房保障（类）住房改革（款）住房公积金（项）</w:t>
      </w:r>
      <w:r>
        <w:rPr>
          <w:rFonts w:hint="eastAsia" w:eastAsia="仿宋_GB2312" w:cs="仿宋_GB2312"/>
          <w:color w:val="auto"/>
          <w:kern w:val="2"/>
          <w:sz w:val="32"/>
          <w:szCs w:val="32"/>
          <w:highlight w:val="none"/>
          <w:lang w:val="en-US" w:eastAsia="zh-CN" w:bidi="ar-SA"/>
        </w:rPr>
        <w:t>：</w:t>
      </w:r>
      <w:r>
        <w:rPr>
          <w:rFonts w:hint="eastAsia" w:eastAsia="仿宋_GB2312"/>
          <w:color w:val="000000"/>
          <w:sz w:val="32"/>
          <w:szCs w:val="32"/>
        </w:rPr>
        <w:t>指行政事业单位按人力资源和社会保障部、财政部规定的基本工资和津贴补贴以及规定比例为职工缴纳的住房公积金</w:t>
      </w:r>
      <w:r>
        <w:rPr>
          <w:rFonts w:hint="eastAsia" w:eastAsia="仿宋_GB2312" w:cs="仿宋_GB2312"/>
          <w:color w:val="auto"/>
          <w:kern w:val="2"/>
          <w:sz w:val="32"/>
          <w:szCs w:val="32"/>
          <w:highlight w:val="none"/>
          <w:lang w:val="en-US" w:eastAsia="zh-CN" w:bidi="ar-SA"/>
        </w:rPr>
        <w:t>。</w:t>
      </w:r>
    </w:p>
    <w:p w14:paraId="1449130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.城乡社区（类）国有土地使用权出让收入安排的支出（款）农村社会事业支出（项）：</w:t>
      </w:r>
      <w:r>
        <w:rPr>
          <w:rFonts w:hint="eastAsia" w:eastAsia="仿宋_GB2312" w:cs="仿宋_GB2312"/>
          <w:color w:val="auto"/>
          <w:kern w:val="2"/>
          <w:sz w:val="32"/>
          <w:szCs w:val="32"/>
          <w:highlight w:val="none"/>
          <w:lang w:val="en-US" w:eastAsia="zh-CN" w:bidi="ar-SA"/>
        </w:rPr>
        <w:t>指</w:t>
      </w:r>
      <w:r>
        <w:rPr>
          <w:rFonts w:hint="eastAsia" w:ascii="仿宋_GB2312" w:hAnsi="方正仿宋_GB2312" w:eastAsia="仿宋_GB2312" w:cs="方正仿宋_GB2312"/>
          <w:sz w:val="32"/>
          <w:szCs w:val="32"/>
        </w:rPr>
        <w:t>用于城乡社区管理事务中</w:t>
      </w:r>
      <w:r>
        <w:rPr>
          <w:rFonts w:hint="eastAsia" w:ascii="Times New Roman" w:hAnsi="Times New Roman" w:eastAsia="仿宋_GB2312" w:cs="仿宋_GB2312"/>
          <w:color w:val="auto"/>
          <w:kern w:val="2"/>
          <w:sz w:val="32"/>
          <w:szCs w:val="32"/>
          <w:highlight w:val="none"/>
          <w:lang w:val="en-US" w:eastAsia="zh-CN" w:bidi="ar-SA"/>
        </w:rPr>
        <w:t>国有土地使用权出让收入安排的农村社会事业支出</w:t>
      </w:r>
      <w:r>
        <w:rPr>
          <w:rFonts w:hint="eastAsia" w:ascii="仿宋_GB2312" w:hAnsi="方正仿宋_GB2312" w:eastAsia="仿宋_GB2312" w:cs="方正仿宋_GB2312"/>
          <w:sz w:val="32"/>
          <w:szCs w:val="32"/>
        </w:rPr>
        <w:t>。</w:t>
      </w:r>
    </w:p>
    <w:p w14:paraId="69111E0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6B855D1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5C1E3B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EBFC45">
      <w:pPr>
        <w:numPr>
          <w:ilvl w:val="0"/>
          <w:numId w:val="2"/>
        </w:numPr>
        <w:spacing w:line="600" w:lineRule="exact"/>
        <w:jc w:val="center"/>
        <w:rPr>
          <w:rFonts w:hint="eastAsia" w:ascii="Times New Roman" w:hAnsi="Times New Roman" w:eastAsia="黑体"/>
          <w:color w:val="auto"/>
          <w:sz w:val="44"/>
          <w:szCs w:val="44"/>
          <w:highlight w:val="none"/>
        </w:rPr>
      </w:pPr>
      <w:bookmarkStart w:id="54"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55" w:name="_Toc15396614"/>
      <w:r>
        <w:rPr>
          <w:rFonts w:hint="eastAsia" w:ascii="Times New Roman" w:hAnsi="Times New Roman" w:eastAsia="黑体"/>
          <w:color w:val="auto"/>
          <w:sz w:val="44"/>
          <w:szCs w:val="44"/>
          <w:highlight w:val="none"/>
        </w:rPr>
        <w:t xml:space="preserve"> 附件</w:t>
      </w:r>
      <w:bookmarkEnd w:id="55"/>
    </w:p>
    <w:p w14:paraId="0D28846C">
      <w:pPr>
        <w:widowControl/>
        <w:jc w:val="center"/>
        <w:rPr>
          <w:rFonts w:hint="eastAsia" w:ascii="华文仿宋" w:hAnsi="华文仿宋" w:eastAsia="华文仿宋" w:cs="华文仿宋"/>
          <w:color w:val="auto"/>
          <w:sz w:val="32"/>
          <w:szCs w:val="32"/>
          <w:highlight w:val="none"/>
          <w:lang w:val="en-US" w:eastAsia="zh-CN"/>
        </w:rPr>
      </w:pPr>
      <w:bookmarkStart w:id="56" w:name="_Toc15396618"/>
    </w:p>
    <w:p w14:paraId="5C8ABEC9">
      <w:pPr>
        <w:widowControl/>
        <w:jc w:val="both"/>
        <w:rPr>
          <w:rFonts w:hint="default"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部门预算项目支出绩效自评表（2024年度）见附件2。</w:t>
      </w:r>
    </w:p>
    <w:p w14:paraId="388ED7FB">
      <w:pPr>
        <w:widowControl/>
        <w:jc w:val="center"/>
        <w:rPr>
          <w:rFonts w:hint="eastAsia" w:ascii="Times New Roman" w:hAnsi="Times New Roman" w:eastAsia="黑体"/>
          <w:color w:val="auto"/>
          <w:sz w:val="44"/>
          <w:szCs w:val="44"/>
          <w:highlight w:val="none"/>
        </w:rPr>
      </w:pPr>
    </w:p>
    <w:p w14:paraId="3F42EB63">
      <w:pPr>
        <w:widowControl/>
        <w:jc w:val="center"/>
        <w:rPr>
          <w:rFonts w:hint="eastAsia" w:ascii="Times New Roman" w:hAnsi="Times New Roman" w:eastAsia="黑体"/>
          <w:color w:val="auto"/>
          <w:sz w:val="44"/>
          <w:szCs w:val="44"/>
          <w:highlight w:val="none"/>
        </w:rPr>
      </w:pPr>
    </w:p>
    <w:p w14:paraId="0D53E3EF">
      <w:pPr>
        <w:widowControl/>
        <w:jc w:val="center"/>
        <w:rPr>
          <w:rFonts w:hint="eastAsia" w:ascii="Times New Roman" w:hAnsi="Times New Roman" w:eastAsia="黑体"/>
          <w:color w:val="auto"/>
          <w:sz w:val="44"/>
          <w:szCs w:val="44"/>
          <w:highlight w:val="none"/>
        </w:rPr>
      </w:pPr>
    </w:p>
    <w:p w14:paraId="1B94B217">
      <w:pPr>
        <w:widowControl/>
        <w:jc w:val="center"/>
        <w:rPr>
          <w:rFonts w:hint="eastAsia" w:ascii="Times New Roman" w:hAnsi="Times New Roman" w:eastAsia="黑体"/>
          <w:color w:val="auto"/>
          <w:sz w:val="44"/>
          <w:szCs w:val="44"/>
          <w:highlight w:val="none"/>
        </w:rPr>
      </w:pPr>
    </w:p>
    <w:p w14:paraId="5B2BE3AB">
      <w:pPr>
        <w:widowControl/>
        <w:jc w:val="center"/>
        <w:rPr>
          <w:rFonts w:hint="eastAsia" w:ascii="Times New Roman" w:hAnsi="Times New Roman" w:eastAsia="黑体"/>
          <w:color w:val="auto"/>
          <w:sz w:val="44"/>
          <w:szCs w:val="44"/>
          <w:highlight w:val="none"/>
        </w:rPr>
      </w:pPr>
    </w:p>
    <w:p w14:paraId="298C06B0">
      <w:pPr>
        <w:widowControl/>
        <w:jc w:val="center"/>
        <w:rPr>
          <w:rFonts w:hint="eastAsia" w:ascii="Times New Roman" w:hAnsi="Times New Roman" w:eastAsia="黑体"/>
          <w:color w:val="auto"/>
          <w:sz w:val="44"/>
          <w:szCs w:val="44"/>
          <w:highlight w:val="none"/>
        </w:rPr>
      </w:pPr>
    </w:p>
    <w:p w14:paraId="61E125AE">
      <w:pPr>
        <w:widowControl/>
        <w:jc w:val="center"/>
        <w:rPr>
          <w:rFonts w:hint="eastAsia" w:ascii="Times New Roman" w:hAnsi="Times New Roman" w:eastAsia="黑体"/>
          <w:color w:val="auto"/>
          <w:sz w:val="44"/>
          <w:szCs w:val="44"/>
          <w:highlight w:val="none"/>
        </w:rPr>
      </w:pPr>
    </w:p>
    <w:p w14:paraId="3C3113C8">
      <w:pPr>
        <w:widowControl/>
        <w:jc w:val="center"/>
        <w:rPr>
          <w:rFonts w:hint="eastAsia" w:ascii="Times New Roman" w:hAnsi="Times New Roman" w:eastAsia="黑体"/>
          <w:color w:val="auto"/>
          <w:sz w:val="44"/>
          <w:szCs w:val="44"/>
          <w:highlight w:val="none"/>
        </w:rPr>
      </w:pPr>
    </w:p>
    <w:p w14:paraId="69E3D8DE">
      <w:pPr>
        <w:widowControl/>
        <w:jc w:val="center"/>
        <w:rPr>
          <w:rFonts w:hint="eastAsia" w:ascii="Times New Roman" w:hAnsi="Times New Roman" w:eastAsia="黑体"/>
          <w:color w:val="auto"/>
          <w:sz w:val="44"/>
          <w:szCs w:val="44"/>
          <w:highlight w:val="none"/>
        </w:rPr>
      </w:pPr>
    </w:p>
    <w:p w14:paraId="36D851AF">
      <w:pPr>
        <w:widowControl/>
        <w:jc w:val="center"/>
        <w:rPr>
          <w:rFonts w:hint="eastAsia" w:ascii="Times New Roman" w:hAnsi="Times New Roman" w:eastAsia="黑体"/>
          <w:color w:val="auto"/>
          <w:sz w:val="44"/>
          <w:szCs w:val="44"/>
          <w:highlight w:val="none"/>
        </w:rPr>
      </w:pPr>
    </w:p>
    <w:p w14:paraId="6F1867FC">
      <w:pPr>
        <w:widowControl/>
        <w:jc w:val="center"/>
        <w:rPr>
          <w:rFonts w:hint="eastAsia" w:ascii="Times New Roman" w:hAnsi="Times New Roman" w:eastAsia="黑体"/>
          <w:color w:val="auto"/>
          <w:sz w:val="44"/>
          <w:szCs w:val="44"/>
          <w:highlight w:val="none"/>
        </w:rPr>
      </w:pPr>
    </w:p>
    <w:p w14:paraId="56820493">
      <w:pPr>
        <w:widowControl/>
        <w:jc w:val="center"/>
        <w:rPr>
          <w:rFonts w:hint="eastAsia" w:ascii="Times New Roman" w:hAnsi="Times New Roman" w:eastAsia="黑体"/>
          <w:color w:val="auto"/>
          <w:sz w:val="44"/>
          <w:szCs w:val="44"/>
          <w:highlight w:val="none"/>
        </w:rPr>
      </w:pPr>
    </w:p>
    <w:p w14:paraId="2A43720A">
      <w:pPr>
        <w:widowControl/>
        <w:jc w:val="center"/>
        <w:rPr>
          <w:rFonts w:hint="eastAsia" w:ascii="Times New Roman" w:hAnsi="Times New Roman" w:eastAsia="黑体"/>
          <w:color w:val="auto"/>
          <w:sz w:val="44"/>
          <w:szCs w:val="44"/>
          <w:highlight w:val="none"/>
        </w:rPr>
      </w:pPr>
    </w:p>
    <w:p w14:paraId="19A65006">
      <w:pPr>
        <w:widowControl/>
        <w:jc w:val="center"/>
        <w:rPr>
          <w:rFonts w:hint="eastAsia" w:ascii="Times New Roman" w:hAnsi="Times New Roman" w:eastAsia="黑体"/>
          <w:color w:val="auto"/>
          <w:sz w:val="44"/>
          <w:szCs w:val="44"/>
          <w:highlight w:val="none"/>
        </w:rPr>
      </w:pPr>
    </w:p>
    <w:p w14:paraId="6EC0F44C">
      <w:pPr>
        <w:widowControl/>
        <w:jc w:val="center"/>
        <w:rPr>
          <w:rFonts w:hint="eastAsia" w:ascii="Times New Roman" w:hAnsi="Times New Roman" w:eastAsia="黑体"/>
          <w:color w:val="auto"/>
          <w:sz w:val="44"/>
          <w:szCs w:val="44"/>
          <w:highlight w:val="none"/>
        </w:rPr>
      </w:pPr>
    </w:p>
    <w:p w14:paraId="5A4AC35E">
      <w:pPr>
        <w:widowControl/>
        <w:jc w:val="center"/>
        <w:rPr>
          <w:rFonts w:hint="eastAsia" w:ascii="Times New Roman" w:hAnsi="Times New Roman" w:eastAsia="黑体"/>
          <w:color w:val="auto"/>
          <w:sz w:val="44"/>
          <w:szCs w:val="44"/>
          <w:highlight w:val="none"/>
        </w:rPr>
      </w:pPr>
    </w:p>
    <w:p w14:paraId="63104AE6">
      <w:pPr>
        <w:widowControl/>
        <w:jc w:val="center"/>
        <w:rPr>
          <w:rFonts w:hint="eastAsia" w:ascii="Times New Roman" w:hAnsi="Times New Roman" w:eastAsia="黑体"/>
          <w:color w:val="auto"/>
          <w:sz w:val="44"/>
          <w:szCs w:val="44"/>
          <w:highlight w:val="none"/>
        </w:rPr>
      </w:pPr>
    </w:p>
    <w:p w14:paraId="79A56966">
      <w:pPr>
        <w:widowControl/>
        <w:jc w:val="center"/>
        <w:rPr>
          <w:rFonts w:hint="eastAsia" w:ascii="Times New Roman" w:hAnsi="Times New Roman" w:eastAsia="黑体"/>
          <w:color w:val="auto"/>
          <w:sz w:val="44"/>
          <w:szCs w:val="44"/>
          <w:highlight w:val="none"/>
        </w:rPr>
      </w:pPr>
    </w:p>
    <w:p w14:paraId="44EB70C9">
      <w:pPr>
        <w:widowControl/>
        <w:jc w:val="center"/>
        <w:rPr>
          <w:rFonts w:hint="eastAsia" w:ascii="Times New Roman" w:hAnsi="Times New Roman" w:eastAsia="黑体"/>
          <w:color w:val="auto"/>
          <w:sz w:val="44"/>
          <w:szCs w:val="44"/>
          <w:highlight w:val="none"/>
        </w:rPr>
      </w:pPr>
    </w:p>
    <w:p w14:paraId="76920172">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54"/>
      <w:bookmarkEnd w:id="56"/>
      <w:bookmarkStart w:id="57" w:name="_Toc15396619"/>
    </w:p>
    <w:p w14:paraId="5AC02C1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0D7B0E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7"/>
    </w:p>
    <w:p w14:paraId="5371282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0"/>
      <w:r>
        <w:rPr>
          <w:rFonts w:hint="eastAsia" w:ascii="Times New Roman" w:hAnsi="Times New Roman" w:eastAsia="仿宋_GB2312" w:cs="仿宋_GB2312"/>
          <w:color w:val="auto"/>
          <w:sz w:val="32"/>
          <w:szCs w:val="32"/>
          <w:highlight w:val="none"/>
        </w:rPr>
        <w:t>二、收入决算表</w:t>
      </w:r>
      <w:bookmarkEnd w:id="58"/>
    </w:p>
    <w:p w14:paraId="0C06B9E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1"/>
      <w:r>
        <w:rPr>
          <w:rFonts w:hint="eastAsia" w:ascii="Times New Roman" w:hAnsi="Times New Roman" w:eastAsia="仿宋_GB2312" w:cs="仿宋_GB2312"/>
          <w:color w:val="auto"/>
          <w:sz w:val="32"/>
          <w:szCs w:val="32"/>
          <w:highlight w:val="none"/>
        </w:rPr>
        <w:t>三、支出决算表</w:t>
      </w:r>
      <w:bookmarkEnd w:id="59"/>
    </w:p>
    <w:p w14:paraId="7D41FAB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2"/>
      <w:r>
        <w:rPr>
          <w:rFonts w:hint="eastAsia" w:ascii="Times New Roman" w:hAnsi="Times New Roman" w:eastAsia="仿宋_GB2312" w:cs="仿宋_GB2312"/>
          <w:color w:val="auto"/>
          <w:sz w:val="32"/>
          <w:szCs w:val="32"/>
          <w:highlight w:val="none"/>
        </w:rPr>
        <w:t>四、财政拨款收入支出决算总表</w:t>
      </w:r>
      <w:bookmarkEnd w:id="60"/>
    </w:p>
    <w:p w14:paraId="6340377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3"/>
      <w:r>
        <w:rPr>
          <w:rFonts w:hint="eastAsia" w:ascii="Times New Roman" w:hAnsi="Times New Roman" w:eastAsia="仿宋_GB2312" w:cs="仿宋_GB2312"/>
          <w:color w:val="auto"/>
          <w:sz w:val="32"/>
          <w:szCs w:val="32"/>
          <w:highlight w:val="none"/>
        </w:rPr>
        <w:t>五、财政拨款支出决算明细表</w:t>
      </w:r>
      <w:bookmarkEnd w:id="61"/>
      <w:bookmarkStart w:id="62" w:name="_Toc15396624"/>
    </w:p>
    <w:p w14:paraId="4D75FDD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62"/>
    </w:p>
    <w:p w14:paraId="6486147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5"/>
      <w:r>
        <w:rPr>
          <w:rFonts w:hint="eastAsia" w:ascii="Times New Roman" w:hAnsi="Times New Roman" w:eastAsia="仿宋_GB2312" w:cs="仿宋_GB2312"/>
          <w:color w:val="auto"/>
          <w:sz w:val="32"/>
          <w:szCs w:val="32"/>
          <w:highlight w:val="none"/>
        </w:rPr>
        <w:t>七、一般公共预算财政拨款支出决算明细表</w:t>
      </w:r>
      <w:bookmarkEnd w:id="63"/>
    </w:p>
    <w:p w14:paraId="3DBF71B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6"/>
      <w:r>
        <w:rPr>
          <w:rFonts w:hint="eastAsia" w:ascii="Times New Roman" w:hAnsi="Times New Roman" w:eastAsia="仿宋_GB2312" w:cs="仿宋_GB2312"/>
          <w:color w:val="auto"/>
          <w:sz w:val="32"/>
          <w:szCs w:val="32"/>
          <w:highlight w:val="none"/>
        </w:rPr>
        <w:t>八、一般公共预算财政拨款基本支出决算表</w:t>
      </w:r>
      <w:bookmarkEnd w:id="64"/>
    </w:p>
    <w:p w14:paraId="399A370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27"/>
      <w:r>
        <w:rPr>
          <w:rFonts w:hint="eastAsia" w:ascii="Times New Roman" w:hAnsi="Times New Roman" w:eastAsia="仿宋_GB2312" w:cs="仿宋_GB2312"/>
          <w:color w:val="auto"/>
          <w:sz w:val="32"/>
          <w:szCs w:val="32"/>
          <w:highlight w:val="none"/>
        </w:rPr>
        <w:t>九、一般公共预算财政拨款项目支出决算表</w:t>
      </w:r>
      <w:bookmarkEnd w:id="65"/>
    </w:p>
    <w:p w14:paraId="712555E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6" w:name="_Toc15396628"/>
      <w:r>
        <w:rPr>
          <w:rFonts w:hint="eastAsia" w:ascii="Times New Roman" w:hAnsi="Times New Roman" w:eastAsia="仿宋_GB2312" w:cs="仿宋_GB2312"/>
          <w:color w:val="auto"/>
          <w:sz w:val="32"/>
          <w:szCs w:val="32"/>
          <w:highlight w:val="none"/>
        </w:rPr>
        <w:t>十、</w:t>
      </w:r>
      <w:bookmarkEnd w:id="66"/>
      <w:r>
        <w:rPr>
          <w:rFonts w:hint="eastAsia" w:ascii="Times New Roman" w:hAnsi="Times New Roman" w:eastAsia="仿宋_GB2312" w:cs="仿宋_GB2312"/>
          <w:color w:val="auto"/>
          <w:sz w:val="32"/>
          <w:szCs w:val="32"/>
          <w:highlight w:val="none"/>
        </w:rPr>
        <w:t>政府性基金预算财政拨款收入支出决算表</w:t>
      </w:r>
    </w:p>
    <w:p w14:paraId="25C0FAC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7" w:name="_Toc15396629"/>
      <w:r>
        <w:rPr>
          <w:rFonts w:hint="eastAsia" w:ascii="Times New Roman" w:hAnsi="Times New Roman" w:eastAsia="仿宋_GB2312" w:cs="仿宋_GB2312"/>
          <w:color w:val="auto"/>
          <w:sz w:val="32"/>
          <w:szCs w:val="32"/>
          <w:highlight w:val="none"/>
        </w:rPr>
        <w:t>十一、</w:t>
      </w:r>
      <w:bookmarkEnd w:id="67"/>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BA3ECA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8" w:name="_Toc15396630"/>
      <w:r>
        <w:rPr>
          <w:rFonts w:hint="eastAsia" w:ascii="Times New Roman" w:hAnsi="Times New Roman" w:eastAsia="仿宋_GB2312" w:cs="仿宋_GB2312"/>
          <w:color w:val="auto"/>
          <w:sz w:val="32"/>
          <w:szCs w:val="32"/>
          <w:highlight w:val="none"/>
        </w:rPr>
        <w:t>十二、</w:t>
      </w:r>
      <w:bookmarkEnd w:id="68"/>
      <w:r>
        <w:rPr>
          <w:rFonts w:hint="eastAsia" w:ascii="Times New Roman" w:hAnsi="Times New Roman" w:eastAsia="仿宋_GB2312" w:cs="仿宋_GB2312"/>
          <w:color w:val="auto"/>
          <w:sz w:val="32"/>
          <w:szCs w:val="32"/>
          <w:highlight w:val="none"/>
          <w:lang w:eastAsia="zh-CN"/>
        </w:rPr>
        <w:t>国有资本经营预算财政拨款支出决算表</w:t>
      </w:r>
    </w:p>
    <w:p w14:paraId="00A3995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9" w:name="_Toc15396631"/>
      <w:r>
        <w:rPr>
          <w:rFonts w:hint="eastAsia" w:ascii="Times New Roman" w:hAnsi="Times New Roman" w:eastAsia="仿宋_GB2312" w:cs="仿宋_GB2312"/>
          <w:color w:val="auto"/>
          <w:sz w:val="32"/>
          <w:szCs w:val="32"/>
          <w:highlight w:val="none"/>
        </w:rPr>
        <w:t>十三、</w:t>
      </w:r>
      <w:bookmarkEnd w:id="69"/>
      <w:r>
        <w:rPr>
          <w:rFonts w:hint="eastAsia" w:ascii="Times New Roman" w:hAnsi="Times New Roman" w:eastAsia="仿宋_GB2312" w:cs="仿宋_GB2312"/>
          <w:color w:val="auto"/>
          <w:sz w:val="32"/>
          <w:szCs w:val="32"/>
          <w:highlight w:val="none"/>
          <w:lang w:eastAsia="zh-CN"/>
        </w:rPr>
        <w:t>财政拨款“三公”经费支出决算表</w:t>
      </w:r>
    </w:p>
    <w:p w14:paraId="5BBA7ECD">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0000000000000000000"/>
    <w:charset w:val="01"/>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0635">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CB86E">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0CB86E">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4FCF11B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A97A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6178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06178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A6A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0A176"/>
    <w:multiLevelType w:val="singleLevel"/>
    <w:tmpl w:val="2C00A176"/>
    <w:lvl w:ilvl="0" w:tentative="0">
      <w:start w:val="1"/>
      <w:numFmt w:val="chineseCounting"/>
      <w:suff w:val="nothing"/>
      <w:lvlText w:val="%1、"/>
      <w:lvlJc w:val="left"/>
      <w:rPr>
        <w:rFonts w:hint="eastAsia"/>
      </w:rPr>
    </w:lvl>
  </w:abstractNum>
  <w:abstractNum w:abstractNumId="1">
    <w:nsid w:val="7DCCE453"/>
    <w:multiLevelType w:val="singleLevel"/>
    <w:tmpl w:val="7DCCE453"/>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ZTExNWViZTQ3MjZjYThkMzc4OWVlYmQxZGVlM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2EA8"/>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42E"/>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771243"/>
    <w:rsid w:val="02532161"/>
    <w:rsid w:val="02C95F38"/>
    <w:rsid w:val="02FEBE30"/>
    <w:rsid w:val="04916F1E"/>
    <w:rsid w:val="04F03C97"/>
    <w:rsid w:val="061E35DE"/>
    <w:rsid w:val="066E0107"/>
    <w:rsid w:val="0734074F"/>
    <w:rsid w:val="07996F6E"/>
    <w:rsid w:val="07DFD8BA"/>
    <w:rsid w:val="08C90A87"/>
    <w:rsid w:val="09867E8F"/>
    <w:rsid w:val="0A2032A3"/>
    <w:rsid w:val="0CA33C7A"/>
    <w:rsid w:val="0CA8290A"/>
    <w:rsid w:val="0CD22743"/>
    <w:rsid w:val="0D35B1ED"/>
    <w:rsid w:val="0D7766FF"/>
    <w:rsid w:val="0E254B6B"/>
    <w:rsid w:val="0ECD554D"/>
    <w:rsid w:val="0F98263C"/>
    <w:rsid w:val="101860EC"/>
    <w:rsid w:val="101F47CC"/>
    <w:rsid w:val="1051327C"/>
    <w:rsid w:val="10C055FF"/>
    <w:rsid w:val="10E85475"/>
    <w:rsid w:val="11694EBD"/>
    <w:rsid w:val="1176599A"/>
    <w:rsid w:val="11772AA4"/>
    <w:rsid w:val="118107EC"/>
    <w:rsid w:val="11875983"/>
    <w:rsid w:val="12E24EE2"/>
    <w:rsid w:val="13D50BC4"/>
    <w:rsid w:val="141C4CDB"/>
    <w:rsid w:val="142E381C"/>
    <w:rsid w:val="14B17F78"/>
    <w:rsid w:val="153E589F"/>
    <w:rsid w:val="16414106"/>
    <w:rsid w:val="165E0673"/>
    <w:rsid w:val="16B831D5"/>
    <w:rsid w:val="16BB723D"/>
    <w:rsid w:val="178766DD"/>
    <w:rsid w:val="17E50567"/>
    <w:rsid w:val="186504BB"/>
    <w:rsid w:val="19A445FC"/>
    <w:rsid w:val="19BB15DA"/>
    <w:rsid w:val="19E52375"/>
    <w:rsid w:val="1A63588F"/>
    <w:rsid w:val="1BE8440E"/>
    <w:rsid w:val="1D015490"/>
    <w:rsid w:val="1D155CEE"/>
    <w:rsid w:val="1D1638FE"/>
    <w:rsid w:val="1E312DEB"/>
    <w:rsid w:val="1E740ACF"/>
    <w:rsid w:val="1EEB57A3"/>
    <w:rsid w:val="1EF6577F"/>
    <w:rsid w:val="1FF35744"/>
    <w:rsid w:val="1FF6BC77"/>
    <w:rsid w:val="210A0DA2"/>
    <w:rsid w:val="21562C7C"/>
    <w:rsid w:val="2186353C"/>
    <w:rsid w:val="225F3AB7"/>
    <w:rsid w:val="22B4516B"/>
    <w:rsid w:val="22DE1134"/>
    <w:rsid w:val="23860B96"/>
    <w:rsid w:val="23A15E53"/>
    <w:rsid w:val="240371BF"/>
    <w:rsid w:val="244F3473"/>
    <w:rsid w:val="24C97D99"/>
    <w:rsid w:val="2551799B"/>
    <w:rsid w:val="25A718F0"/>
    <w:rsid w:val="25AB17E9"/>
    <w:rsid w:val="25BB59F6"/>
    <w:rsid w:val="260F557C"/>
    <w:rsid w:val="26795443"/>
    <w:rsid w:val="26970054"/>
    <w:rsid w:val="26C71E19"/>
    <w:rsid w:val="27B97EBF"/>
    <w:rsid w:val="27FC0068"/>
    <w:rsid w:val="281408E2"/>
    <w:rsid w:val="2992308A"/>
    <w:rsid w:val="29FD04D3"/>
    <w:rsid w:val="2A9E7599"/>
    <w:rsid w:val="2BD90527"/>
    <w:rsid w:val="2BFF7BC6"/>
    <w:rsid w:val="2C8A61B5"/>
    <w:rsid w:val="2D291971"/>
    <w:rsid w:val="2DF04E50"/>
    <w:rsid w:val="2E586DFA"/>
    <w:rsid w:val="2F040D46"/>
    <w:rsid w:val="2F57312B"/>
    <w:rsid w:val="2F6B035B"/>
    <w:rsid w:val="2FAE5751"/>
    <w:rsid w:val="2FB1A395"/>
    <w:rsid w:val="2FD9A7D8"/>
    <w:rsid w:val="2FDBF714"/>
    <w:rsid w:val="306E1982"/>
    <w:rsid w:val="30AB6865"/>
    <w:rsid w:val="315B295D"/>
    <w:rsid w:val="319F7F4E"/>
    <w:rsid w:val="32BD1EF1"/>
    <w:rsid w:val="32F01183"/>
    <w:rsid w:val="3304709D"/>
    <w:rsid w:val="33A773CB"/>
    <w:rsid w:val="33DB4D8F"/>
    <w:rsid w:val="349D6851"/>
    <w:rsid w:val="35200B4E"/>
    <w:rsid w:val="365C2C0F"/>
    <w:rsid w:val="36AA5135"/>
    <w:rsid w:val="36BE0DA7"/>
    <w:rsid w:val="376B6AA6"/>
    <w:rsid w:val="376D39B2"/>
    <w:rsid w:val="37E16F03"/>
    <w:rsid w:val="37F53A3B"/>
    <w:rsid w:val="389B6C89"/>
    <w:rsid w:val="38D469F0"/>
    <w:rsid w:val="39627CCD"/>
    <w:rsid w:val="397BAF1F"/>
    <w:rsid w:val="3A0B7BA1"/>
    <w:rsid w:val="3A265910"/>
    <w:rsid w:val="3AB79AF3"/>
    <w:rsid w:val="3AE834C0"/>
    <w:rsid w:val="3B0E664A"/>
    <w:rsid w:val="3B7EF35A"/>
    <w:rsid w:val="3B9FDB6C"/>
    <w:rsid w:val="3BF5BC2F"/>
    <w:rsid w:val="3CEBA265"/>
    <w:rsid w:val="3D98207C"/>
    <w:rsid w:val="3DEE7CF3"/>
    <w:rsid w:val="3E740A63"/>
    <w:rsid w:val="3E78745D"/>
    <w:rsid w:val="3EE17838"/>
    <w:rsid w:val="3F55381A"/>
    <w:rsid w:val="3F7F7599"/>
    <w:rsid w:val="3FC14917"/>
    <w:rsid w:val="3FF4CAE0"/>
    <w:rsid w:val="3FF7B227"/>
    <w:rsid w:val="406A3716"/>
    <w:rsid w:val="408B03DB"/>
    <w:rsid w:val="40C431D6"/>
    <w:rsid w:val="41EA4FEF"/>
    <w:rsid w:val="423F6228"/>
    <w:rsid w:val="44E268DA"/>
    <w:rsid w:val="450D13D7"/>
    <w:rsid w:val="45506656"/>
    <w:rsid w:val="46512483"/>
    <w:rsid w:val="469E1705"/>
    <w:rsid w:val="480F301E"/>
    <w:rsid w:val="486A6C7A"/>
    <w:rsid w:val="499F4C90"/>
    <w:rsid w:val="4A5F2E9E"/>
    <w:rsid w:val="4A627F82"/>
    <w:rsid w:val="4A77518F"/>
    <w:rsid w:val="4B0E749A"/>
    <w:rsid w:val="4B1B7D47"/>
    <w:rsid w:val="4B2477C4"/>
    <w:rsid w:val="4B321030"/>
    <w:rsid w:val="4B4F25DA"/>
    <w:rsid w:val="4B511A09"/>
    <w:rsid w:val="4BE068DB"/>
    <w:rsid w:val="4D577224"/>
    <w:rsid w:val="4DBF1CEB"/>
    <w:rsid w:val="4DF0007C"/>
    <w:rsid w:val="4E9E03FF"/>
    <w:rsid w:val="4EAB630A"/>
    <w:rsid w:val="4ECE2238"/>
    <w:rsid w:val="4F833267"/>
    <w:rsid w:val="4FE9BD67"/>
    <w:rsid w:val="4FFB052F"/>
    <w:rsid w:val="537E6D0A"/>
    <w:rsid w:val="53F74C96"/>
    <w:rsid w:val="55170BA8"/>
    <w:rsid w:val="553218C9"/>
    <w:rsid w:val="567E1AA5"/>
    <w:rsid w:val="56A417B8"/>
    <w:rsid w:val="56E47B74"/>
    <w:rsid w:val="57175D52"/>
    <w:rsid w:val="57BD3DD4"/>
    <w:rsid w:val="58461537"/>
    <w:rsid w:val="586D09FC"/>
    <w:rsid w:val="58F3077A"/>
    <w:rsid w:val="5AF92295"/>
    <w:rsid w:val="5B067329"/>
    <w:rsid w:val="5B250254"/>
    <w:rsid w:val="5BC0267F"/>
    <w:rsid w:val="5BDD79E6"/>
    <w:rsid w:val="5BF561CA"/>
    <w:rsid w:val="5BFF5DFC"/>
    <w:rsid w:val="5CD71FC4"/>
    <w:rsid w:val="5D1F11B5"/>
    <w:rsid w:val="5D695134"/>
    <w:rsid w:val="5DAE1B18"/>
    <w:rsid w:val="5DBC3948"/>
    <w:rsid w:val="5DE7D9E5"/>
    <w:rsid w:val="5ECEC941"/>
    <w:rsid w:val="5FBF9FF3"/>
    <w:rsid w:val="5FCD32BF"/>
    <w:rsid w:val="5FCD4E2C"/>
    <w:rsid w:val="5FEF394A"/>
    <w:rsid w:val="5FF67715"/>
    <w:rsid w:val="61A71145"/>
    <w:rsid w:val="61D900E0"/>
    <w:rsid w:val="61F0358C"/>
    <w:rsid w:val="62326812"/>
    <w:rsid w:val="62BF3928"/>
    <w:rsid w:val="63021D41"/>
    <w:rsid w:val="63B3701E"/>
    <w:rsid w:val="6462684D"/>
    <w:rsid w:val="647F5392"/>
    <w:rsid w:val="6522491C"/>
    <w:rsid w:val="65275CEA"/>
    <w:rsid w:val="65E66580"/>
    <w:rsid w:val="664663E8"/>
    <w:rsid w:val="664B1D71"/>
    <w:rsid w:val="664B4E8E"/>
    <w:rsid w:val="665D2235"/>
    <w:rsid w:val="67277B67"/>
    <w:rsid w:val="67AA3209"/>
    <w:rsid w:val="688011D0"/>
    <w:rsid w:val="698D0931"/>
    <w:rsid w:val="6A5D1F52"/>
    <w:rsid w:val="6A7FE5F3"/>
    <w:rsid w:val="6B053271"/>
    <w:rsid w:val="6B6302A4"/>
    <w:rsid w:val="6BDD78B3"/>
    <w:rsid w:val="6C0E027D"/>
    <w:rsid w:val="6C3F3A93"/>
    <w:rsid w:val="6C4A05C8"/>
    <w:rsid w:val="6C8742B8"/>
    <w:rsid w:val="6DBF5E93"/>
    <w:rsid w:val="6DFF077E"/>
    <w:rsid w:val="6E575569"/>
    <w:rsid w:val="6E714EF0"/>
    <w:rsid w:val="6E7E3605"/>
    <w:rsid w:val="6E7FDCC7"/>
    <w:rsid w:val="6ED6A62E"/>
    <w:rsid w:val="6ED90CE1"/>
    <w:rsid w:val="6EE00B15"/>
    <w:rsid w:val="6F6FB3EB"/>
    <w:rsid w:val="6F8731EA"/>
    <w:rsid w:val="6FCE6052"/>
    <w:rsid w:val="6FD57C00"/>
    <w:rsid w:val="6FDE6CAB"/>
    <w:rsid w:val="6FEFFFD8"/>
    <w:rsid w:val="6FF5CC65"/>
    <w:rsid w:val="6FFB47EC"/>
    <w:rsid w:val="6FFF034A"/>
    <w:rsid w:val="70484440"/>
    <w:rsid w:val="70A00B41"/>
    <w:rsid w:val="70F91539"/>
    <w:rsid w:val="712A28F1"/>
    <w:rsid w:val="715C0E4B"/>
    <w:rsid w:val="71992E7C"/>
    <w:rsid w:val="72233669"/>
    <w:rsid w:val="72734D90"/>
    <w:rsid w:val="73160E6D"/>
    <w:rsid w:val="732E65B8"/>
    <w:rsid w:val="7332FE48"/>
    <w:rsid w:val="73AB61DA"/>
    <w:rsid w:val="73AD73D5"/>
    <w:rsid w:val="73B6EB34"/>
    <w:rsid w:val="73FA497D"/>
    <w:rsid w:val="73FE5F31"/>
    <w:rsid w:val="744731E5"/>
    <w:rsid w:val="74A70471"/>
    <w:rsid w:val="74BA6A17"/>
    <w:rsid w:val="74BBD01D"/>
    <w:rsid w:val="74ED5379"/>
    <w:rsid w:val="75066682"/>
    <w:rsid w:val="750D14D3"/>
    <w:rsid w:val="75DEEEC2"/>
    <w:rsid w:val="75E32345"/>
    <w:rsid w:val="76E3355F"/>
    <w:rsid w:val="76FF5125"/>
    <w:rsid w:val="77115462"/>
    <w:rsid w:val="776F6FFA"/>
    <w:rsid w:val="778769C8"/>
    <w:rsid w:val="77A75DCA"/>
    <w:rsid w:val="77B76FF0"/>
    <w:rsid w:val="77DC22F5"/>
    <w:rsid w:val="783E271A"/>
    <w:rsid w:val="78616DE9"/>
    <w:rsid w:val="78E875D7"/>
    <w:rsid w:val="79086DAD"/>
    <w:rsid w:val="798E498F"/>
    <w:rsid w:val="79D7FD79"/>
    <w:rsid w:val="79EE5BA4"/>
    <w:rsid w:val="7A894339"/>
    <w:rsid w:val="7AD284E8"/>
    <w:rsid w:val="7AFF7572"/>
    <w:rsid w:val="7B6C7DFB"/>
    <w:rsid w:val="7BBFBED0"/>
    <w:rsid w:val="7BC3E394"/>
    <w:rsid w:val="7BFA44FE"/>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963AE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正文-公1"/>
    <w:basedOn w:val="20"/>
    <w:next w:val="1"/>
    <w:qFormat/>
    <w:uiPriority w:val="0"/>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lang w:val="en-US" w:eastAsia="zh-CN"/>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6"/>
    <w:link w:val="3"/>
    <w:qFormat/>
    <w:uiPriority w:val="9"/>
    <w:rPr>
      <w:rFonts w:ascii="Times New Roman" w:hAnsi="Times New Roman"/>
      <w:b/>
      <w:bCs/>
      <w:kern w:val="44"/>
      <w:sz w:val="44"/>
      <w:szCs w:val="44"/>
    </w:rPr>
  </w:style>
  <w:style w:type="character" w:customStyle="1" w:styleId="31">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政府性基金预算, 50.4</a:t>
                    </a:r>
                  </a:p>
                </c:rich>
              </c:tx>
              <c:dLblPos val="in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c:v>
                </c:pt>
                <c:pt idx="1">
                  <c:v>政府性基金预算</c:v>
                </c:pt>
              </c:strCache>
            </c:strRef>
          </c:cat>
          <c:val>
            <c:numRef>
              <c:f>Sheet1!$B$2:$B$3</c:f>
              <c:numCache>
                <c:formatCode>General</c:formatCode>
                <c:ptCount val="2"/>
                <c:pt idx="0">
                  <c:v>10382.39</c:v>
                </c:pt>
                <c:pt idx="1">
                  <c:v>50.4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bbdf936-19ae-45c8-bdb3-bd3e335f320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10382.39</c:v>
                </c:pt>
                <c:pt idx="1">
                  <c:v>50.4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fbe447e-f669-4a98-baa9-5f0cc776333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销售额</c:v>
                </c:pt>
              </c:strCache>
            </c:strRef>
          </c:tx>
          <c:spPr>
            <a:ln>
              <a:noFill/>
            </a:ln>
          </c:spPr>
          <c:explosion val="0"/>
          <c:dPt>
            <c:idx val="0"/>
            <c:bubble3D val="0"/>
            <c:spPr>
              <a:solidFill>
                <a:srgbClr val="4874CB"/>
              </a:solidFill>
              <a:ln w="6350">
                <a:solidFill>
                  <a:srgbClr val="FFFFFF"/>
                </a:solidFill>
                <a:prstDash val="solid"/>
              </a:ln>
            </c:spPr>
          </c:dPt>
          <c:dPt>
            <c:idx val="1"/>
            <c:bubble3D val="0"/>
            <c:spPr>
              <a:solidFill>
                <a:srgbClr val="EE822F"/>
              </a:solidFill>
              <a:ln w="6350">
                <a:solidFill>
                  <a:srgbClr val="FFFFFF"/>
                </a:solidFill>
                <a:prstDash val="solid"/>
              </a:ln>
            </c:spPr>
          </c:dPt>
          <c:dPt>
            <c:idx val="2"/>
            <c:bubble3D val="0"/>
            <c:spPr>
              <a:solidFill>
                <a:srgbClr val="F2BA02"/>
              </a:solidFill>
              <a:ln w="6350">
                <a:solidFill>
                  <a:srgbClr val="FFFFFF"/>
                </a:solidFill>
                <a:prstDash val="solid"/>
              </a:ln>
            </c:spPr>
          </c:dPt>
          <c:dPt>
            <c:idx val="3"/>
            <c:bubble3D val="0"/>
            <c:spPr>
              <a:solidFill>
                <a:srgbClr val="75BD42"/>
              </a:solidFill>
              <a:ln w="6350">
                <a:solidFill>
                  <a:srgbClr val="FFFFFF"/>
                </a:solidFill>
                <a:prstDash val="solid"/>
              </a:ln>
            </c:spPr>
          </c:dPt>
          <c:dPt>
            <c:idx val="4"/>
            <c:bubble3D val="0"/>
            <c:spPr>
              <a:solidFill>
                <a:srgbClr val="30C0B4"/>
              </a:solidFill>
              <a:ln w="6350">
                <a:solidFill>
                  <a:srgbClr val="FFFFFF"/>
                </a:solidFill>
                <a:prstDash val="solid"/>
              </a:ln>
            </c:spPr>
          </c:dPt>
          <c:dLbls>
            <c:dLbl>
              <c:idx val="0"/>
              <c:layout>
                <c:manualLayout>
                  <c:x val="0.00069942645"/>
                  <c:y val="0.09936052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solidFill>
                      <a:latin typeface="Times New Roman" panose="02020603050405020304"/>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Times New Roman" panose="02020603050405020304"/>
                        <a:ea typeface="宋体" panose="02010600030101010101" charset="-122"/>
                        <a:cs typeface="Lucida Sans"/>
                      </a:defRPr>
                    </a:pPr>
                    <a:r>
                      <a:rPr lang="en-US" altLang="zh-CN"/>
                      <a:t>52</a:t>
                    </a:r>
                    <a:r>
                      <a:t>.</a:t>
                    </a:r>
                    <a:r>
                      <a:rPr lang="en-US" altLang="zh-CN"/>
                      <a:t>3</a:t>
                    </a:r>
                    <a:r>
                      <a:t>%</a:t>
                    </a: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manualLayout>
                  <c:x val="0.045318007"/>
                  <c:y val="0.244020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solidFill>
                      <a:latin typeface="Times New Roman" panose="02020603050405020304"/>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20059302"/>
                  <c:y val="0.1813279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solidFill>
                      <a:latin typeface="Times New Roman" panose="02020603050405020304"/>
                      <a:ea typeface="宋体" panose="02010600030101010101" charset="-122"/>
                      <a:cs typeface="Lucida San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solidFill>
                    <a:latin typeface="Times New Roman" panose="02020603050405020304"/>
                    <a:ea typeface="宋体" panose="02010600030101010101" charset="-122"/>
                    <a:cs typeface="Lucida San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 (6)'!$A$2:$A$6</c:f>
              <c:strCache>
                <c:ptCount val="5"/>
                <c:pt idx="0">
                  <c:v>一般公共服务支出</c:v>
                </c:pt>
                <c:pt idx="1">
                  <c:v>社会保障和就业支出</c:v>
                </c:pt>
                <c:pt idx="2">
                  <c:v>交通运输支出</c:v>
                </c:pt>
                <c:pt idx="3">
                  <c:v>卫生健康支出</c:v>
                </c:pt>
                <c:pt idx="4">
                  <c:v>住房保障支出</c:v>
                </c:pt>
              </c:strCache>
            </c:strRef>
          </c:cat>
          <c:val>
            <c:numRef>
              <c:f>'Sheet1 (6)'!$B$2:$B$6</c:f>
              <c:numCache>
                <c:formatCode>General</c:formatCode>
                <c:ptCount val="5"/>
                <c:pt idx="0">
                  <c:v>2.08</c:v>
                </c:pt>
                <c:pt idx="1">
                  <c:v>3915.5</c:v>
                </c:pt>
                <c:pt idx="2">
                  <c:v>5429.59</c:v>
                </c:pt>
                <c:pt idx="3">
                  <c:v>436</c:v>
                </c:pt>
                <c:pt idx="4">
                  <c:v>599.21</c:v>
                </c:pt>
              </c:numCache>
            </c:numRef>
          </c:val>
        </c:ser>
        <c:dLbls>
          <c:showLegendKey val="0"/>
          <c:showVal val="0"/>
          <c:showCatName val="0"/>
          <c:showSerName val="0"/>
          <c:showPercent val="1"/>
          <c:showBubbleSize val="0"/>
          <c:showLeaderLines val="1"/>
        </c:dLbls>
        <c:firstSliceAng val="0"/>
      </c:pieChart>
      <c:spPr>
        <a:noFill/>
        <a:ln>
          <a:noFill/>
        </a:ln>
      </c:spPr>
    </c:plotArea>
    <c:legend>
      <c:legendPos val="t"/>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Times New Roman" panose="02020603050405020304"/>
              <a:ea typeface="宋体" panose="02010600030101010101" charset="-122"/>
              <a:cs typeface="Lucida Sans"/>
            </a:defRPr>
          </a:pPr>
        </a:p>
      </c:txPr>
    </c:legend>
    <c:plotVisOnly val="1"/>
    <c:dispBlanksAs val="gap"/>
    <c:showDLblsOverMax val="0"/>
    <c:extLst>
      <c:ext uri="{0b15fc19-7d7d-44ad-8c2d-2c3a37ce22c3}">
        <chartProps xmlns="https://web.wps.cn/et/2018/main" chartId="{ebd880c9-fbef-4809-94c3-c272825675c7}"/>
      </c:ext>
    </c:extLst>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68c6eb-43a2-441e-83c9-10733ca3bb8b}"/>
        <w:style w:val=""/>
        <w:category>
          <w:name w:val="常规"/>
          <w:gallery w:val="placeholder"/>
        </w:category>
        <w:types>
          <w:type w:val="bbPlcHdr"/>
        </w:types>
        <w:behaviors>
          <w:behavior w:val="content"/>
        </w:behaviors>
        <w:description w:val=""/>
        <w:guid w:val="{f768c6eb-43a2-441e-83c9-10733ca3bb8b}"/>
      </w:docPartPr>
      <w:docPartBody>
        <w:p w14:paraId="7A2F28C4">
          <w:r>
            <w:rPr>
              <w:color w:val="808080"/>
            </w:rPr>
            <w:t>单击此处输入文字。</w:t>
          </w:r>
        </w:p>
      </w:docPartBody>
    </w:docPart>
    <w:docPart>
      <w:docPartPr>
        <w:name w:val="{78276974-de46-436e-87e5-63c53999f3f5}"/>
        <w:style w:val=""/>
        <w:category>
          <w:name w:val="常规"/>
          <w:gallery w:val="placeholder"/>
        </w:category>
        <w:types>
          <w:type w:val="bbPlcHdr"/>
        </w:types>
        <w:behaviors>
          <w:behavior w:val="content"/>
        </w:behaviors>
        <w:description w:val=""/>
        <w:guid w:val="{78276974-de46-436e-87e5-63c53999f3f5}"/>
      </w:docPartPr>
      <w:docPartBody>
        <w:p w14:paraId="3B93CC64">
          <w:r>
            <w:rPr>
              <w:color w:val="808080"/>
            </w:rPr>
            <w:t>单击此处输入文字。</w:t>
          </w:r>
        </w:p>
      </w:docPartBody>
    </w:docPart>
    <w:docPart>
      <w:docPartPr>
        <w:name w:val="{67cd120f-075d-4416-8db6-491afaff82ac}"/>
        <w:style w:val=""/>
        <w:category>
          <w:name w:val="常规"/>
          <w:gallery w:val="placeholder"/>
        </w:category>
        <w:types>
          <w:type w:val="bbPlcHdr"/>
        </w:types>
        <w:behaviors>
          <w:behavior w:val="content"/>
        </w:behaviors>
        <w:description w:val=""/>
        <w:guid w:val="{67cd120f-075d-4416-8db6-491afaff82ac}"/>
      </w:docPartPr>
      <w:docPartBody>
        <w:p w14:paraId="125AA25A">
          <w:r>
            <w:rPr>
              <w:color w:val="808080"/>
            </w:rPr>
            <w:t>单击此处输入文字。</w:t>
          </w:r>
        </w:p>
      </w:docPartBody>
    </w:docPart>
    <w:docPart>
      <w:docPartPr>
        <w:name w:val="{9599305b-53a2-4267-8104-a90436d42b35}"/>
        <w:style w:val=""/>
        <w:category>
          <w:name w:val="常规"/>
          <w:gallery w:val="placeholder"/>
        </w:category>
        <w:types>
          <w:type w:val="bbPlcHdr"/>
        </w:types>
        <w:behaviors>
          <w:behavior w:val="content"/>
        </w:behaviors>
        <w:description w:val=""/>
        <w:guid w:val="{9599305b-53a2-4267-8104-a90436d42b35}"/>
      </w:docPartPr>
      <w:docPartBody>
        <w:p w14:paraId="306FB703">
          <w:r>
            <w:rPr>
              <w:color w:val="808080"/>
            </w:rPr>
            <w:t>单击此处输入文字。</w:t>
          </w:r>
        </w:p>
      </w:docPartBody>
    </w:docPart>
    <w:docPart>
      <w:docPartPr>
        <w:name w:val="{7d1eee48-0ff7-4bc3-ba08-338cf60a2fdc}"/>
        <w:style w:val=""/>
        <w:category>
          <w:name w:val="常规"/>
          <w:gallery w:val="placeholder"/>
        </w:category>
        <w:types>
          <w:type w:val="bbPlcHdr"/>
        </w:types>
        <w:behaviors>
          <w:behavior w:val="content"/>
        </w:behaviors>
        <w:description w:val=""/>
        <w:guid w:val="{7d1eee48-0ff7-4bc3-ba08-338cf60a2fdc}"/>
      </w:docPartPr>
      <w:docPartBody>
        <w:p w14:paraId="6E93FD2D">
          <w:r>
            <w:rPr>
              <w:color w:val="808080"/>
            </w:rPr>
            <w:t>单击此处输入文字。</w:t>
          </w:r>
        </w:p>
      </w:docPartBody>
    </w:docPart>
    <w:docPart>
      <w:docPartPr>
        <w:name w:val="{0d029bfb-3926-4646-8e67-a7516d29ccac}"/>
        <w:style w:val=""/>
        <w:category>
          <w:name w:val="常规"/>
          <w:gallery w:val="placeholder"/>
        </w:category>
        <w:types>
          <w:type w:val="bbPlcHdr"/>
        </w:types>
        <w:behaviors>
          <w:behavior w:val="content"/>
        </w:behaviors>
        <w:description w:val=""/>
        <w:guid w:val="{0d029bfb-3926-4646-8e67-a7516d29ccac}"/>
      </w:docPartPr>
      <w:docPartBody>
        <w:p w14:paraId="22B40DA3">
          <w:r>
            <w:rPr>
              <w:color w:val="808080"/>
            </w:rPr>
            <w:t>单击此处输入文字。</w:t>
          </w:r>
        </w:p>
      </w:docPartBody>
    </w:docPart>
    <w:docPart>
      <w:docPartPr>
        <w:name w:val="{1cfdd4c9-15bd-48ee-9bdc-774a7f0200ea}"/>
        <w:style w:val=""/>
        <w:category>
          <w:name w:val="常规"/>
          <w:gallery w:val="placeholder"/>
        </w:category>
        <w:types>
          <w:type w:val="bbPlcHdr"/>
        </w:types>
        <w:behaviors>
          <w:behavior w:val="content"/>
        </w:behaviors>
        <w:description w:val=""/>
        <w:guid w:val="{1cfdd4c9-15bd-48ee-9bdc-774a7f0200ea}"/>
      </w:docPartPr>
      <w:docPartBody>
        <w:p w14:paraId="7E1D1D2D">
          <w:r>
            <w:rPr>
              <w:color w:val="808080"/>
            </w:rPr>
            <w:t>单击此处输入文字。</w:t>
          </w:r>
        </w:p>
      </w:docPartBody>
    </w:docPart>
    <w:docPart>
      <w:docPartPr>
        <w:name w:val="{5a1c29ff-6654-4ffe-8219-a2880921dc5e}"/>
        <w:style w:val=""/>
        <w:category>
          <w:name w:val="常规"/>
          <w:gallery w:val="placeholder"/>
        </w:category>
        <w:types>
          <w:type w:val="bbPlcHdr"/>
        </w:types>
        <w:behaviors>
          <w:behavior w:val="content"/>
        </w:behaviors>
        <w:description w:val=""/>
        <w:guid w:val="{5a1c29ff-6654-4ffe-8219-a2880921dc5e}"/>
      </w:docPartPr>
      <w:docPartBody>
        <w:p w14:paraId="6626A958">
          <w:r>
            <w:rPr>
              <w:color w:val="808080"/>
            </w:rPr>
            <w:t>单击此处输入文字。</w:t>
          </w:r>
        </w:p>
      </w:docPartBody>
    </w:docPart>
    <w:docPart>
      <w:docPartPr>
        <w:name w:val="{6547b674-9404-4af0-9a39-73eb3e8df4f0}"/>
        <w:style w:val=""/>
        <w:category>
          <w:name w:val="常规"/>
          <w:gallery w:val="placeholder"/>
        </w:category>
        <w:types>
          <w:type w:val="bbPlcHdr"/>
        </w:types>
        <w:behaviors>
          <w:behavior w:val="content"/>
        </w:behaviors>
        <w:description w:val=""/>
        <w:guid w:val="{6547b674-9404-4af0-9a39-73eb3e8df4f0}"/>
      </w:docPartPr>
      <w:docPartBody>
        <w:p w14:paraId="2D3A962D">
          <w:r>
            <w:rPr>
              <w:color w:val="808080"/>
            </w:rPr>
            <w:t>单击此处输入文字。</w:t>
          </w:r>
        </w:p>
      </w:docPartBody>
    </w:docPart>
    <w:docPart>
      <w:docPartPr>
        <w:name w:val="{b3f149d1-d0fe-44bc-a06c-4f57e38fd8a3}"/>
        <w:style w:val=""/>
        <w:category>
          <w:name w:val="常规"/>
          <w:gallery w:val="placeholder"/>
        </w:category>
        <w:types>
          <w:type w:val="bbPlcHdr"/>
        </w:types>
        <w:behaviors>
          <w:behavior w:val="content"/>
        </w:behaviors>
        <w:description w:val=""/>
        <w:guid w:val="{b3f149d1-d0fe-44bc-a06c-4f57e38fd8a3}"/>
      </w:docPartPr>
      <w:docPartBody>
        <w:p w14:paraId="69020AEB">
          <w:r>
            <w:rPr>
              <w:color w:val="808080"/>
            </w:rPr>
            <w:t>单击此处输入文字。</w:t>
          </w:r>
        </w:p>
      </w:docPartBody>
    </w:docPart>
    <w:docPart>
      <w:docPartPr>
        <w:name w:val="{452411c7-8ba5-4f4e-8ff8-da8c4173c2b2}"/>
        <w:style w:val=""/>
        <w:category>
          <w:name w:val="常规"/>
          <w:gallery w:val="placeholder"/>
        </w:category>
        <w:types>
          <w:type w:val="bbPlcHdr"/>
        </w:types>
        <w:behaviors>
          <w:behavior w:val="content"/>
        </w:behaviors>
        <w:description w:val=""/>
        <w:guid w:val="{452411c7-8ba5-4f4e-8ff8-da8c4173c2b2}"/>
      </w:docPartPr>
      <w:docPartBody>
        <w:p w14:paraId="768D7A77">
          <w:r>
            <w:rPr>
              <w:color w:val="808080"/>
            </w:rPr>
            <w:t>单击此处输入文字。</w:t>
          </w:r>
        </w:p>
      </w:docPartBody>
    </w:docPart>
    <w:docPart>
      <w:docPartPr>
        <w:name w:val="{fbbd0b55-0f11-403e-900d-27fd558b83be}"/>
        <w:style w:val=""/>
        <w:category>
          <w:name w:val="常规"/>
          <w:gallery w:val="placeholder"/>
        </w:category>
        <w:types>
          <w:type w:val="bbPlcHdr"/>
        </w:types>
        <w:behaviors>
          <w:behavior w:val="content"/>
        </w:behaviors>
        <w:description w:val=""/>
        <w:guid w:val="{fbbd0b55-0f11-403e-900d-27fd558b83be}"/>
      </w:docPartPr>
      <w:docPartBody>
        <w:p w14:paraId="69461E59">
          <w:r>
            <w:rPr>
              <w:color w:val="808080"/>
            </w:rPr>
            <w:t>单击此处输入文字。</w:t>
          </w:r>
        </w:p>
      </w:docPartBody>
    </w:docPart>
    <w:docPart>
      <w:docPartPr>
        <w:name w:val="{3ba1d1c8-a8bf-4fd8-92b2-109d3435d9da}"/>
        <w:style w:val=""/>
        <w:category>
          <w:name w:val="常规"/>
          <w:gallery w:val="placeholder"/>
        </w:category>
        <w:types>
          <w:type w:val="bbPlcHdr"/>
        </w:types>
        <w:behaviors>
          <w:behavior w:val="content"/>
        </w:behaviors>
        <w:description w:val=""/>
        <w:guid w:val="{3ba1d1c8-a8bf-4fd8-92b2-109d3435d9da}"/>
      </w:docPartPr>
      <w:docPartBody>
        <w:p w14:paraId="33B2C6E4">
          <w:r>
            <w:rPr>
              <w:color w:val="808080"/>
            </w:rPr>
            <w:t>单击此处输入文字。</w:t>
          </w:r>
        </w:p>
      </w:docPartBody>
    </w:docPart>
    <w:docPart>
      <w:docPartPr>
        <w:name w:val="{c12ea3dc-4ba9-4976-a2ea-08159970f41d}"/>
        <w:style w:val=""/>
        <w:category>
          <w:name w:val="常规"/>
          <w:gallery w:val="placeholder"/>
        </w:category>
        <w:types>
          <w:type w:val="bbPlcHdr"/>
        </w:types>
        <w:behaviors>
          <w:behavior w:val="content"/>
        </w:behaviors>
        <w:description w:val=""/>
        <w:guid w:val="{c12ea3dc-4ba9-4976-a2ea-08159970f41d}"/>
      </w:docPartPr>
      <w:docPartBody>
        <w:p w14:paraId="0B1A2D39">
          <w:r>
            <w:rPr>
              <w:color w:val="808080"/>
            </w:rPr>
            <w:t>单击此处输入文字。</w:t>
          </w:r>
        </w:p>
      </w:docPartBody>
    </w:docPart>
    <w:docPart>
      <w:docPartPr>
        <w:name w:val="{4fc14cf9-486c-4eda-a8d6-7fa2750ee062}"/>
        <w:style w:val=""/>
        <w:category>
          <w:name w:val="常规"/>
          <w:gallery w:val="placeholder"/>
        </w:category>
        <w:types>
          <w:type w:val="bbPlcHdr"/>
        </w:types>
        <w:behaviors>
          <w:behavior w:val="content"/>
        </w:behaviors>
        <w:description w:val=""/>
        <w:guid w:val="{4fc14cf9-486c-4eda-a8d6-7fa2750ee062}"/>
      </w:docPartPr>
      <w:docPartBody>
        <w:p w14:paraId="7B266B73">
          <w:r>
            <w:rPr>
              <w:color w:val="808080"/>
            </w:rPr>
            <w:t>单击此处输入文字。</w:t>
          </w:r>
        </w:p>
      </w:docPartBody>
    </w:docPart>
    <w:docPart>
      <w:docPartPr>
        <w:name w:val="{8ce99f25-2484-403b-ac7c-e0cc5dd60b33}"/>
        <w:style w:val=""/>
        <w:category>
          <w:name w:val="常规"/>
          <w:gallery w:val="placeholder"/>
        </w:category>
        <w:types>
          <w:type w:val="bbPlcHdr"/>
        </w:types>
        <w:behaviors>
          <w:behavior w:val="content"/>
        </w:behaviors>
        <w:description w:val=""/>
        <w:guid w:val="{8ce99f25-2484-403b-ac7c-e0cc5dd60b33}"/>
      </w:docPartPr>
      <w:docPartBody>
        <w:p w14:paraId="69CD8849">
          <w:r>
            <w:rPr>
              <w:color w:val="808080"/>
            </w:rPr>
            <w:t>单击此处输入文字。</w:t>
          </w:r>
        </w:p>
      </w:docPartBody>
    </w:docPart>
    <w:docPart>
      <w:docPartPr>
        <w:name w:val="{a79b6b34-6e3a-4864-92b4-30ac5b40f3ef}"/>
        <w:style w:val=""/>
        <w:category>
          <w:name w:val="常规"/>
          <w:gallery w:val="placeholder"/>
        </w:category>
        <w:types>
          <w:type w:val="bbPlcHdr"/>
        </w:types>
        <w:behaviors>
          <w:behavior w:val="content"/>
        </w:behaviors>
        <w:description w:val=""/>
        <w:guid w:val="{a79b6b34-6e3a-4864-92b4-30ac5b40f3ef}"/>
      </w:docPartPr>
      <w:docPartBody>
        <w:p w14:paraId="417BE35C">
          <w:r>
            <w:rPr>
              <w:color w:val="808080"/>
            </w:rPr>
            <w:t>单击此处输入文字。</w:t>
          </w:r>
        </w:p>
      </w:docPartBody>
    </w:docPart>
    <w:docPart>
      <w:docPartPr>
        <w:name w:val="{e61132fb-218f-425c-8fff-d37e2d4c4393}"/>
        <w:style w:val=""/>
        <w:category>
          <w:name w:val="常规"/>
          <w:gallery w:val="placeholder"/>
        </w:category>
        <w:types>
          <w:type w:val="bbPlcHdr"/>
        </w:types>
        <w:behaviors>
          <w:behavior w:val="content"/>
        </w:behaviors>
        <w:description w:val=""/>
        <w:guid w:val="{e61132fb-218f-425c-8fff-d37e2d4c4393}"/>
      </w:docPartPr>
      <w:docPartBody>
        <w:p w14:paraId="2B6B7DD7">
          <w:r>
            <w:rPr>
              <w:color w:val="808080"/>
            </w:rPr>
            <w:t>单击此处输入文字。</w:t>
          </w:r>
        </w:p>
      </w:docPartBody>
    </w:docPart>
    <w:docPart>
      <w:docPartPr>
        <w:name w:val="{48dfbf16-97a0-42c9-b573-9a6724f5f9fe}"/>
        <w:style w:val=""/>
        <w:category>
          <w:name w:val="常规"/>
          <w:gallery w:val="placeholder"/>
        </w:category>
        <w:types>
          <w:type w:val="bbPlcHdr"/>
        </w:types>
        <w:behaviors>
          <w:behavior w:val="content"/>
        </w:behaviors>
        <w:description w:val=""/>
        <w:guid w:val="{48dfbf16-97a0-42c9-b573-9a6724f5f9fe}"/>
      </w:docPartPr>
      <w:docPartBody>
        <w:p w14:paraId="106ECA21">
          <w:r>
            <w:rPr>
              <w:color w:val="808080"/>
            </w:rPr>
            <w:t>单击此处输入文字。</w:t>
          </w:r>
        </w:p>
      </w:docPartBody>
    </w:docPart>
    <w:docPart>
      <w:docPartPr>
        <w:name w:val="{25bb4b50-4d6d-44a8-953d-23279684ae5d}"/>
        <w:style w:val=""/>
        <w:category>
          <w:name w:val="常规"/>
          <w:gallery w:val="placeholder"/>
        </w:category>
        <w:types>
          <w:type w:val="bbPlcHdr"/>
        </w:types>
        <w:behaviors>
          <w:behavior w:val="content"/>
        </w:behaviors>
        <w:description w:val=""/>
        <w:guid w:val="{25bb4b50-4d6d-44a8-953d-23279684ae5d}"/>
      </w:docPartPr>
      <w:docPartBody>
        <w:p w14:paraId="69A044EC">
          <w:r>
            <w:rPr>
              <w:color w:val="808080"/>
            </w:rPr>
            <w:t>单击此处输入文字。</w:t>
          </w:r>
        </w:p>
      </w:docPartBody>
    </w:docPart>
    <w:docPart>
      <w:docPartPr>
        <w:name w:val="{62919632-55f6-48f0-80e9-e1db1e9d0bbe}"/>
        <w:style w:val=""/>
        <w:category>
          <w:name w:val="常规"/>
          <w:gallery w:val="placeholder"/>
        </w:category>
        <w:types>
          <w:type w:val="bbPlcHdr"/>
        </w:types>
        <w:behaviors>
          <w:behavior w:val="content"/>
        </w:behaviors>
        <w:description w:val=""/>
        <w:guid w:val="{62919632-55f6-48f0-80e9-e1db1e9d0bbe}"/>
      </w:docPartPr>
      <w:docPartBody>
        <w:p w14:paraId="31F0F9C2">
          <w:r>
            <w:rPr>
              <w:color w:val="808080"/>
            </w:rPr>
            <w:t>单击此处输入文字。</w:t>
          </w:r>
        </w:p>
      </w:docPartBody>
    </w:docPart>
    <w:docPart>
      <w:docPartPr>
        <w:name w:val="{aad70017-32a1-4984-a9fb-9e67ee96584b}"/>
        <w:style w:val=""/>
        <w:category>
          <w:name w:val="常规"/>
          <w:gallery w:val="placeholder"/>
        </w:category>
        <w:types>
          <w:type w:val="bbPlcHdr"/>
        </w:types>
        <w:behaviors>
          <w:behavior w:val="content"/>
        </w:behaviors>
        <w:description w:val=""/>
        <w:guid w:val="{aad70017-32a1-4984-a9fb-9e67ee96584b}"/>
      </w:docPartPr>
      <w:docPartBody>
        <w:p w14:paraId="2E15D370">
          <w:r>
            <w:rPr>
              <w:color w:val="808080"/>
            </w:rPr>
            <w:t>单击此处输入文字。</w:t>
          </w:r>
        </w:p>
      </w:docPartBody>
    </w:docPart>
    <w:docPart>
      <w:docPartPr>
        <w:name w:val="{5205d36d-beec-4661-94df-c9e97cd8dca9}"/>
        <w:style w:val=""/>
        <w:category>
          <w:name w:val="常规"/>
          <w:gallery w:val="placeholder"/>
        </w:category>
        <w:types>
          <w:type w:val="bbPlcHdr"/>
        </w:types>
        <w:behaviors>
          <w:behavior w:val="content"/>
        </w:behaviors>
        <w:description w:val=""/>
        <w:guid w:val="{5205d36d-beec-4661-94df-c9e97cd8dca9}"/>
      </w:docPartPr>
      <w:docPartBody>
        <w:p w14:paraId="5C74192A">
          <w:r>
            <w:rPr>
              <w:color w:val="808080"/>
            </w:rPr>
            <w:t>单击此处输入文字。</w:t>
          </w:r>
        </w:p>
      </w:docPartBody>
    </w:docPart>
    <w:docPart>
      <w:docPartPr>
        <w:name w:val="{a9324c4b-89ac-4a8a-b8a8-a7a30e88b778}"/>
        <w:style w:val=""/>
        <w:category>
          <w:name w:val="常规"/>
          <w:gallery w:val="placeholder"/>
        </w:category>
        <w:types>
          <w:type w:val="bbPlcHdr"/>
        </w:types>
        <w:behaviors>
          <w:behavior w:val="content"/>
        </w:behaviors>
        <w:description w:val=""/>
        <w:guid w:val="{a9324c4b-89ac-4a8a-b8a8-a7a30e88b778}"/>
      </w:docPartPr>
      <w:docPartBody>
        <w:p w14:paraId="540F9CBB">
          <w:r>
            <w:rPr>
              <w:color w:val="808080"/>
            </w:rPr>
            <w:t>单击此处输入文字。</w:t>
          </w:r>
        </w:p>
      </w:docPartBody>
    </w:docPart>
    <w:docPart>
      <w:docPartPr>
        <w:name w:val="{252ee77f-288a-4902-a23e-38019211063f}"/>
        <w:style w:val=""/>
        <w:category>
          <w:name w:val="常规"/>
          <w:gallery w:val="placeholder"/>
        </w:category>
        <w:types>
          <w:type w:val="bbPlcHdr"/>
        </w:types>
        <w:behaviors>
          <w:behavior w:val="content"/>
        </w:behaviors>
        <w:description w:val=""/>
        <w:guid w:val="{252ee77f-288a-4902-a23e-38019211063f}"/>
      </w:docPartPr>
      <w:docPartBody>
        <w:p w14:paraId="79595915">
          <w:r>
            <w:rPr>
              <w:color w:val="808080"/>
            </w:rPr>
            <w:t>单击此处输入文字。</w:t>
          </w:r>
        </w:p>
      </w:docPartBody>
    </w:docPart>
    <w:docPart>
      <w:docPartPr>
        <w:name w:val="{e12c0dc9-5543-4f6a-adc3-b2eb4a59ccf3}"/>
        <w:style w:val=""/>
        <w:category>
          <w:name w:val="常规"/>
          <w:gallery w:val="placeholder"/>
        </w:category>
        <w:types>
          <w:type w:val="bbPlcHdr"/>
        </w:types>
        <w:behaviors>
          <w:behavior w:val="content"/>
        </w:behaviors>
        <w:description w:val=""/>
        <w:guid w:val="{e12c0dc9-5543-4f6a-adc3-b2eb4a59ccf3}"/>
      </w:docPartPr>
      <w:docPartBody>
        <w:p w14:paraId="0DCF20D1">
          <w:r>
            <w:rPr>
              <w:color w:val="808080"/>
            </w:rPr>
            <w:t>单击此处输入文字。</w:t>
          </w:r>
        </w:p>
      </w:docPartBody>
    </w:docPart>
    <w:docPart>
      <w:docPartPr>
        <w:name w:val="{492c8710-7487-4848-99b1-d1114dec9e89}"/>
        <w:style w:val=""/>
        <w:category>
          <w:name w:val="常规"/>
          <w:gallery w:val="placeholder"/>
        </w:category>
        <w:types>
          <w:type w:val="bbPlcHdr"/>
        </w:types>
        <w:behaviors>
          <w:behavior w:val="content"/>
        </w:behaviors>
        <w:description w:val=""/>
        <w:guid w:val="{492c8710-7487-4848-99b1-d1114dec9e89}"/>
      </w:docPartPr>
      <w:docPartBody>
        <w:p w14:paraId="675CE052">
          <w:r>
            <w:rPr>
              <w:color w:val="808080"/>
            </w:rPr>
            <w:t>单击此处输入文字。</w:t>
          </w:r>
        </w:p>
      </w:docPartBody>
    </w:docPart>
    <w:docPart>
      <w:docPartPr>
        <w:name w:val="{758f2782-a6e8-411c-a29c-7dfb73edde02}"/>
        <w:style w:val=""/>
        <w:category>
          <w:name w:val="常规"/>
          <w:gallery w:val="placeholder"/>
        </w:category>
        <w:types>
          <w:type w:val="bbPlcHdr"/>
        </w:types>
        <w:behaviors>
          <w:behavior w:val="content"/>
        </w:behaviors>
        <w:description w:val=""/>
        <w:guid w:val="{758f2782-a6e8-411c-a29c-7dfb73edde02}"/>
      </w:docPartPr>
      <w:docPartBody>
        <w:p w14:paraId="1EAD2CA1">
          <w:r>
            <w:rPr>
              <w:color w:val="808080"/>
            </w:rPr>
            <w:t>单击此处输入文字。</w:t>
          </w:r>
        </w:p>
      </w:docPartBody>
    </w:docPart>
    <w:docPart>
      <w:docPartPr>
        <w:name w:val="{267c1ae8-a1e2-4403-8280-40177f31c973}"/>
        <w:style w:val=""/>
        <w:category>
          <w:name w:val="常规"/>
          <w:gallery w:val="placeholder"/>
        </w:category>
        <w:types>
          <w:type w:val="bbPlcHdr"/>
        </w:types>
        <w:behaviors>
          <w:behavior w:val="content"/>
        </w:behaviors>
        <w:description w:val=""/>
        <w:guid w:val="{267c1ae8-a1e2-4403-8280-40177f31c973}"/>
      </w:docPartPr>
      <w:docPartBody>
        <w:p w14:paraId="26836496">
          <w:r>
            <w:rPr>
              <w:color w:val="808080"/>
            </w:rPr>
            <w:t>单击此处输入文字。</w:t>
          </w:r>
        </w:p>
      </w:docPartBody>
    </w:docPart>
    <w:docPart>
      <w:docPartPr>
        <w:name w:val="{bea74e95-e867-45af-98a8-08ab973e2063}"/>
        <w:style w:val=""/>
        <w:category>
          <w:name w:val="常规"/>
          <w:gallery w:val="placeholder"/>
        </w:category>
        <w:types>
          <w:type w:val="bbPlcHdr"/>
        </w:types>
        <w:behaviors>
          <w:behavior w:val="content"/>
        </w:behaviors>
        <w:description w:val=""/>
        <w:guid w:val="{bea74e95-e867-45af-98a8-08ab973e2063}"/>
      </w:docPartPr>
      <w:docPartBody>
        <w:p w14:paraId="02A1A6A0">
          <w:r>
            <w:rPr>
              <w:color w:val="808080"/>
            </w:rPr>
            <w:t>单击此处输入文字。</w:t>
          </w:r>
        </w:p>
      </w:docPartBody>
    </w:docPart>
    <w:docPart>
      <w:docPartPr>
        <w:name w:val="{53c4b44c-9770-4a2a-b9e2-a1373bcc429c}"/>
        <w:style w:val=""/>
        <w:category>
          <w:name w:val="常规"/>
          <w:gallery w:val="placeholder"/>
        </w:category>
        <w:types>
          <w:type w:val="bbPlcHdr"/>
        </w:types>
        <w:behaviors>
          <w:behavior w:val="content"/>
        </w:behaviors>
        <w:description w:val=""/>
        <w:guid w:val="{53c4b44c-9770-4a2a-b9e2-a1373bcc429c}"/>
      </w:docPartPr>
      <w:docPartBody>
        <w:p w14:paraId="1F3AFF6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4895</Words>
  <Characters>5337</Characters>
  <Lines>61</Lines>
  <Paragraphs>17</Paragraphs>
  <TotalTime>3</TotalTime>
  <ScaleCrop>false</ScaleCrop>
  <LinksUpToDate>false</LinksUpToDate>
  <CharactersWithSpaces>5456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刘红东</cp:lastModifiedBy>
  <cp:lastPrinted>2025-08-06T17:34:00Z</cp:lastPrinted>
  <dcterms:modified xsi:type="dcterms:W3CDTF">2025-09-09T05:53:34Z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eyJoZGlkIjoiZDFiMzU1NzIwMDcyYmQ1OTgwMGQ0NGFlNGYxMTczNDEiLCJ1c2VySWQiOiI3NDU1NTc2MjUifQ==</vt:lpwstr>
  </property>
</Properties>
</file>