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drawings/drawing1.xml" ContentType="application/vnd.openxmlformats-officedocument.drawingml.chartshapes+xml"/>
  <Override PartName="/word/drawings/drawing2.xml" ContentType="application/vnd.openxmlformats-officedocument.drawingml.chartshapes+xml"/>
  <Override PartName="/word/drawings/drawing3.xml" ContentType="application/vnd.openxmlformats-officedocument.drawingml.chartshap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pageBreakBefore w:val="0"/>
        <w:kinsoku/>
        <w:wordWrap/>
        <w:overflowPunct/>
        <w:topLinePunct w:val="0"/>
        <w:bidi w:val="0"/>
        <w:spacing w:beforeLines="0"/>
        <w:textAlignment w:val="auto"/>
        <w:rPr>
          <w:rFonts w:ascii="Times New Roman" w:eastAsia="方正小标宋简体"/>
          <w:kern w:val="2"/>
          <w:sz w:val="72"/>
          <w:szCs w:val="72"/>
        </w:rPr>
      </w:pPr>
      <w:bookmarkStart w:id="0" w:name="_Toc15377425"/>
      <w:bookmarkStart w:id="1" w:name="_Toc15396475"/>
      <w:bookmarkStart w:id="2" w:name="_Toc15306267"/>
      <w:bookmarkStart w:id="3" w:name="_Toc15378441"/>
      <w:bookmarkStart w:id="4" w:name="_Toc15377193"/>
      <w:bookmarkStart w:id="5" w:name="_Toc15396597"/>
    </w:p>
    <w:p>
      <w:pPr>
        <w:pStyle w:val="6"/>
        <w:pageBreakBefore w:val="0"/>
        <w:kinsoku/>
        <w:wordWrap/>
        <w:overflowPunct/>
        <w:topLinePunct w:val="0"/>
        <w:bidi w:val="0"/>
        <w:spacing w:beforeLines="0"/>
        <w:textAlignment w:val="auto"/>
        <w:rPr>
          <w:rFonts w:ascii="Times New Roman" w:eastAsia="方正小标宋简体"/>
          <w:kern w:val="2"/>
          <w:sz w:val="72"/>
          <w:szCs w:val="72"/>
        </w:rPr>
      </w:pPr>
    </w:p>
    <w:p>
      <w:pPr>
        <w:pStyle w:val="6"/>
        <w:pageBreakBefore w:val="0"/>
        <w:kinsoku/>
        <w:wordWrap/>
        <w:overflowPunct/>
        <w:topLinePunct w:val="0"/>
        <w:bidi w:val="0"/>
        <w:spacing w:beforeLines="0"/>
        <w:textAlignment w:val="auto"/>
        <w:rPr>
          <w:rFonts w:ascii="Times New Roman" w:eastAsia="方正小标宋简体"/>
          <w:kern w:val="2"/>
          <w:sz w:val="72"/>
          <w:szCs w:val="72"/>
        </w:rPr>
      </w:pPr>
    </w:p>
    <w:p>
      <w:pPr>
        <w:pStyle w:val="6"/>
        <w:pageBreakBefore w:val="0"/>
        <w:kinsoku/>
        <w:wordWrap/>
        <w:overflowPunct/>
        <w:topLinePunct w:val="0"/>
        <w:bidi w:val="0"/>
        <w:spacing w:beforeLines="0"/>
        <w:jc w:val="center"/>
        <w:textAlignment w:val="auto"/>
        <w:rPr>
          <w:rFonts w:ascii="Times New Roman" w:eastAsia="方正小标宋简体"/>
          <w:kern w:val="2"/>
          <w:sz w:val="44"/>
          <w:szCs w:val="44"/>
        </w:rPr>
      </w:pPr>
      <w:r>
        <w:rPr>
          <w:rFonts w:hint="eastAsia" w:ascii="Times New Roman" w:eastAsia="方正小标宋简体"/>
          <w:kern w:val="2"/>
          <w:sz w:val="44"/>
          <w:szCs w:val="44"/>
        </w:rPr>
        <w:t>2024年度市级单位决算</w:t>
      </w:r>
    </w:p>
    <w:p>
      <w:pPr>
        <w:pStyle w:val="6"/>
        <w:pageBreakBefore w:val="0"/>
        <w:kinsoku/>
        <w:wordWrap/>
        <w:overflowPunct/>
        <w:topLinePunct w:val="0"/>
        <w:bidi w:val="0"/>
        <w:spacing w:beforeLines="0"/>
        <w:jc w:val="center"/>
        <w:textAlignment w:val="auto"/>
        <w:rPr>
          <w:rFonts w:ascii="Times New Roman" w:eastAsia="方正小标宋简体"/>
          <w:kern w:val="2"/>
          <w:sz w:val="44"/>
          <w:szCs w:val="44"/>
        </w:rPr>
      </w:pPr>
      <w:r>
        <w:rPr>
          <w:rFonts w:hint="eastAsia" w:ascii="Times New Roman" w:eastAsia="方正小标宋简体"/>
          <w:kern w:val="2"/>
          <w:sz w:val="44"/>
          <w:szCs w:val="44"/>
        </w:rPr>
        <w:t>公开文字说明</w:t>
      </w:r>
    </w:p>
    <w:p>
      <w:pPr>
        <w:pageBreakBefore w:val="0"/>
        <w:kinsoku/>
        <w:wordWrap/>
        <w:overflowPunct/>
        <w:topLinePunct w:val="0"/>
        <w:bidi w:val="0"/>
        <w:spacing w:line="600" w:lineRule="exact"/>
        <w:jc w:val="center"/>
        <w:textAlignment w:val="auto"/>
        <w:outlineLvl w:val="0"/>
        <w:rPr>
          <w:rFonts w:eastAsia="方正小标宋简体"/>
          <w:sz w:val="72"/>
          <w:szCs w:val="72"/>
        </w:rPr>
      </w:pPr>
    </w:p>
    <w:p>
      <w:pPr>
        <w:pStyle w:val="2"/>
        <w:pageBreakBefore w:val="0"/>
        <w:kinsoku/>
        <w:wordWrap/>
        <w:overflowPunct/>
        <w:topLinePunct w:val="0"/>
        <w:bidi w:val="0"/>
        <w:spacing w:before="0" w:after="0"/>
        <w:textAlignment w:val="auto"/>
        <w:rPr>
          <w:rFonts w:ascii="Times New Roman" w:hAnsi="Times New Roman"/>
        </w:rPr>
        <w:sectPr>
          <w:headerReference r:id="rId3" w:type="default"/>
          <w:footerReference r:id="rId5" w:type="default"/>
          <w:headerReference r:id="rId4" w:type="even"/>
          <w:footerReference r:id="rId6" w:type="even"/>
          <w:pgSz w:w="11906" w:h="16838"/>
          <w:pgMar w:top="1440" w:right="1800" w:bottom="1440" w:left="1800" w:header="851" w:footer="992" w:gutter="0"/>
          <w:pgNumType w:fmt="decimal" w:start="1"/>
          <w:cols w:space="425" w:num="1"/>
          <w:titlePg/>
          <w:docGrid w:type="lines" w:linePitch="312" w:charSpace="0"/>
        </w:sectPr>
      </w:pPr>
    </w:p>
    <w:p>
      <w:pPr>
        <w:pageBreakBefore w:val="0"/>
        <w:kinsoku/>
        <w:wordWrap/>
        <w:overflowPunct/>
        <w:topLinePunct w:val="0"/>
        <w:bidi w:val="0"/>
        <w:textAlignment w:val="auto"/>
      </w:pPr>
    </w:p>
    <w:p>
      <w:pPr>
        <w:pStyle w:val="6"/>
        <w:pageBreakBefore w:val="0"/>
        <w:kinsoku/>
        <w:wordWrap/>
        <w:overflowPunct/>
        <w:topLinePunct w:val="0"/>
        <w:bidi w:val="0"/>
        <w:spacing w:beforeLines="0"/>
        <w:jc w:val="center"/>
        <w:textAlignment w:val="auto"/>
        <w:rPr>
          <w:rFonts w:ascii="Times New Roman" w:eastAsia="方正小标宋简体"/>
          <w:kern w:val="2"/>
          <w:sz w:val="44"/>
          <w:szCs w:val="44"/>
        </w:rPr>
      </w:pPr>
    </w:p>
    <w:p>
      <w:pPr>
        <w:pStyle w:val="6"/>
        <w:pageBreakBefore w:val="0"/>
        <w:kinsoku/>
        <w:wordWrap/>
        <w:overflowPunct/>
        <w:topLinePunct w:val="0"/>
        <w:bidi w:val="0"/>
        <w:spacing w:beforeLines="0"/>
        <w:jc w:val="center"/>
        <w:textAlignment w:val="auto"/>
        <w:rPr>
          <w:rFonts w:ascii="Times New Roman" w:eastAsia="方正小标宋简体"/>
          <w:kern w:val="2"/>
          <w:sz w:val="44"/>
          <w:szCs w:val="44"/>
        </w:rPr>
      </w:pPr>
    </w:p>
    <w:p>
      <w:pPr>
        <w:pStyle w:val="6"/>
        <w:pageBreakBefore w:val="0"/>
        <w:kinsoku/>
        <w:wordWrap/>
        <w:overflowPunct/>
        <w:topLinePunct w:val="0"/>
        <w:bidi w:val="0"/>
        <w:spacing w:beforeLines="0"/>
        <w:jc w:val="center"/>
        <w:textAlignment w:val="auto"/>
        <w:rPr>
          <w:rFonts w:ascii="Times New Roman" w:eastAsia="方正小标宋简体"/>
          <w:kern w:val="2"/>
          <w:sz w:val="44"/>
          <w:szCs w:val="44"/>
        </w:rPr>
      </w:pPr>
    </w:p>
    <w:p>
      <w:pPr>
        <w:pStyle w:val="6"/>
        <w:pageBreakBefore w:val="0"/>
        <w:kinsoku/>
        <w:wordWrap/>
        <w:overflowPunct/>
        <w:topLinePunct w:val="0"/>
        <w:bidi w:val="0"/>
        <w:spacing w:beforeLines="0"/>
        <w:jc w:val="center"/>
        <w:textAlignment w:val="auto"/>
        <w:rPr>
          <w:rFonts w:ascii="Times New Roman" w:eastAsia="方正小标宋简体"/>
          <w:kern w:val="2"/>
          <w:sz w:val="44"/>
          <w:szCs w:val="44"/>
        </w:rPr>
      </w:pPr>
    </w:p>
    <w:bookmarkEnd w:id="0"/>
    <w:bookmarkEnd w:id="1"/>
    <w:bookmarkEnd w:id="2"/>
    <w:bookmarkEnd w:id="3"/>
    <w:bookmarkEnd w:id="4"/>
    <w:bookmarkEnd w:id="5"/>
    <w:p>
      <w:pPr>
        <w:pageBreakBefore w:val="0"/>
        <w:kinsoku/>
        <w:wordWrap/>
        <w:overflowPunct/>
        <w:topLinePunct w:val="0"/>
        <w:bidi w:val="0"/>
        <w:adjustRightInd w:val="0"/>
        <w:snapToGrid w:val="0"/>
        <w:spacing w:line="360" w:lineRule="auto"/>
        <w:jc w:val="center"/>
        <w:textAlignment w:val="auto"/>
        <w:outlineLvl w:val="0"/>
        <w:rPr>
          <w:rFonts w:ascii="方正小标宋简体" w:hAnsi="方正小标宋简体" w:eastAsia="方正小标宋简体" w:cs="方正小标宋简体"/>
          <w:sz w:val="72"/>
          <w:szCs w:val="72"/>
        </w:rPr>
      </w:pPr>
      <w:bookmarkStart w:id="6" w:name="_Toc177568903"/>
      <w:r>
        <w:rPr>
          <w:rFonts w:hint="eastAsia" w:ascii="方正小标宋简体" w:hAnsi="方正小标宋简体" w:eastAsia="方正小标宋简体" w:cs="方正小标宋简体"/>
          <w:sz w:val="72"/>
          <w:szCs w:val="72"/>
        </w:rPr>
        <w:t>2024年度</w:t>
      </w:r>
      <w:bookmarkEnd w:id="6"/>
    </w:p>
    <w:p>
      <w:pPr>
        <w:pageBreakBefore w:val="0"/>
        <w:kinsoku/>
        <w:wordWrap/>
        <w:overflowPunct/>
        <w:topLinePunct w:val="0"/>
        <w:bidi w:val="0"/>
        <w:adjustRightInd w:val="0"/>
        <w:snapToGrid w:val="0"/>
        <w:spacing w:line="360" w:lineRule="auto"/>
        <w:jc w:val="center"/>
        <w:textAlignment w:val="auto"/>
        <w:outlineLvl w:val="0"/>
        <w:rPr>
          <w:rFonts w:ascii="方正小标宋简体" w:hAnsi="方正小标宋简体" w:eastAsia="方正小标宋简体" w:cs="方正小标宋简体"/>
          <w:sz w:val="72"/>
          <w:szCs w:val="72"/>
        </w:rPr>
      </w:pPr>
      <w:bookmarkStart w:id="7" w:name="_Toc177568904"/>
      <w:bookmarkStart w:id="8" w:name="_Toc15396598"/>
      <w:bookmarkStart w:id="9" w:name="_Toc15378442"/>
      <w:bookmarkStart w:id="10" w:name="_Toc15396476"/>
      <w:bookmarkStart w:id="11" w:name="_Toc15377426"/>
      <w:bookmarkStart w:id="12" w:name="_Toc15377194"/>
      <w:r>
        <w:rPr>
          <w:rFonts w:hint="eastAsia" w:ascii="方正小标宋简体" w:hAnsi="方正小标宋简体" w:eastAsia="方正小标宋简体" w:cs="方正小标宋简体"/>
          <w:sz w:val="72"/>
          <w:szCs w:val="72"/>
        </w:rPr>
        <w:t>四川省</w:t>
      </w:r>
      <w:bookmarkStart w:id="13" w:name="_Toc15306268"/>
      <w:r>
        <w:rPr>
          <w:rFonts w:hint="eastAsia" w:ascii="方正小标宋简体" w:hAnsi="方正小标宋简体" w:eastAsia="方正小标宋简体" w:cs="方正小标宋简体"/>
          <w:sz w:val="72"/>
          <w:szCs w:val="72"/>
        </w:rPr>
        <w:t>攀枝花市交通运输综合行政执法支队决算</w:t>
      </w:r>
      <w:bookmarkEnd w:id="7"/>
      <w:bookmarkEnd w:id="8"/>
      <w:bookmarkEnd w:id="9"/>
      <w:bookmarkEnd w:id="10"/>
      <w:bookmarkEnd w:id="11"/>
      <w:bookmarkEnd w:id="12"/>
      <w:bookmarkEnd w:id="13"/>
      <w:r>
        <w:t xml:space="preserve"> </w:t>
      </w:r>
    </w:p>
    <w:p>
      <w:pPr>
        <w:pageBreakBefore w:val="0"/>
        <w:widowControl/>
        <w:kinsoku/>
        <w:wordWrap/>
        <w:overflowPunct/>
        <w:topLinePunct w:val="0"/>
        <w:bidi w:val="0"/>
        <w:jc w:val="center"/>
        <w:textAlignment w:val="auto"/>
        <w:rPr>
          <w:rFonts w:eastAsia="黑体"/>
          <w:sz w:val="48"/>
          <w:szCs w:val="48"/>
        </w:rPr>
      </w:pPr>
      <w:r>
        <w:rPr>
          <w:rFonts w:eastAsia="方正小标宋简体"/>
          <w:sz w:val="36"/>
          <w:szCs w:val="36"/>
        </w:rPr>
        <w:br w:type="page"/>
      </w:r>
      <w:r>
        <w:rPr>
          <w:rFonts w:hint="eastAsia" w:eastAsia="黑体"/>
          <w:sz w:val="48"/>
          <w:szCs w:val="48"/>
        </w:rPr>
        <w:t>目录</w:t>
      </w:r>
    </w:p>
    <w:p>
      <w:pPr>
        <w:pageBreakBefore w:val="0"/>
        <w:widowControl/>
        <w:kinsoku/>
        <w:wordWrap/>
        <w:overflowPunct/>
        <w:topLinePunct w:val="0"/>
        <w:bidi w:val="0"/>
        <w:jc w:val="center"/>
        <w:textAlignment w:val="auto"/>
        <w:rPr>
          <w:rFonts w:eastAsia="黑体" w:cstheme="minorBidi"/>
          <w:sz w:val="28"/>
          <w:szCs w:val="28"/>
        </w:rPr>
      </w:pPr>
    </w:p>
    <w:p>
      <w:pPr>
        <w:pStyle w:val="13"/>
        <w:pageBreakBefore w:val="0"/>
        <w:kinsoku/>
        <w:wordWrap/>
        <w:overflowPunct/>
        <w:topLinePunct w:val="0"/>
        <w:bidi w:val="0"/>
        <w:spacing w:before="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公开时间：202</w:t>
      </w:r>
      <w:r>
        <w:rPr>
          <w:rFonts w:hint="eastAsia" w:ascii="Times New Roman" w:hAnsi="Times New Roman" w:eastAsia="仿宋_GB2312" w:cs="仿宋_GB2312"/>
          <w:sz w:val="32"/>
          <w:szCs w:val="32"/>
          <w:lang w:val="en-US" w:eastAsia="zh-CN"/>
        </w:rPr>
        <w:t>5</w:t>
      </w:r>
      <w:bookmarkStart w:id="70" w:name="_GoBack"/>
      <w:bookmarkEnd w:id="70"/>
      <w:r>
        <w:rPr>
          <w:rFonts w:hint="eastAsia" w:ascii="Times New Roman" w:hAnsi="Times New Roman" w:eastAsia="仿宋_GB2312" w:cs="仿宋_GB2312"/>
          <w:sz w:val="32"/>
          <w:szCs w:val="32"/>
        </w:rPr>
        <w:t>年</w:t>
      </w:r>
      <w:r>
        <w:rPr>
          <w:rFonts w:hint="eastAsia" w:ascii="Times New Roman" w:hAnsi="Times New Roman" w:eastAsia="仿宋_GB2312" w:cs="仿宋_GB2312"/>
          <w:sz w:val="32"/>
          <w:szCs w:val="32"/>
          <w:lang w:val="en-US" w:eastAsia="zh-CN"/>
        </w:rPr>
        <w:t>9</w:t>
      </w:r>
      <w:r>
        <w:rPr>
          <w:rFonts w:hint="eastAsia" w:ascii="Times New Roman" w:hAnsi="Times New Roman" w:eastAsia="仿宋_GB2312" w:cs="仿宋_GB2312"/>
          <w:sz w:val="32"/>
          <w:szCs w:val="32"/>
        </w:rPr>
        <w:t>月</w:t>
      </w:r>
      <w:r>
        <w:rPr>
          <w:rFonts w:hint="eastAsia" w:ascii="Times New Roman" w:hAnsi="Times New Roman" w:eastAsia="仿宋_GB2312" w:cs="仿宋_GB2312"/>
          <w:sz w:val="32"/>
          <w:szCs w:val="32"/>
          <w:lang w:val="en-US" w:eastAsia="zh-CN"/>
        </w:rPr>
        <w:t>12</w:t>
      </w:r>
      <w:r>
        <w:rPr>
          <w:rFonts w:hint="eastAsia" w:ascii="Times New Roman" w:hAnsi="Times New Roman" w:eastAsia="仿宋_GB2312" w:cs="仿宋_GB2312"/>
          <w:sz w:val="32"/>
          <w:szCs w:val="32"/>
        </w:rPr>
        <w:t>日</w:t>
      </w:r>
    </w:p>
    <w:p>
      <w:pPr>
        <w:pageBreakBefore w:val="0"/>
        <w:kinsoku/>
        <w:wordWrap/>
        <w:overflowPunct/>
        <w:topLinePunct w:val="0"/>
        <w:bidi w:val="0"/>
        <w:textAlignment w:val="auto"/>
      </w:pPr>
    </w:p>
    <w:p>
      <w:pPr>
        <w:pStyle w:val="13"/>
        <w:pageBreakBefore w:val="0"/>
        <w:kinsoku/>
        <w:wordWrap/>
        <w:overflowPunct/>
        <w:topLinePunct w:val="0"/>
        <w:bidi w:val="0"/>
        <w:adjustRightInd w:val="0"/>
        <w:snapToGrid w:val="0"/>
        <w:spacing w:before="0" w:line="560" w:lineRule="exact"/>
        <w:jc w:val="left"/>
        <w:textAlignment w:val="auto"/>
        <w:rPr>
          <w:rFonts w:ascii="Times New Roman" w:hAnsi="Times New Roman" w:eastAsia="黑体" w:cs="黑体"/>
          <w:sz w:val="32"/>
          <w:szCs w:val="32"/>
        </w:rPr>
      </w:pPr>
      <w:r>
        <w:rPr>
          <w:rFonts w:hint="eastAsia" w:ascii="Times New Roman" w:hAnsi="Times New Roman" w:eastAsia="黑体" w:cs="黑体"/>
          <w:sz w:val="32"/>
          <w:szCs w:val="32"/>
        </w:rPr>
        <w:t>第一部分 部门概况</w:t>
      </w:r>
    </w:p>
    <w:p>
      <w:pPr>
        <w:pStyle w:val="15"/>
        <w:pageBreakBefore w:val="0"/>
        <w:kinsoku/>
        <w:wordWrap/>
        <w:overflowPunct/>
        <w:topLinePunct w:val="0"/>
        <w:bidi w:val="0"/>
        <w:adjustRightInd w:val="0"/>
        <w:snapToGrid w:val="0"/>
        <w:spacing w:line="560" w:lineRule="exact"/>
        <w:ind w:left="0" w:leftChars="0" w:firstLine="640" w:firstLineChars="200"/>
        <w:jc w:val="left"/>
        <w:textAlignment w:val="auto"/>
        <w:rPr>
          <w:rFonts w:hint="default" w:eastAsia="仿宋_GB2312" w:cs="仿宋_GB2312"/>
          <w:sz w:val="32"/>
          <w:szCs w:val="32"/>
          <w:lang w:val="en-US" w:eastAsia="zh-CN"/>
        </w:rPr>
      </w:pPr>
      <w:r>
        <w:rPr>
          <w:rFonts w:hint="eastAsia" w:eastAsia="仿宋_GB2312" w:cs="仿宋_GB2312"/>
          <w:sz w:val="32"/>
          <w:szCs w:val="32"/>
        </w:rPr>
        <w:t>一、部门职责</w:t>
      </w:r>
      <w:r>
        <w:rPr>
          <w:rFonts w:hint="eastAsia" w:eastAsia="仿宋_GB2312" w:cs="仿宋_GB2312"/>
          <w:sz w:val="32"/>
          <w:szCs w:val="32"/>
          <w:lang w:val="en-US" w:eastAsia="zh-CN"/>
        </w:rPr>
        <w:t xml:space="preserve"> .....................................................................4</w:t>
      </w:r>
    </w:p>
    <w:p>
      <w:pPr>
        <w:pStyle w:val="15"/>
        <w:pageBreakBefore w:val="0"/>
        <w:kinsoku/>
        <w:wordWrap/>
        <w:overflowPunct/>
        <w:topLinePunct w:val="0"/>
        <w:bidi w:val="0"/>
        <w:adjustRightInd w:val="0"/>
        <w:snapToGrid w:val="0"/>
        <w:spacing w:line="560" w:lineRule="exact"/>
        <w:ind w:left="0" w:leftChars="0" w:firstLine="640" w:firstLineChars="200"/>
        <w:jc w:val="left"/>
        <w:textAlignment w:val="auto"/>
        <w:rPr>
          <w:rFonts w:hint="default" w:eastAsia="仿宋_GB2312" w:cs="仿宋_GB2312"/>
          <w:sz w:val="32"/>
          <w:szCs w:val="32"/>
          <w:lang w:val="en-US" w:eastAsia="zh-CN"/>
        </w:rPr>
      </w:pPr>
      <w:r>
        <w:rPr>
          <w:rFonts w:hint="eastAsia" w:eastAsia="仿宋_GB2312" w:cs="仿宋_GB2312"/>
          <w:sz w:val="32"/>
          <w:szCs w:val="32"/>
        </w:rPr>
        <w:t>二、机构设置</w:t>
      </w:r>
      <w:r>
        <w:rPr>
          <w:rFonts w:hint="eastAsia" w:eastAsia="仿宋_GB2312" w:cs="仿宋_GB2312"/>
          <w:sz w:val="32"/>
          <w:szCs w:val="32"/>
          <w:lang w:val="en-US" w:eastAsia="zh-CN"/>
        </w:rPr>
        <w:t xml:space="preserve"> .....................................................................4</w:t>
      </w:r>
    </w:p>
    <w:p>
      <w:pPr>
        <w:pStyle w:val="13"/>
        <w:pageBreakBefore w:val="0"/>
        <w:kinsoku/>
        <w:wordWrap/>
        <w:overflowPunct/>
        <w:topLinePunct w:val="0"/>
        <w:bidi w:val="0"/>
        <w:adjustRightInd w:val="0"/>
        <w:snapToGrid w:val="0"/>
        <w:spacing w:before="0" w:line="560" w:lineRule="exact"/>
        <w:jc w:val="left"/>
        <w:textAlignment w:val="auto"/>
        <w:rPr>
          <w:rFonts w:ascii="Times New Roman" w:hAnsi="Times New Roman" w:eastAsia="黑体" w:cs="黑体"/>
          <w:sz w:val="32"/>
          <w:szCs w:val="32"/>
        </w:rPr>
      </w:pPr>
      <w:r>
        <w:rPr>
          <w:rFonts w:hint="eastAsia" w:ascii="Times New Roman" w:hAnsi="Times New Roman" w:eastAsia="黑体" w:cs="黑体"/>
          <w:sz w:val="32"/>
          <w:szCs w:val="32"/>
        </w:rPr>
        <w:t>第二部分 2024年度部门决算情况说明</w:t>
      </w:r>
    </w:p>
    <w:p>
      <w:pPr>
        <w:pStyle w:val="15"/>
        <w:pageBreakBefore w:val="0"/>
        <w:kinsoku/>
        <w:wordWrap/>
        <w:overflowPunct/>
        <w:topLinePunct w:val="0"/>
        <w:bidi w:val="0"/>
        <w:adjustRightInd w:val="0"/>
        <w:snapToGrid w:val="0"/>
        <w:spacing w:line="560" w:lineRule="exact"/>
        <w:ind w:left="0" w:leftChars="0" w:firstLine="640" w:firstLineChars="200"/>
        <w:jc w:val="left"/>
        <w:textAlignment w:val="auto"/>
        <w:rPr>
          <w:rFonts w:hint="default" w:eastAsia="仿宋_GB2312" w:cs="仿宋_GB2312"/>
          <w:sz w:val="32"/>
          <w:szCs w:val="32"/>
          <w:lang w:val="en-US" w:eastAsia="zh-CN"/>
        </w:rPr>
      </w:pPr>
      <w:r>
        <w:rPr>
          <w:rFonts w:hint="eastAsia" w:eastAsia="仿宋_GB2312" w:cs="仿宋_GB2312"/>
          <w:sz w:val="32"/>
          <w:szCs w:val="32"/>
        </w:rPr>
        <w:t>一、收入支出决算总体情况说明</w:t>
      </w:r>
      <w:r>
        <w:rPr>
          <w:rFonts w:hint="eastAsia" w:eastAsia="仿宋_GB2312" w:cs="仿宋_GB2312"/>
          <w:sz w:val="32"/>
          <w:szCs w:val="32"/>
          <w:lang w:val="en-US" w:eastAsia="zh-CN"/>
        </w:rPr>
        <w:t>.......................................5</w:t>
      </w:r>
    </w:p>
    <w:p>
      <w:pPr>
        <w:pStyle w:val="15"/>
        <w:pageBreakBefore w:val="0"/>
        <w:kinsoku/>
        <w:wordWrap/>
        <w:overflowPunct/>
        <w:topLinePunct w:val="0"/>
        <w:bidi w:val="0"/>
        <w:adjustRightInd w:val="0"/>
        <w:snapToGrid w:val="0"/>
        <w:spacing w:line="560" w:lineRule="exact"/>
        <w:ind w:left="0" w:leftChars="0" w:firstLine="640" w:firstLineChars="200"/>
        <w:jc w:val="left"/>
        <w:textAlignment w:val="auto"/>
        <w:rPr>
          <w:rFonts w:hint="default" w:eastAsia="仿宋_GB2312" w:cs="仿宋_GB2312"/>
          <w:sz w:val="32"/>
          <w:szCs w:val="32"/>
          <w:lang w:val="en-US" w:eastAsia="zh-CN"/>
        </w:rPr>
      </w:pPr>
      <w:r>
        <w:rPr>
          <w:rFonts w:hint="eastAsia" w:eastAsia="仿宋_GB2312" w:cs="仿宋_GB2312"/>
          <w:sz w:val="32"/>
          <w:szCs w:val="32"/>
        </w:rPr>
        <w:t>二、收入决算情况说明</w:t>
      </w:r>
      <w:r>
        <w:rPr>
          <w:rFonts w:hint="eastAsia" w:eastAsia="仿宋_GB2312" w:cs="仿宋_GB2312"/>
          <w:sz w:val="32"/>
          <w:szCs w:val="32"/>
          <w:lang w:val="en-US" w:eastAsia="zh-CN"/>
        </w:rPr>
        <w:t>.......................................................6</w:t>
      </w:r>
    </w:p>
    <w:p>
      <w:pPr>
        <w:pStyle w:val="15"/>
        <w:pageBreakBefore w:val="0"/>
        <w:kinsoku/>
        <w:wordWrap/>
        <w:overflowPunct/>
        <w:topLinePunct w:val="0"/>
        <w:bidi w:val="0"/>
        <w:adjustRightInd w:val="0"/>
        <w:snapToGrid w:val="0"/>
        <w:spacing w:line="560" w:lineRule="exact"/>
        <w:ind w:left="0" w:leftChars="0" w:firstLine="640" w:firstLineChars="200"/>
        <w:jc w:val="left"/>
        <w:textAlignment w:val="auto"/>
        <w:rPr>
          <w:rFonts w:hint="default" w:eastAsia="仿宋_GB2312" w:cs="仿宋_GB2312"/>
          <w:sz w:val="32"/>
          <w:szCs w:val="32"/>
          <w:lang w:val="en-US" w:eastAsia="zh-CN"/>
        </w:rPr>
      </w:pPr>
      <w:r>
        <w:rPr>
          <w:rFonts w:hint="eastAsia" w:eastAsia="仿宋_GB2312" w:cs="仿宋_GB2312"/>
          <w:sz w:val="32"/>
          <w:szCs w:val="32"/>
        </w:rPr>
        <w:t>三、支出决算情况说明</w:t>
      </w:r>
      <w:r>
        <w:rPr>
          <w:rFonts w:hint="eastAsia" w:eastAsia="仿宋_GB2312" w:cs="仿宋_GB2312"/>
          <w:sz w:val="32"/>
          <w:szCs w:val="32"/>
          <w:lang w:val="en-US" w:eastAsia="zh-CN"/>
        </w:rPr>
        <w:t>.......................................................6</w:t>
      </w:r>
    </w:p>
    <w:p>
      <w:pPr>
        <w:pStyle w:val="15"/>
        <w:pageBreakBefore w:val="0"/>
        <w:kinsoku/>
        <w:wordWrap/>
        <w:overflowPunct/>
        <w:topLinePunct w:val="0"/>
        <w:bidi w:val="0"/>
        <w:adjustRightInd w:val="0"/>
        <w:snapToGrid w:val="0"/>
        <w:spacing w:line="560" w:lineRule="exact"/>
        <w:ind w:left="0" w:leftChars="0" w:firstLine="640" w:firstLineChars="200"/>
        <w:jc w:val="left"/>
        <w:textAlignment w:val="auto"/>
        <w:rPr>
          <w:rFonts w:hint="default" w:eastAsia="仿宋_GB2312" w:cs="仿宋_GB2312"/>
          <w:sz w:val="32"/>
          <w:szCs w:val="32"/>
          <w:lang w:val="en-US" w:eastAsia="zh-CN"/>
        </w:rPr>
      </w:pPr>
      <w:r>
        <w:rPr>
          <w:rFonts w:hint="eastAsia" w:eastAsia="仿宋_GB2312" w:cs="仿宋_GB2312"/>
          <w:sz w:val="32"/>
          <w:szCs w:val="32"/>
        </w:rPr>
        <w:t>四、财政拨款收入支出决算总体情况说明</w:t>
      </w:r>
      <w:r>
        <w:rPr>
          <w:rFonts w:hint="eastAsia" w:eastAsia="仿宋_GB2312" w:cs="仿宋_GB2312"/>
          <w:sz w:val="32"/>
          <w:szCs w:val="32"/>
          <w:lang w:val="en-US" w:eastAsia="zh-CN"/>
        </w:rPr>
        <w:t>.......................7</w:t>
      </w:r>
    </w:p>
    <w:p>
      <w:pPr>
        <w:pStyle w:val="15"/>
        <w:pageBreakBefore w:val="0"/>
        <w:kinsoku/>
        <w:wordWrap/>
        <w:overflowPunct/>
        <w:topLinePunct w:val="0"/>
        <w:bidi w:val="0"/>
        <w:adjustRightInd w:val="0"/>
        <w:snapToGrid w:val="0"/>
        <w:spacing w:line="560" w:lineRule="exact"/>
        <w:ind w:left="0" w:leftChars="0" w:firstLine="640" w:firstLineChars="200"/>
        <w:jc w:val="left"/>
        <w:textAlignment w:val="auto"/>
        <w:rPr>
          <w:rFonts w:hint="default" w:eastAsia="仿宋_GB2312" w:cs="仿宋_GB2312"/>
          <w:sz w:val="32"/>
          <w:szCs w:val="32"/>
          <w:lang w:val="en-US" w:eastAsia="zh-CN"/>
        </w:rPr>
      </w:pPr>
      <w:r>
        <w:rPr>
          <w:rFonts w:hint="eastAsia" w:eastAsia="仿宋_GB2312" w:cs="仿宋_GB2312"/>
          <w:sz w:val="32"/>
          <w:szCs w:val="32"/>
        </w:rPr>
        <w:t>五、一般公共预算财政拨款支出决算情况说明</w:t>
      </w:r>
      <w:r>
        <w:rPr>
          <w:rFonts w:hint="eastAsia" w:eastAsia="仿宋_GB2312" w:cs="仿宋_GB2312"/>
          <w:sz w:val="32"/>
          <w:szCs w:val="32"/>
          <w:lang w:val="en-US" w:eastAsia="zh-CN"/>
        </w:rPr>
        <w:t>...............8</w:t>
      </w:r>
    </w:p>
    <w:p>
      <w:pPr>
        <w:pStyle w:val="15"/>
        <w:pageBreakBefore w:val="0"/>
        <w:kinsoku/>
        <w:wordWrap/>
        <w:overflowPunct/>
        <w:topLinePunct w:val="0"/>
        <w:bidi w:val="0"/>
        <w:adjustRightInd w:val="0"/>
        <w:snapToGrid w:val="0"/>
        <w:spacing w:line="560" w:lineRule="exact"/>
        <w:ind w:left="0" w:leftChars="0" w:firstLine="640" w:firstLineChars="200"/>
        <w:jc w:val="left"/>
        <w:textAlignment w:val="auto"/>
        <w:rPr>
          <w:rFonts w:hint="default" w:eastAsia="仿宋_GB2312" w:cs="仿宋_GB2312"/>
          <w:sz w:val="32"/>
          <w:szCs w:val="32"/>
          <w:lang w:val="en-US" w:eastAsia="zh-CN"/>
        </w:rPr>
      </w:pPr>
      <w:r>
        <w:rPr>
          <w:rFonts w:hint="eastAsia" w:eastAsia="仿宋_GB2312" w:cs="仿宋_GB2312"/>
          <w:sz w:val="32"/>
          <w:szCs w:val="32"/>
        </w:rPr>
        <w:t>六、一般公共预算财政拨款基本支出决算情况说明</w:t>
      </w:r>
      <w:r>
        <w:rPr>
          <w:rFonts w:hint="eastAsia" w:eastAsia="仿宋_GB2312" w:cs="仿宋_GB2312"/>
          <w:sz w:val="32"/>
          <w:szCs w:val="32"/>
          <w:lang w:val="en-US" w:eastAsia="zh-CN"/>
        </w:rPr>
        <w:t>........10</w:t>
      </w:r>
    </w:p>
    <w:p>
      <w:pPr>
        <w:pStyle w:val="15"/>
        <w:pageBreakBefore w:val="0"/>
        <w:kinsoku/>
        <w:wordWrap/>
        <w:overflowPunct/>
        <w:topLinePunct w:val="0"/>
        <w:bidi w:val="0"/>
        <w:adjustRightInd w:val="0"/>
        <w:snapToGrid w:val="0"/>
        <w:spacing w:line="560" w:lineRule="exact"/>
        <w:ind w:left="0" w:leftChars="0" w:firstLine="640" w:firstLineChars="200"/>
        <w:jc w:val="left"/>
        <w:textAlignment w:val="auto"/>
        <w:rPr>
          <w:rFonts w:hint="default" w:eastAsia="仿宋_GB2312" w:cs="仿宋_GB2312"/>
          <w:sz w:val="32"/>
          <w:szCs w:val="32"/>
          <w:lang w:val="en-US" w:eastAsia="zh-CN"/>
        </w:rPr>
      </w:pPr>
      <w:r>
        <w:rPr>
          <w:rFonts w:hint="eastAsia" w:eastAsia="仿宋_GB2312" w:cs="仿宋_GB2312"/>
          <w:sz w:val="32"/>
          <w:szCs w:val="32"/>
        </w:rPr>
        <w:t>七、财政拨款“三公”经费支出决算情况说明</w:t>
      </w:r>
      <w:r>
        <w:rPr>
          <w:rFonts w:hint="eastAsia" w:eastAsia="仿宋_GB2312" w:cs="仿宋_GB2312"/>
          <w:sz w:val="32"/>
          <w:szCs w:val="32"/>
          <w:lang w:val="en-US" w:eastAsia="zh-CN"/>
        </w:rPr>
        <w:t>...............11</w:t>
      </w:r>
    </w:p>
    <w:p>
      <w:pPr>
        <w:pStyle w:val="15"/>
        <w:pageBreakBefore w:val="0"/>
        <w:kinsoku/>
        <w:wordWrap/>
        <w:overflowPunct/>
        <w:topLinePunct w:val="0"/>
        <w:bidi w:val="0"/>
        <w:adjustRightInd w:val="0"/>
        <w:snapToGrid w:val="0"/>
        <w:spacing w:line="560" w:lineRule="exact"/>
        <w:ind w:left="0" w:leftChars="0" w:firstLine="640" w:firstLineChars="200"/>
        <w:jc w:val="left"/>
        <w:textAlignment w:val="auto"/>
        <w:rPr>
          <w:rFonts w:hint="default" w:eastAsia="仿宋_GB2312" w:cs="仿宋_GB2312"/>
          <w:sz w:val="32"/>
          <w:szCs w:val="32"/>
          <w:lang w:val="en-US" w:eastAsia="zh-CN"/>
        </w:rPr>
      </w:pPr>
      <w:r>
        <w:rPr>
          <w:rFonts w:hint="eastAsia" w:eastAsia="仿宋_GB2312" w:cs="仿宋_GB2312"/>
          <w:sz w:val="32"/>
          <w:szCs w:val="32"/>
        </w:rPr>
        <w:t>八、政府性基金预算支出决算情况说明</w:t>
      </w:r>
      <w:r>
        <w:rPr>
          <w:rFonts w:hint="eastAsia" w:eastAsia="仿宋_GB2312" w:cs="仿宋_GB2312"/>
          <w:sz w:val="32"/>
          <w:szCs w:val="32"/>
          <w:lang w:val="en-US" w:eastAsia="zh-CN"/>
        </w:rPr>
        <w:t>...........................13</w:t>
      </w:r>
    </w:p>
    <w:p>
      <w:pPr>
        <w:pStyle w:val="15"/>
        <w:pageBreakBefore w:val="0"/>
        <w:kinsoku/>
        <w:wordWrap/>
        <w:overflowPunct/>
        <w:topLinePunct w:val="0"/>
        <w:bidi w:val="0"/>
        <w:adjustRightInd w:val="0"/>
        <w:snapToGrid w:val="0"/>
        <w:spacing w:line="560" w:lineRule="exact"/>
        <w:ind w:left="0" w:leftChars="0" w:firstLine="640" w:firstLineChars="200"/>
        <w:jc w:val="left"/>
        <w:textAlignment w:val="auto"/>
        <w:rPr>
          <w:rFonts w:hint="default" w:eastAsia="仿宋_GB2312" w:cs="仿宋_GB2312"/>
          <w:sz w:val="32"/>
          <w:szCs w:val="32"/>
          <w:lang w:val="en-US" w:eastAsia="zh-CN"/>
        </w:rPr>
      </w:pPr>
      <w:r>
        <w:rPr>
          <w:rFonts w:hint="eastAsia" w:eastAsia="仿宋_GB2312" w:cs="仿宋_GB2312"/>
          <w:sz w:val="32"/>
          <w:szCs w:val="32"/>
        </w:rPr>
        <w:t>九、国有资本经营预算支出决算情况说明</w:t>
      </w:r>
      <w:r>
        <w:rPr>
          <w:rFonts w:hint="eastAsia" w:eastAsia="仿宋_GB2312" w:cs="仿宋_GB2312"/>
          <w:sz w:val="32"/>
          <w:szCs w:val="32"/>
          <w:lang w:val="en-US" w:eastAsia="zh-CN"/>
        </w:rPr>
        <w:t>.......................13</w:t>
      </w:r>
    </w:p>
    <w:p>
      <w:pPr>
        <w:pStyle w:val="15"/>
        <w:pageBreakBefore w:val="0"/>
        <w:kinsoku/>
        <w:wordWrap/>
        <w:overflowPunct/>
        <w:topLinePunct w:val="0"/>
        <w:bidi w:val="0"/>
        <w:adjustRightInd w:val="0"/>
        <w:snapToGrid w:val="0"/>
        <w:spacing w:line="560" w:lineRule="exact"/>
        <w:ind w:left="0" w:leftChars="0" w:firstLine="640" w:firstLineChars="200"/>
        <w:jc w:val="left"/>
        <w:textAlignment w:val="auto"/>
        <w:rPr>
          <w:rFonts w:hint="default" w:eastAsia="仿宋_GB2312" w:cs="仿宋_GB2312"/>
          <w:sz w:val="32"/>
          <w:szCs w:val="32"/>
          <w:lang w:val="en-US" w:eastAsia="zh-CN"/>
        </w:rPr>
      </w:pPr>
      <w:r>
        <w:rPr>
          <w:rFonts w:hint="eastAsia" w:eastAsia="仿宋_GB2312" w:cs="仿宋_GB2312"/>
          <w:sz w:val="32"/>
          <w:szCs w:val="32"/>
        </w:rPr>
        <w:t>十、其他重要事项的情况说明</w:t>
      </w:r>
      <w:r>
        <w:rPr>
          <w:rFonts w:hint="eastAsia" w:eastAsia="仿宋_GB2312" w:cs="仿宋_GB2312"/>
          <w:sz w:val="32"/>
          <w:szCs w:val="32"/>
          <w:lang w:val="en-US" w:eastAsia="zh-CN"/>
        </w:rPr>
        <w:t>...........................................13</w:t>
      </w:r>
    </w:p>
    <w:p>
      <w:pPr>
        <w:pStyle w:val="13"/>
        <w:pageBreakBefore w:val="0"/>
        <w:kinsoku/>
        <w:wordWrap/>
        <w:overflowPunct/>
        <w:topLinePunct w:val="0"/>
        <w:bidi w:val="0"/>
        <w:adjustRightInd w:val="0"/>
        <w:snapToGrid w:val="0"/>
        <w:spacing w:before="0" w:line="560" w:lineRule="exact"/>
        <w:jc w:val="left"/>
        <w:textAlignment w:val="auto"/>
        <w:rPr>
          <w:rFonts w:hint="default" w:ascii="Times New Roman" w:hAnsi="Times New Roman" w:eastAsia="黑体" w:cs="黑体"/>
          <w:sz w:val="32"/>
          <w:szCs w:val="32"/>
          <w:lang w:val="en-US" w:eastAsia="zh-CN"/>
        </w:rPr>
      </w:pPr>
      <w:r>
        <w:rPr>
          <w:rFonts w:hint="eastAsia" w:ascii="Times New Roman" w:hAnsi="Times New Roman" w:eastAsia="黑体" w:cs="黑体"/>
          <w:sz w:val="32"/>
          <w:szCs w:val="32"/>
        </w:rPr>
        <w:t>第三部分 名词解释</w:t>
      </w:r>
      <w:r>
        <w:rPr>
          <w:rFonts w:hint="eastAsia" w:ascii="Times New Roman" w:hAnsi="Times New Roman" w:eastAsia="黑体" w:cs="黑体"/>
          <w:sz w:val="32"/>
          <w:szCs w:val="32"/>
          <w:lang w:val="en-US" w:eastAsia="zh-CN"/>
        </w:rPr>
        <w:t>....................................................................15</w:t>
      </w:r>
    </w:p>
    <w:p>
      <w:pPr>
        <w:pStyle w:val="13"/>
        <w:pageBreakBefore w:val="0"/>
        <w:kinsoku/>
        <w:wordWrap/>
        <w:overflowPunct/>
        <w:topLinePunct w:val="0"/>
        <w:bidi w:val="0"/>
        <w:adjustRightInd w:val="0"/>
        <w:snapToGrid w:val="0"/>
        <w:spacing w:before="0" w:line="560" w:lineRule="exact"/>
        <w:jc w:val="left"/>
        <w:textAlignment w:val="auto"/>
        <w:rPr>
          <w:rFonts w:hint="default" w:ascii="Times New Roman" w:hAnsi="Times New Roman" w:eastAsia="黑体" w:cs="黑体"/>
          <w:sz w:val="32"/>
          <w:szCs w:val="32"/>
          <w:lang w:val="en-US" w:eastAsia="zh-CN"/>
        </w:rPr>
      </w:pPr>
      <w:r>
        <w:rPr>
          <w:rFonts w:hint="eastAsia" w:ascii="Times New Roman" w:hAnsi="Times New Roman" w:eastAsia="黑体" w:cs="黑体"/>
          <w:sz w:val="32"/>
          <w:szCs w:val="32"/>
        </w:rPr>
        <w:t>第四部分 附件</w:t>
      </w:r>
      <w:r>
        <w:rPr>
          <w:rFonts w:hint="eastAsia" w:ascii="Times New Roman" w:hAnsi="Times New Roman" w:eastAsia="黑体" w:cs="黑体"/>
          <w:sz w:val="32"/>
          <w:szCs w:val="32"/>
          <w:lang w:val="en-US" w:eastAsia="zh-CN"/>
        </w:rPr>
        <w:t>............................................................................18</w:t>
      </w:r>
    </w:p>
    <w:p>
      <w:pPr>
        <w:pStyle w:val="13"/>
        <w:pageBreakBefore w:val="0"/>
        <w:kinsoku/>
        <w:wordWrap/>
        <w:overflowPunct/>
        <w:topLinePunct w:val="0"/>
        <w:bidi w:val="0"/>
        <w:adjustRightInd w:val="0"/>
        <w:snapToGrid w:val="0"/>
        <w:spacing w:before="0" w:line="560" w:lineRule="exact"/>
        <w:jc w:val="left"/>
        <w:textAlignment w:val="auto"/>
        <w:rPr>
          <w:rFonts w:hint="default" w:ascii="Times New Roman" w:hAnsi="Times New Roman" w:eastAsia="黑体" w:cs="黑体"/>
          <w:sz w:val="32"/>
          <w:szCs w:val="32"/>
          <w:lang w:val="en-US" w:eastAsia="zh-CN"/>
        </w:rPr>
      </w:pPr>
      <w:r>
        <w:rPr>
          <w:rFonts w:hint="eastAsia" w:ascii="Times New Roman" w:hAnsi="Times New Roman" w:eastAsia="黑体" w:cs="黑体"/>
          <w:sz w:val="32"/>
          <w:szCs w:val="32"/>
        </w:rPr>
        <w:t>第五部分 附表</w:t>
      </w:r>
      <w:r>
        <w:rPr>
          <w:rFonts w:hint="eastAsia" w:ascii="Times New Roman" w:hAnsi="Times New Roman" w:eastAsia="黑体" w:cs="黑体"/>
          <w:sz w:val="32"/>
          <w:szCs w:val="32"/>
          <w:lang w:val="en-US" w:eastAsia="zh-CN"/>
        </w:rPr>
        <w:t>............................................................................19</w:t>
      </w:r>
    </w:p>
    <w:p>
      <w:pPr>
        <w:pStyle w:val="15"/>
        <w:pageBreakBefore w:val="0"/>
        <w:kinsoku/>
        <w:wordWrap/>
        <w:overflowPunct/>
        <w:topLinePunct w:val="0"/>
        <w:bidi w:val="0"/>
        <w:adjustRightInd w:val="0"/>
        <w:snapToGrid w:val="0"/>
        <w:spacing w:line="560" w:lineRule="exact"/>
        <w:ind w:left="0" w:leftChars="0" w:firstLine="640" w:firstLineChars="200"/>
        <w:jc w:val="left"/>
        <w:textAlignment w:val="auto"/>
        <w:rPr>
          <w:rFonts w:hint="default" w:eastAsia="仿宋_GB2312" w:cs="仿宋_GB2312"/>
          <w:sz w:val="32"/>
          <w:szCs w:val="32"/>
          <w:lang w:val="en-US" w:eastAsia="zh-CN"/>
        </w:rPr>
      </w:pPr>
      <w:r>
        <w:rPr>
          <w:rFonts w:hint="eastAsia" w:eastAsia="仿宋_GB2312" w:cs="仿宋_GB2312"/>
          <w:sz w:val="32"/>
          <w:szCs w:val="32"/>
        </w:rPr>
        <w:t>一、收入支出决算总表</w:t>
      </w:r>
      <w:r>
        <w:rPr>
          <w:rFonts w:hint="eastAsia" w:eastAsia="仿宋_GB2312" w:cs="仿宋_GB2312"/>
          <w:sz w:val="32"/>
          <w:szCs w:val="32"/>
          <w:lang w:val="en-US" w:eastAsia="zh-CN"/>
        </w:rPr>
        <w:t>.......................................................19</w:t>
      </w:r>
    </w:p>
    <w:p>
      <w:pPr>
        <w:pStyle w:val="15"/>
        <w:pageBreakBefore w:val="0"/>
        <w:kinsoku/>
        <w:wordWrap/>
        <w:overflowPunct/>
        <w:topLinePunct w:val="0"/>
        <w:bidi w:val="0"/>
        <w:adjustRightInd w:val="0"/>
        <w:snapToGrid w:val="0"/>
        <w:spacing w:line="560" w:lineRule="exact"/>
        <w:ind w:left="0" w:leftChars="0" w:firstLine="640" w:firstLineChars="200"/>
        <w:jc w:val="left"/>
        <w:textAlignment w:val="auto"/>
        <w:rPr>
          <w:rFonts w:hint="default" w:eastAsia="仿宋_GB2312" w:cs="仿宋_GB2312"/>
          <w:sz w:val="32"/>
          <w:szCs w:val="32"/>
          <w:lang w:val="en-US" w:eastAsia="zh-CN"/>
        </w:rPr>
      </w:pPr>
      <w:r>
        <w:rPr>
          <w:rFonts w:hint="eastAsia" w:eastAsia="仿宋_GB2312" w:cs="仿宋_GB2312"/>
          <w:sz w:val="32"/>
          <w:szCs w:val="32"/>
        </w:rPr>
        <w:t>二、收入决算表</w:t>
      </w:r>
      <w:r>
        <w:rPr>
          <w:rFonts w:hint="eastAsia" w:eastAsia="仿宋_GB2312" w:cs="仿宋_GB2312"/>
          <w:sz w:val="32"/>
          <w:szCs w:val="32"/>
          <w:lang w:val="en-US" w:eastAsia="zh-CN"/>
        </w:rPr>
        <w:t>................................................................19</w:t>
      </w:r>
    </w:p>
    <w:p>
      <w:pPr>
        <w:pStyle w:val="15"/>
        <w:pageBreakBefore w:val="0"/>
        <w:kinsoku/>
        <w:wordWrap/>
        <w:overflowPunct/>
        <w:topLinePunct w:val="0"/>
        <w:bidi w:val="0"/>
        <w:adjustRightInd w:val="0"/>
        <w:snapToGrid w:val="0"/>
        <w:spacing w:line="560" w:lineRule="exact"/>
        <w:ind w:left="0" w:leftChars="0" w:firstLine="640" w:firstLineChars="200"/>
        <w:jc w:val="left"/>
        <w:textAlignment w:val="auto"/>
        <w:rPr>
          <w:rFonts w:hint="default" w:eastAsia="仿宋_GB2312" w:cs="仿宋_GB2312"/>
          <w:sz w:val="32"/>
          <w:szCs w:val="32"/>
          <w:lang w:val="en-US" w:eastAsia="zh-CN"/>
        </w:rPr>
      </w:pPr>
      <w:r>
        <w:rPr>
          <w:rFonts w:hint="eastAsia" w:eastAsia="仿宋_GB2312" w:cs="仿宋_GB2312"/>
          <w:sz w:val="32"/>
          <w:szCs w:val="32"/>
        </w:rPr>
        <w:t>三、支出决算表</w:t>
      </w:r>
      <w:r>
        <w:rPr>
          <w:rFonts w:hint="eastAsia" w:eastAsia="仿宋_GB2312" w:cs="仿宋_GB2312"/>
          <w:sz w:val="32"/>
          <w:szCs w:val="32"/>
          <w:lang w:val="en-US" w:eastAsia="zh-CN"/>
        </w:rPr>
        <w:t>................................................................19</w:t>
      </w:r>
    </w:p>
    <w:p>
      <w:pPr>
        <w:pStyle w:val="15"/>
        <w:pageBreakBefore w:val="0"/>
        <w:kinsoku/>
        <w:wordWrap/>
        <w:overflowPunct/>
        <w:topLinePunct w:val="0"/>
        <w:bidi w:val="0"/>
        <w:adjustRightInd w:val="0"/>
        <w:snapToGrid w:val="0"/>
        <w:spacing w:line="560" w:lineRule="exact"/>
        <w:ind w:left="0" w:leftChars="0" w:firstLine="640" w:firstLineChars="200"/>
        <w:jc w:val="left"/>
        <w:textAlignment w:val="auto"/>
        <w:rPr>
          <w:rFonts w:hint="default" w:eastAsia="仿宋_GB2312" w:cs="仿宋_GB2312"/>
          <w:sz w:val="32"/>
          <w:szCs w:val="32"/>
          <w:lang w:val="en-US" w:eastAsia="zh-CN"/>
        </w:rPr>
      </w:pPr>
      <w:r>
        <w:rPr>
          <w:rFonts w:hint="eastAsia" w:eastAsia="仿宋_GB2312" w:cs="仿宋_GB2312"/>
          <w:sz w:val="32"/>
          <w:szCs w:val="32"/>
        </w:rPr>
        <w:t>四、财政拨款收入支出决算总表</w:t>
      </w:r>
      <w:r>
        <w:rPr>
          <w:rFonts w:hint="eastAsia" w:eastAsia="仿宋_GB2312" w:cs="仿宋_GB2312"/>
          <w:sz w:val="32"/>
          <w:szCs w:val="32"/>
          <w:lang w:val="en-US" w:eastAsia="zh-CN"/>
        </w:rPr>
        <w:t>....................................19</w:t>
      </w:r>
    </w:p>
    <w:p>
      <w:pPr>
        <w:pStyle w:val="15"/>
        <w:pageBreakBefore w:val="0"/>
        <w:kinsoku/>
        <w:wordWrap/>
        <w:overflowPunct/>
        <w:topLinePunct w:val="0"/>
        <w:bidi w:val="0"/>
        <w:adjustRightInd w:val="0"/>
        <w:snapToGrid w:val="0"/>
        <w:spacing w:line="560" w:lineRule="exact"/>
        <w:ind w:left="0" w:leftChars="0" w:firstLine="640" w:firstLineChars="200"/>
        <w:jc w:val="left"/>
        <w:textAlignment w:val="auto"/>
        <w:rPr>
          <w:rFonts w:hint="default" w:eastAsia="仿宋_GB2312" w:cs="仿宋_GB2312"/>
          <w:sz w:val="32"/>
          <w:szCs w:val="32"/>
          <w:lang w:val="en-US" w:eastAsia="zh-CN"/>
        </w:rPr>
      </w:pPr>
      <w:r>
        <w:rPr>
          <w:rFonts w:hint="eastAsia" w:eastAsia="仿宋_GB2312" w:cs="仿宋_GB2312"/>
          <w:sz w:val="32"/>
          <w:szCs w:val="32"/>
        </w:rPr>
        <w:t>五、财政拨款支出决算明细表</w:t>
      </w:r>
      <w:r>
        <w:rPr>
          <w:rFonts w:hint="eastAsia" w:eastAsia="仿宋_GB2312" w:cs="仿宋_GB2312"/>
          <w:sz w:val="32"/>
          <w:szCs w:val="32"/>
          <w:lang w:val="en-US" w:eastAsia="zh-CN"/>
        </w:rPr>
        <w:t>........................................19</w:t>
      </w:r>
    </w:p>
    <w:p>
      <w:pPr>
        <w:pStyle w:val="15"/>
        <w:pageBreakBefore w:val="0"/>
        <w:kinsoku/>
        <w:wordWrap/>
        <w:overflowPunct/>
        <w:topLinePunct w:val="0"/>
        <w:bidi w:val="0"/>
        <w:adjustRightInd w:val="0"/>
        <w:snapToGrid w:val="0"/>
        <w:spacing w:line="560" w:lineRule="exact"/>
        <w:ind w:left="0" w:leftChars="0" w:firstLine="640" w:firstLineChars="200"/>
        <w:jc w:val="left"/>
        <w:textAlignment w:val="auto"/>
        <w:rPr>
          <w:rFonts w:hint="default" w:eastAsia="仿宋_GB2312" w:cs="仿宋_GB2312"/>
          <w:sz w:val="32"/>
          <w:szCs w:val="32"/>
          <w:lang w:val="en-US" w:eastAsia="zh-CN"/>
        </w:rPr>
      </w:pPr>
      <w:r>
        <w:rPr>
          <w:rFonts w:hint="eastAsia" w:eastAsia="仿宋_GB2312" w:cs="仿宋_GB2312"/>
          <w:sz w:val="32"/>
          <w:szCs w:val="32"/>
        </w:rPr>
        <w:t>六、一般公共预算财政拨款支出决算表</w:t>
      </w:r>
      <w:r>
        <w:rPr>
          <w:rFonts w:hint="eastAsia" w:eastAsia="仿宋_GB2312" w:cs="仿宋_GB2312"/>
          <w:sz w:val="32"/>
          <w:szCs w:val="32"/>
          <w:lang w:val="en-US" w:eastAsia="zh-CN"/>
        </w:rPr>
        <w:t>........................19</w:t>
      </w:r>
    </w:p>
    <w:p>
      <w:pPr>
        <w:pStyle w:val="15"/>
        <w:pageBreakBefore w:val="0"/>
        <w:kinsoku/>
        <w:wordWrap/>
        <w:overflowPunct/>
        <w:topLinePunct w:val="0"/>
        <w:bidi w:val="0"/>
        <w:adjustRightInd w:val="0"/>
        <w:snapToGrid w:val="0"/>
        <w:spacing w:line="560" w:lineRule="exact"/>
        <w:ind w:left="0" w:leftChars="0" w:firstLine="640" w:firstLineChars="200"/>
        <w:jc w:val="left"/>
        <w:textAlignment w:val="auto"/>
        <w:rPr>
          <w:rFonts w:hint="default" w:eastAsia="仿宋_GB2312" w:cs="仿宋_GB2312"/>
          <w:sz w:val="32"/>
          <w:szCs w:val="32"/>
          <w:lang w:val="en-US" w:eastAsia="zh-CN"/>
        </w:rPr>
      </w:pPr>
      <w:r>
        <w:rPr>
          <w:rFonts w:hint="eastAsia" w:eastAsia="仿宋_GB2312" w:cs="仿宋_GB2312"/>
          <w:sz w:val="32"/>
          <w:szCs w:val="32"/>
        </w:rPr>
        <w:t>七、一般公共预算财政拨款支出决算明细表</w:t>
      </w:r>
      <w:r>
        <w:rPr>
          <w:rFonts w:hint="eastAsia" w:eastAsia="仿宋_GB2312" w:cs="仿宋_GB2312"/>
          <w:sz w:val="32"/>
          <w:szCs w:val="32"/>
          <w:lang w:val="en-US" w:eastAsia="zh-CN"/>
        </w:rPr>
        <w:t>................19</w:t>
      </w:r>
    </w:p>
    <w:p>
      <w:pPr>
        <w:pStyle w:val="15"/>
        <w:pageBreakBefore w:val="0"/>
        <w:kinsoku/>
        <w:wordWrap/>
        <w:overflowPunct/>
        <w:topLinePunct w:val="0"/>
        <w:bidi w:val="0"/>
        <w:adjustRightInd w:val="0"/>
        <w:snapToGrid w:val="0"/>
        <w:spacing w:line="560" w:lineRule="exact"/>
        <w:ind w:left="0" w:leftChars="0" w:firstLine="640" w:firstLineChars="200"/>
        <w:jc w:val="left"/>
        <w:textAlignment w:val="auto"/>
        <w:rPr>
          <w:rFonts w:hint="default" w:eastAsia="仿宋_GB2312" w:cs="仿宋_GB2312"/>
          <w:sz w:val="32"/>
          <w:szCs w:val="32"/>
          <w:lang w:val="en-US" w:eastAsia="zh-CN"/>
        </w:rPr>
      </w:pPr>
      <w:r>
        <w:rPr>
          <w:rFonts w:hint="eastAsia" w:eastAsia="仿宋_GB2312" w:cs="仿宋_GB2312"/>
          <w:sz w:val="32"/>
          <w:szCs w:val="32"/>
        </w:rPr>
        <w:t>八、一般公共预算财政拨款基本支出决算明细表</w:t>
      </w:r>
      <w:r>
        <w:rPr>
          <w:rFonts w:hint="eastAsia" w:eastAsia="仿宋_GB2312" w:cs="仿宋_GB2312"/>
          <w:sz w:val="32"/>
          <w:szCs w:val="32"/>
          <w:lang w:val="en-US" w:eastAsia="zh-CN"/>
        </w:rPr>
        <w:t>........19</w:t>
      </w:r>
    </w:p>
    <w:p>
      <w:pPr>
        <w:pStyle w:val="15"/>
        <w:pageBreakBefore w:val="0"/>
        <w:kinsoku/>
        <w:wordWrap/>
        <w:overflowPunct/>
        <w:topLinePunct w:val="0"/>
        <w:bidi w:val="0"/>
        <w:adjustRightInd w:val="0"/>
        <w:snapToGrid w:val="0"/>
        <w:spacing w:line="560" w:lineRule="exact"/>
        <w:ind w:left="0" w:leftChars="0" w:firstLine="640" w:firstLineChars="200"/>
        <w:jc w:val="left"/>
        <w:textAlignment w:val="auto"/>
        <w:rPr>
          <w:rFonts w:hint="default" w:eastAsia="仿宋_GB2312" w:cs="仿宋_GB2312"/>
          <w:sz w:val="32"/>
          <w:szCs w:val="32"/>
          <w:lang w:val="en-US" w:eastAsia="zh-CN"/>
        </w:rPr>
      </w:pPr>
      <w:r>
        <w:rPr>
          <w:rFonts w:hint="eastAsia" w:eastAsia="仿宋_GB2312" w:cs="仿宋_GB2312"/>
          <w:sz w:val="32"/>
          <w:szCs w:val="32"/>
        </w:rPr>
        <w:t>九、一般公共预算财政拨款项目支出决算表</w:t>
      </w:r>
      <w:r>
        <w:rPr>
          <w:rFonts w:hint="eastAsia" w:eastAsia="仿宋_GB2312" w:cs="仿宋_GB2312"/>
          <w:sz w:val="32"/>
          <w:szCs w:val="32"/>
          <w:lang w:val="en-US" w:eastAsia="zh-CN"/>
        </w:rPr>
        <w:t>................19</w:t>
      </w:r>
    </w:p>
    <w:p>
      <w:pPr>
        <w:pStyle w:val="15"/>
        <w:pageBreakBefore w:val="0"/>
        <w:kinsoku/>
        <w:wordWrap/>
        <w:overflowPunct/>
        <w:topLinePunct w:val="0"/>
        <w:bidi w:val="0"/>
        <w:adjustRightInd w:val="0"/>
        <w:snapToGrid w:val="0"/>
        <w:spacing w:line="560" w:lineRule="exact"/>
        <w:ind w:left="0" w:leftChars="0" w:firstLine="640" w:firstLineChars="200"/>
        <w:jc w:val="left"/>
        <w:textAlignment w:val="auto"/>
        <w:rPr>
          <w:rFonts w:hint="default" w:eastAsia="仿宋_GB2312" w:cs="仿宋_GB2312"/>
          <w:sz w:val="32"/>
          <w:szCs w:val="32"/>
          <w:lang w:val="en-US" w:eastAsia="zh-CN"/>
        </w:rPr>
      </w:pPr>
      <w:r>
        <w:rPr>
          <w:rFonts w:hint="eastAsia" w:eastAsia="仿宋_GB2312" w:cs="仿宋_GB2312"/>
          <w:sz w:val="32"/>
          <w:szCs w:val="32"/>
        </w:rPr>
        <w:t>十、政府性基金预算财政拨款收入支出决算表</w:t>
      </w:r>
      <w:r>
        <w:rPr>
          <w:rFonts w:hint="eastAsia" w:eastAsia="仿宋_GB2312" w:cs="仿宋_GB2312"/>
          <w:sz w:val="32"/>
          <w:szCs w:val="32"/>
          <w:lang w:val="en-US" w:eastAsia="zh-CN"/>
        </w:rPr>
        <w:t>............19</w:t>
      </w:r>
    </w:p>
    <w:p>
      <w:pPr>
        <w:pStyle w:val="15"/>
        <w:pageBreakBefore w:val="0"/>
        <w:kinsoku/>
        <w:wordWrap/>
        <w:overflowPunct/>
        <w:topLinePunct w:val="0"/>
        <w:bidi w:val="0"/>
        <w:adjustRightInd w:val="0"/>
        <w:snapToGrid w:val="0"/>
        <w:spacing w:line="560" w:lineRule="exact"/>
        <w:ind w:left="0" w:leftChars="0" w:firstLine="640" w:firstLineChars="200"/>
        <w:jc w:val="left"/>
        <w:textAlignment w:val="auto"/>
        <w:rPr>
          <w:rFonts w:hint="default" w:eastAsia="仿宋_GB2312" w:cs="仿宋_GB2312"/>
          <w:sz w:val="32"/>
          <w:szCs w:val="32"/>
          <w:lang w:val="en-US" w:eastAsia="zh-CN"/>
        </w:rPr>
      </w:pPr>
      <w:r>
        <w:rPr>
          <w:rFonts w:hint="eastAsia" w:eastAsia="仿宋_GB2312" w:cs="仿宋_GB2312"/>
          <w:sz w:val="32"/>
          <w:szCs w:val="32"/>
        </w:rPr>
        <w:t>十一、国有资本经营预算财政拨款收入支出决算表</w:t>
      </w:r>
      <w:r>
        <w:rPr>
          <w:rFonts w:hint="eastAsia" w:eastAsia="仿宋_GB2312" w:cs="仿宋_GB2312"/>
          <w:sz w:val="32"/>
          <w:szCs w:val="32"/>
          <w:lang w:val="en-US" w:eastAsia="zh-CN"/>
        </w:rPr>
        <w:t>....19</w:t>
      </w:r>
    </w:p>
    <w:p>
      <w:pPr>
        <w:pStyle w:val="15"/>
        <w:pageBreakBefore w:val="0"/>
        <w:kinsoku/>
        <w:wordWrap/>
        <w:overflowPunct/>
        <w:topLinePunct w:val="0"/>
        <w:bidi w:val="0"/>
        <w:adjustRightInd w:val="0"/>
        <w:snapToGrid w:val="0"/>
        <w:spacing w:line="560" w:lineRule="exact"/>
        <w:ind w:left="0" w:leftChars="0" w:firstLine="640" w:firstLineChars="200"/>
        <w:jc w:val="left"/>
        <w:textAlignment w:val="auto"/>
        <w:rPr>
          <w:rFonts w:hint="default" w:eastAsia="仿宋_GB2312" w:cs="仿宋_GB2312"/>
          <w:sz w:val="32"/>
          <w:szCs w:val="32"/>
          <w:lang w:val="en-US" w:eastAsia="zh-CN"/>
        </w:rPr>
      </w:pPr>
      <w:r>
        <w:rPr>
          <w:rFonts w:hint="eastAsia" w:eastAsia="仿宋_GB2312" w:cs="仿宋_GB2312"/>
          <w:sz w:val="32"/>
          <w:szCs w:val="32"/>
        </w:rPr>
        <w:t>十二、国有资本经营预算财政拨款支出决算表</w:t>
      </w:r>
      <w:r>
        <w:rPr>
          <w:rFonts w:hint="eastAsia" w:eastAsia="仿宋_GB2312" w:cs="仿宋_GB2312"/>
          <w:sz w:val="32"/>
          <w:szCs w:val="32"/>
          <w:lang w:val="en-US" w:eastAsia="zh-CN"/>
        </w:rPr>
        <w:t>............19</w:t>
      </w:r>
    </w:p>
    <w:p>
      <w:pPr>
        <w:pStyle w:val="15"/>
        <w:pageBreakBefore w:val="0"/>
        <w:kinsoku/>
        <w:wordWrap/>
        <w:overflowPunct/>
        <w:topLinePunct w:val="0"/>
        <w:bidi w:val="0"/>
        <w:adjustRightInd w:val="0"/>
        <w:snapToGrid w:val="0"/>
        <w:spacing w:line="560" w:lineRule="exact"/>
        <w:ind w:left="0" w:leftChars="0" w:firstLine="640" w:firstLineChars="200"/>
        <w:jc w:val="left"/>
        <w:textAlignment w:val="auto"/>
        <w:rPr>
          <w:rFonts w:hint="default" w:eastAsia="仿宋_GB2312" w:cs="仿宋_GB2312"/>
          <w:sz w:val="32"/>
          <w:szCs w:val="32"/>
          <w:lang w:val="en-US" w:eastAsia="zh-CN"/>
        </w:rPr>
      </w:pPr>
      <w:r>
        <w:rPr>
          <w:rFonts w:hint="eastAsia" w:eastAsia="仿宋_GB2312" w:cs="仿宋_GB2312"/>
          <w:sz w:val="32"/>
          <w:szCs w:val="32"/>
        </w:rPr>
        <w:t>十三、财政拨款“三公”经费支出决算表</w:t>
      </w:r>
      <w:r>
        <w:rPr>
          <w:rFonts w:hint="eastAsia" w:eastAsia="仿宋_GB2312" w:cs="仿宋_GB2312"/>
          <w:sz w:val="32"/>
          <w:szCs w:val="32"/>
          <w:lang w:val="en-US" w:eastAsia="zh-CN"/>
        </w:rPr>
        <w:t>....................19</w:t>
      </w:r>
    </w:p>
    <w:p>
      <w:pPr>
        <w:pageBreakBefore w:val="0"/>
        <w:widowControl/>
        <w:kinsoku/>
        <w:wordWrap/>
        <w:overflowPunct/>
        <w:topLinePunct w:val="0"/>
        <w:bidi w:val="0"/>
        <w:spacing w:line="560" w:lineRule="exact"/>
        <w:jc w:val="left"/>
        <w:textAlignment w:val="auto"/>
        <w:rPr>
          <w:rFonts w:eastAsia="仿宋_GB2312" w:cs="仿宋_GB2312"/>
          <w:bCs/>
          <w:kern w:val="44"/>
          <w:sz w:val="32"/>
          <w:szCs w:val="32"/>
        </w:rPr>
      </w:pPr>
      <w:bookmarkStart w:id="14" w:name="_Toc15377196"/>
      <w:bookmarkStart w:id="15" w:name="_Toc15396599"/>
      <w:r>
        <w:rPr>
          <w:rFonts w:hint="eastAsia" w:eastAsia="仿宋_GB2312" w:cs="仿宋_GB2312"/>
          <w:b/>
          <w:sz w:val="32"/>
          <w:szCs w:val="32"/>
        </w:rPr>
        <w:br w:type="page"/>
      </w:r>
    </w:p>
    <w:p>
      <w:pPr>
        <w:pStyle w:val="3"/>
        <w:pageBreakBefore w:val="0"/>
        <w:kinsoku/>
        <w:wordWrap/>
        <w:overflowPunct/>
        <w:topLinePunct w:val="0"/>
        <w:bidi w:val="0"/>
        <w:spacing w:before="0" w:after="0"/>
        <w:jc w:val="center"/>
        <w:textAlignment w:val="auto"/>
        <w:rPr>
          <w:rFonts w:eastAsia="黑体"/>
          <w:sz w:val="32"/>
          <w:szCs w:val="32"/>
        </w:rPr>
      </w:pPr>
      <w:r>
        <w:rPr>
          <w:rFonts w:hint="eastAsia" w:ascii="方正小标宋_GBK" w:hAnsi="方正小标宋_GBK" w:eastAsia="方正小标宋_GBK" w:cs="方正小标宋_GBK"/>
          <w:b w:val="0"/>
        </w:rPr>
        <w:t>第一部分</w:t>
      </w:r>
      <w:r>
        <w:rPr>
          <w:rStyle w:val="28"/>
          <w:rFonts w:hint="eastAsia" w:ascii="方正小标宋_GBK" w:hAnsi="方正小标宋_GBK" w:eastAsia="方正小标宋_GBK" w:cs="方正小标宋_GBK"/>
          <w:b w:val="0"/>
          <w:bCs w:val="0"/>
        </w:rPr>
        <w:t>部门概况</w:t>
      </w:r>
      <w:bookmarkEnd w:id="14"/>
      <w:bookmarkEnd w:id="15"/>
    </w:p>
    <w:p>
      <w:pPr>
        <w:pStyle w:val="4"/>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Fonts w:hint="eastAsia" w:ascii="方正黑体_GBK" w:hAnsi="方正黑体_GBK" w:eastAsia="方正黑体_GBK" w:cs="方正黑体_GBK"/>
          <w:b w:val="0"/>
          <w:sz w:val="32"/>
          <w:szCs w:val="32"/>
        </w:rPr>
      </w:pPr>
      <w:r>
        <w:rPr>
          <w:rFonts w:hint="eastAsia" w:ascii="方正黑体_GBK" w:hAnsi="方正黑体_GBK" w:eastAsia="方正黑体_GBK" w:cs="方正黑体_GBK"/>
          <w:b w:val="0"/>
          <w:sz w:val="32"/>
          <w:szCs w:val="32"/>
          <w:lang w:eastAsia="zh-CN"/>
        </w:rPr>
        <w:t>一、</w:t>
      </w:r>
      <w:r>
        <w:rPr>
          <w:rFonts w:hint="eastAsia" w:ascii="方正黑体_GBK" w:hAnsi="方正黑体_GBK" w:eastAsia="方正黑体_GBK" w:cs="方正黑体_GBK"/>
          <w:b w:val="0"/>
          <w:sz w:val="32"/>
          <w:szCs w:val="32"/>
        </w:rPr>
        <w:t>部门职责</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攀枝花市交通运输综合行政执法支队负责全市交通运输综合行政执法监督指导、重大案件查处和跨区域执法的组织协调工作；承担依法取得的市本级、东区和西区公路路政、道路运政、水路运政、航道行政、港口行政、地方海事行政、工程质量监督管理等执法职责和仁和区、米易县、盐边县境内现行国省道路的路政执法职责。</w:t>
      </w:r>
    </w:p>
    <w:p>
      <w:pPr>
        <w:pStyle w:val="4"/>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Style w:val="29"/>
          <w:rFonts w:hint="eastAsia" w:ascii="方正黑体_GBK" w:hAnsi="方正黑体_GBK" w:eastAsia="方正黑体_GBK" w:cs="方正黑体_GBK"/>
          <w:b w:val="0"/>
          <w:bCs w:val="0"/>
          <w:sz w:val="32"/>
          <w:szCs w:val="32"/>
        </w:rPr>
      </w:pPr>
      <w:bookmarkStart w:id="16" w:name="_Toc15396601"/>
      <w:bookmarkStart w:id="17" w:name="_Toc15377200"/>
      <w:r>
        <w:rPr>
          <w:rFonts w:hint="eastAsia" w:ascii="方正黑体_GBK" w:hAnsi="方正黑体_GBK" w:eastAsia="方正黑体_GBK" w:cs="方正黑体_GBK"/>
          <w:b w:val="0"/>
          <w:sz w:val="32"/>
          <w:szCs w:val="32"/>
          <w:lang w:eastAsia="zh-CN"/>
        </w:rPr>
        <w:t>二、</w:t>
      </w:r>
      <w:r>
        <w:rPr>
          <w:rFonts w:hint="eastAsia" w:ascii="方正黑体_GBK" w:hAnsi="方正黑体_GBK" w:eastAsia="方正黑体_GBK" w:cs="方正黑体_GBK"/>
          <w:b w:val="0"/>
          <w:sz w:val="32"/>
          <w:szCs w:val="32"/>
        </w:rPr>
        <w:t>机</w:t>
      </w:r>
      <w:r>
        <w:rPr>
          <w:rStyle w:val="29"/>
          <w:rFonts w:hint="eastAsia" w:ascii="方正黑体_GBK" w:hAnsi="方正黑体_GBK" w:eastAsia="方正黑体_GBK" w:cs="方正黑体_GBK"/>
          <w:b w:val="0"/>
          <w:bCs w:val="0"/>
          <w:sz w:val="32"/>
          <w:szCs w:val="32"/>
        </w:rPr>
        <w:t>构设置</w:t>
      </w:r>
      <w:bookmarkEnd w:id="16"/>
      <w:bookmarkEnd w:id="17"/>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bookmarkStart w:id="18" w:name="_Toc15396602"/>
      <w:bookmarkStart w:id="19" w:name="_Toc15377204"/>
      <w:r>
        <w:rPr>
          <w:rFonts w:hint="default" w:ascii="Times New Roman" w:hAnsi="Times New Roman" w:eastAsia="方正仿宋_GBK" w:cs="Times New Roman"/>
          <w:sz w:val="32"/>
          <w:szCs w:val="32"/>
        </w:rPr>
        <w:t>攀枝花市交通运输综合行政执法支队内设6 个业务科室和10 个行政执法大队，具体为：办公室、干部人事科、政策法规科、客运科、货运科、安全与综合业务科、一大队、二大队、三大队、四大队、五大队、六大队、七大队、特勤大队、海事行政执法大队、工程质量监督行政执法大队。</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小标宋_GBK" w:hAnsi="方正小标宋_GBK" w:eastAsia="方正小标宋_GBK" w:cs="方正小标宋_GBK"/>
          <w:b w:val="0"/>
          <w:bCs/>
          <w:sz w:val="44"/>
          <w:szCs w:val="44"/>
          <w:lang w:eastAsia="zh-CN"/>
        </w:rPr>
      </w:pPr>
      <w:r>
        <w:rPr>
          <w:rFonts w:hint="default" w:ascii="Times New Roman" w:hAnsi="Times New Roman" w:eastAsia="方正仿宋_GBK" w:cs="Times New Roman"/>
          <w:sz w:val="32"/>
          <w:szCs w:val="32"/>
        </w:rPr>
        <w:t>一大队、二大队、三大队、四大队、五大队、六大队、七大队实行派驻制，工作接受辖区地方政府的指导和监督，队伍相对固定且定期轮岗交流。</w:t>
      </w:r>
    </w:p>
    <w:p>
      <w:pPr>
        <w:pStyle w:val="2"/>
        <w:keepNext/>
        <w:keepLines/>
        <w:pageBreakBefore w:val="0"/>
        <w:widowControl w:val="0"/>
        <w:kinsoku/>
        <w:wordWrap/>
        <w:overflowPunct/>
        <w:topLinePunct w:val="0"/>
        <w:autoSpaceDE/>
        <w:autoSpaceDN/>
        <w:bidi w:val="0"/>
        <w:adjustRightInd/>
        <w:snapToGrid/>
        <w:spacing w:before="0" w:after="0" w:line="760" w:lineRule="exact"/>
        <w:jc w:val="center"/>
        <w:textAlignment w:val="auto"/>
        <w:rPr>
          <w:rFonts w:hint="eastAsia" w:ascii="方正小标宋_GBK" w:hAnsi="方正小标宋_GBK" w:eastAsia="方正小标宋_GBK" w:cs="方正小标宋_GBK"/>
          <w:b w:val="0"/>
          <w:bCs/>
          <w:sz w:val="44"/>
          <w:szCs w:val="44"/>
          <w:lang w:eastAsia="zh-CN"/>
        </w:rPr>
      </w:pPr>
    </w:p>
    <w:p>
      <w:pPr>
        <w:rPr>
          <w:rFonts w:hint="eastAsia" w:ascii="方正小标宋_GBK" w:hAnsi="方正小标宋_GBK" w:eastAsia="方正小标宋_GBK" w:cs="方正小标宋_GBK"/>
          <w:b w:val="0"/>
          <w:bCs/>
          <w:sz w:val="44"/>
          <w:szCs w:val="44"/>
          <w:lang w:eastAsia="zh-CN"/>
        </w:rPr>
      </w:pPr>
    </w:p>
    <w:p>
      <w:pPr>
        <w:pStyle w:val="2"/>
        <w:rPr>
          <w:rFonts w:hint="eastAsia"/>
          <w:lang w:eastAsia="zh-CN"/>
        </w:rPr>
      </w:pPr>
    </w:p>
    <w:p>
      <w:pPr>
        <w:pStyle w:val="2"/>
        <w:keepNext/>
        <w:keepLines/>
        <w:pageBreakBefore w:val="0"/>
        <w:widowControl w:val="0"/>
        <w:kinsoku/>
        <w:wordWrap/>
        <w:overflowPunct/>
        <w:topLinePunct w:val="0"/>
        <w:autoSpaceDE/>
        <w:autoSpaceDN/>
        <w:bidi w:val="0"/>
        <w:adjustRightInd/>
        <w:snapToGrid/>
        <w:spacing w:before="0" w:after="0" w:line="760" w:lineRule="exact"/>
        <w:jc w:val="center"/>
        <w:textAlignment w:val="auto"/>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eastAsia="zh-CN"/>
        </w:rPr>
        <w:t>第二部分</w:t>
      </w:r>
      <w:r>
        <w:rPr>
          <w:rFonts w:hint="eastAsia" w:ascii="方正小标宋_GBK" w:hAnsi="方正小标宋_GBK" w:eastAsia="方正小标宋_GBK" w:cs="方正小标宋_GBK"/>
          <w:b w:val="0"/>
          <w:bCs/>
          <w:sz w:val="44"/>
          <w:szCs w:val="44"/>
          <w:lang w:val="en-US" w:eastAsia="zh-CN"/>
        </w:rPr>
        <w:t>2024年度部门决算情况说明</w:t>
      </w:r>
    </w:p>
    <w:bookmarkEnd w:id="18"/>
    <w:bookmarkEnd w:id="19"/>
    <w:p>
      <w:pPr>
        <w:pStyle w:val="27"/>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1"/>
        <w:rPr>
          <w:rStyle w:val="29"/>
          <w:rFonts w:hint="eastAsia" w:ascii="方正黑体_GBK" w:hAnsi="方正黑体_GBK" w:eastAsia="方正黑体_GBK" w:cs="方正黑体_GBK"/>
          <w:b w:val="0"/>
        </w:rPr>
      </w:pPr>
      <w:bookmarkStart w:id="20" w:name="_Toc15396603"/>
      <w:bookmarkStart w:id="21" w:name="_Toc15377205"/>
      <w:r>
        <w:rPr>
          <w:rFonts w:hint="eastAsia" w:ascii="方正黑体_GBK" w:hAnsi="方正黑体_GBK" w:eastAsia="方正黑体_GBK" w:cs="方正黑体_GBK"/>
          <w:sz w:val="32"/>
          <w:szCs w:val="32"/>
        </w:rPr>
        <w:t>一、收</w:t>
      </w:r>
      <w:r>
        <w:rPr>
          <w:rStyle w:val="29"/>
          <w:rFonts w:hint="eastAsia" w:ascii="方正黑体_GBK" w:hAnsi="方正黑体_GBK" w:eastAsia="方正黑体_GBK" w:cs="方正黑体_GBK"/>
          <w:b w:val="0"/>
        </w:rPr>
        <w:t>入支出决算总体情况说明</w:t>
      </w:r>
      <w:bookmarkEnd w:id="20"/>
      <w:bookmarkEnd w:id="21"/>
    </w:p>
    <w:p>
      <w:pPr>
        <w:pStyle w:val="27"/>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1"/>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2024年度收入、支出总计均为2319.89万元。与2023年度相比，收入、支出总计各减少461.25万元，下降16.58%。主要变动原因为厉行节约减少非必要专项支出所致。</w:t>
      </w:r>
    </w:p>
    <w:p>
      <w:pPr>
        <w:pStyle w:val="27"/>
        <w:pageBreakBefore w:val="0"/>
        <w:kinsoku/>
        <w:wordWrap/>
        <w:overflowPunct/>
        <w:topLinePunct w:val="0"/>
        <w:bidi w:val="0"/>
        <w:spacing w:line="600" w:lineRule="exact"/>
        <w:ind w:firstLine="640"/>
        <w:textAlignment w:val="auto"/>
        <w:outlineLvl w:val="1"/>
        <w:rPr>
          <w:rFonts w:eastAsia="仿宋_GB2312" w:cs="仿宋_GB2312"/>
          <w:sz w:val="32"/>
          <w:szCs w:val="32"/>
        </w:rPr>
      </w:pPr>
      <w:r>
        <w:rPr>
          <w:rFonts w:eastAsia="仿宋_GB2312" w:cs="仿宋_GB2312"/>
          <w:sz w:val="32"/>
          <w:szCs w:val="32"/>
        </w:rPr>
        <w:drawing>
          <wp:anchor distT="0" distB="0" distL="114300" distR="114300" simplePos="0" relativeHeight="251659264" behindDoc="0" locked="0" layoutInCell="1" allowOverlap="1">
            <wp:simplePos x="0" y="0"/>
            <wp:positionH relativeFrom="column">
              <wp:posOffset>19050</wp:posOffset>
            </wp:positionH>
            <wp:positionV relativeFrom="paragraph">
              <wp:posOffset>226695</wp:posOffset>
            </wp:positionV>
            <wp:extent cx="5514975" cy="4695825"/>
            <wp:effectExtent l="19050" t="0" r="9525" b="0"/>
            <wp:wrapNone/>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pStyle w:val="27"/>
        <w:pageBreakBefore w:val="0"/>
        <w:kinsoku/>
        <w:wordWrap/>
        <w:overflowPunct/>
        <w:topLinePunct w:val="0"/>
        <w:bidi w:val="0"/>
        <w:spacing w:line="600" w:lineRule="exact"/>
        <w:ind w:firstLine="640"/>
        <w:textAlignment w:val="auto"/>
        <w:outlineLvl w:val="1"/>
        <w:rPr>
          <w:rFonts w:eastAsia="仿宋_GB2312" w:cs="仿宋_GB2312"/>
          <w:sz w:val="32"/>
          <w:szCs w:val="32"/>
        </w:rPr>
      </w:pPr>
    </w:p>
    <w:p>
      <w:pPr>
        <w:pStyle w:val="27"/>
        <w:pageBreakBefore w:val="0"/>
        <w:kinsoku/>
        <w:wordWrap/>
        <w:overflowPunct/>
        <w:topLinePunct w:val="0"/>
        <w:bidi w:val="0"/>
        <w:spacing w:line="600" w:lineRule="exact"/>
        <w:ind w:firstLine="640"/>
        <w:textAlignment w:val="auto"/>
        <w:outlineLvl w:val="1"/>
        <w:rPr>
          <w:rFonts w:eastAsia="仿宋_GB2312" w:cs="仿宋_GB2312"/>
          <w:sz w:val="32"/>
          <w:szCs w:val="32"/>
        </w:rPr>
      </w:pPr>
    </w:p>
    <w:p>
      <w:pPr>
        <w:pStyle w:val="27"/>
        <w:pageBreakBefore w:val="0"/>
        <w:kinsoku/>
        <w:wordWrap/>
        <w:overflowPunct/>
        <w:topLinePunct w:val="0"/>
        <w:bidi w:val="0"/>
        <w:spacing w:line="600" w:lineRule="exact"/>
        <w:ind w:firstLine="640"/>
        <w:textAlignment w:val="auto"/>
        <w:outlineLvl w:val="1"/>
        <w:rPr>
          <w:rFonts w:eastAsia="仿宋_GB2312" w:cs="仿宋_GB2312"/>
          <w:sz w:val="32"/>
          <w:szCs w:val="32"/>
        </w:rPr>
      </w:pPr>
    </w:p>
    <w:p>
      <w:pPr>
        <w:pStyle w:val="27"/>
        <w:pageBreakBefore w:val="0"/>
        <w:kinsoku/>
        <w:wordWrap/>
        <w:overflowPunct/>
        <w:topLinePunct w:val="0"/>
        <w:bidi w:val="0"/>
        <w:spacing w:line="600" w:lineRule="exact"/>
        <w:ind w:firstLine="640"/>
        <w:textAlignment w:val="auto"/>
        <w:outlineLvl w:val="1"/>
        <w:rPr>
          <w:rFonts w:eastAsia="仿宋_GB2312" w:cs="仿宋_GB2312"/>
          <w:sz w:val="32"/>
          <w:szCs w:val="32"/>
        </w:rPr>
      </w:pPr>
    </w:p>
    <w:p>
      <w:pPr>
        <w:pStyle w:val="27"/>
        <w:pageBreakBefore w:val="0"/>
        <w:kinsoku/>
        <w:wordWrap/>
        <w:overflowPunct/>
        <w:topLinePunct w:val="0"/>
        <w:bidi w:val="0"/>
        <w:spacing w:line="600" w:lineRule="exact"/>
        <w:ind w:firstLine="640"/>
        <w:textAlignment w:val="auto"/>
        <w:outlineLvl w:val="1"/>
        <w:rPr>
          <w:rFonts w:eastAsia="仿宋_GB2312" w:cs="仿宋_GB2312"/>
          <w:sz w:val="32"/>
          <w:szCs w:val="32"/>
        </w:rPr>
      </w:pPr>
    </w:p>
    <w:p>
      <w:pPr>
        <w:pStyle w:val="27"/>
        <w:pageBreakBefore w:val="0"/>
        <w:kinsoku/>
        <w:wordWrap/>
        <w:overflowPunct/>
        <w:topLinePunct w:val="0"/>
        <w:bidi w:val="0"/>
        <w:spacing w:line="600" w:lineRule="exact"/>
        <w:ind w:firstLine="640"/>
        <w:textAlignment w:val="auto"/>
        <w:outlineLvl w:val="1"/>
        <w:rPr>
          <w:rFonts w:eastAsia="仿宋_GB2312" w:cs="仿宋_GB2312"/>
          <w:sz w:val="32"/>
          <w:szCs w:val="32"/>
        </w:rPr>
      </w:pPr>
    </w:p>
    <w:p>
      <w:pPr>
        <w:pStyle w:val="27"/>
        <w:pageBreakBefore w:val="0"/>
        <w:kinsoku/>
        <w:wordWrap/>
        <w:overflowPunct/>
        <w:topLinePunct w:val="0"/>
        <w:bidi w:val="0"/>
        <w:spacing w:line="600" w:lineRule="exact"/>
        <w:ind w:firstLine="640"/>
        <w:textAlignment w:val="auto"/>
        <w:outlineLvl w:val="1"/>
        <w:rPr>
          <w:rFonts w:eastAsia="仿宋_GB2312" w:cs="仿宋_GB2312"/>
          <w:sz w:val="32"/>
          <w:szCs w:val="32"/>
        </w:rPr>
      </w:pPr>
    </w:p>
    <w:p>
      <w:pPr>
        <w:pStyle w:val="27"/>
        <w:pageBreakBefore w:val="0"/>
        <w:kinsoku/>
        <w:wordWrap/>
        <w:overflowPunct/>
        <w:topLinePunct w:val="0"/>
        <w:bidi w:val="0"/>
        <w:spacing w:line="600" w:lineRule="exact"/>
        <w:ind w:firstLine="0" w:firstLineChars="0"/>
        <w:textAlignment w:val="auto"/>
        <w:outlineLvl w:val="1"/>
        <w:rPr>
          <w:rFonts w:eastAsia="仿宋_GB2312" w:cs="仿宋_GB2312"/>
          <w:sz w:val="32"/>
          <w:szCs w:val="32"/>
        </w:rPr>
      </w:pPr>
    </w:p>
    <w:p>
      <w:pPr>
        <w:pStyle w:val="27"/>
        <w:pageBreakBefore w:val="0"/>
        <w:kinsoku/>
        <w:wordWrap/>
        <w:overflowPunct/>
        <w:topLinePunct w:val="0"/>
        <w:bidi w:val="0"/>
        <w:spacing w:line="600" w:lineRule="exact"/>
        <w:ind w:firstLine="640"/>
        <w:textAlignment w:val="auto"/>
        <w:outlineLvl w:val="1"/>
        <w:rPr>
          <w:rFonts w:eastAsia="仿宋_GB2312" w:cs="仿宋_GB2312"/>
          <w:sz w:val="32"/>
          <w:szCs w:val="32"/>
        </w:rPr>
      </w:pPr>
    </w:p>
    <w:p>
      <w:pPr>
        <w:pageBreakBefore w:val="0"/>
        <w:kinsoku/>
        <w:wordWrap/>
        <w:overflowPunct/>
        <w:topLinePunct w:val="0"/>
        <w:bidi w:val="0"/>
        <w:spacing w:line="600" w:lineRule="exact"/>
        <w:ind w:firstLine="480" w:firstLineChars="150"/>
        <w:textAlignment w:val="auto"/>
        <w:outlineLvl w:val="1"/>
        <w:rPr>
          <w:rFonts w:eastAsia="仿宋_GB2312" w:cs="仿宋_GB2312"/>
          <w:sz w:val="32"/>
          <w:szCs w:val="32"/>
        </w:rPr>
      </w:pPr>
    </w:p>
    <w:p>
      <w:pPr>
        <w:pageBreakBefore w:val="0"/>
        <w:kinsoku/>
        <w:wordWrap/>
        <w:overflowPunct/>
        <w:topLinePunct w:val="0"/>
        <w:bidi w:val="0"/>
        <w:spacing w:line="600" w:lineRule="exact"/>
        <w:ind w:firstLine="480" w:firstLineChars="150"/>
        <w:textAlignment w:val="auto"/>
        <w:outlineLvl w:val="1"/>
        <w:rPr>
          <w:rFonts w:eastAsia="仿宋_GB2312" w:cs="仿宋_GB2312"/>
          <w:sz w:val="32"/>
          <w:szCs w:val="32"/>
        </w:rPr>
      </w:pPr>
    </w:p>
    <w:p>
      <w:pPr>
        <w:pageBreakBefore w:val="0"/>
        <w:kinsoku/>
        <w:wordWrap/>
        <w:overflowPunct/>
        <w:topLinePunct w:val="0"/>
        <w:bidi w:val="0"/>
        <w:spacing w:line="600" w:lineRule="exact"/>
        <w:ind w:firstLine="480" w:firstLineChars="150"/>
        <w:textAlignment w:val="auto"/>
        <w:outlineLvl w:val="1"/>
        <w:rPr>
          <w:rFonts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50" w:firstLineChars="150"/>
        <w:jc w:val="center"/>
        <w:textAlignment w:val="auto"/>
        <w:outlineLvl w:val="1"/>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（图1：收入、支出决算总计变动情况图）（柱状图）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方正黑体_GBK" w:hAnsi="方正黑体_GBK" w:eastAsia="方正黑体_GBK" w:cs="方正黑体_GBK"/>
          <w:sz w:val="32"/>
          <w:szCs w:val="32"/>
        </w:rPr>
      </w:pPr>
      <w:bookmarkStart w:id="22" w:name="_Toc15396604"/>
      <w:bookmarkStart w:id="23" w:name="_Toc1537720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二、收入决算情况说明</w:t>
      </w:r>
      <w:bookmarkEnd w:id="22"/>
      <w:bookmarkEnd w:id="23"/>
    </w:p>
    <w:p>
      <w:pPr>
        <w:pStyle w:val="27"/>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outlineLvl w:val="1"/>
        <w:rPr>
          <w:rFonts w:hint="default" w:ascii="Times New Roman" w:hAnsi="Times New Roman" w:eastAsia="方正仿宋_GBK" w:cs="Times New Roman"/>
          <w:b/>
          <w:bCs/>
          <w:sz w:val="32"/>
          <w:szCs w:val="32"/>
        </w:rPr>
      </w:pPr>
      <w:r>
        <w:rPr>
          <w:rFonts w:hint="default" w:ascii="Times New Roman" w:hAnsi="Times New Roman" w:eastAsia="方正仿宋_GBK" w:cs="Times New Roman"/>
          <w:sz w:val="32"/>
          <w:szCs w:val="32"/>
        </w:rPr>
        <w:t>2024年度本年收入合计2319.89万元，其中：一般公共预算财政拨款收入2319.89万元，占100%；政府性基金预算财政拨款收入0万元，占0%%；国有资本经营预算财政拨款收入0万元，占0%；上级补助收入0万元，占0%；事业收入0万元，占0%；经营收入0万元，占0%；附属单位上缴收入0万元，占0%；其他收入0万元，占0%。</w:t>
      </w:r>
    </w:p>
    <w:p>
      <w:pPr>
        <w:pageBreakBefore w:val="0"/>
        <w:kinsoku/>
        <w:wordWrap/>
        <w:overflowPunct/>
        <w:topLinePunct w:val="0"/>
        <w:bidi w:val="0"/>
        <w:ind w:firstLine="803" w:firstLineChars="250"/>
        <w:textAlignment w:val="auto"/>
        <w:rPr>
          <w:rFonts w:eastAsia="仿宋_GB2312" w:cs="仿宋_GB2312"/>
          <w:sz w:val="32"/>
          <w:szCs w:val="32"/>
        </w:rPr>
      </w:pPr>
      <w:r>
        <w:rPr>
          <w:rFonts w:hint="eastAsia" w:eastAsia="仿宋_GB2312" w:cs="仿宋_GB2312"/>
          <w:b/>
          <w:bCs/>
          <w:sz w:val="32"/>
          <w:szCs w:val="32"/>
        </w:rPr>
        <w:drawing>
          <wp:inline distT="0" distB="0" distL="0" distR="0">
            <wp:extent cx="4552950" cy="3657600"/>
            <wp:effectExtent l="19050" t="0" r="19050" b="0"/>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ageBreakBefore w:val="0"/>
        <w:kinsoku/>
        <w:wordWrap/>
        <w:overflowPunct/>
        <w:topLinePunct w:val="0"/>
        <w:bidi w:val="0"/>
        <w:ind w:firstLine="1950" w:firstLineChars="65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（图2：收入决算结构图）</w:t>
      </w:r>
    </w:p>
    <w:p>
      <w:pPr>
        <w:pStyle w:val="27"/>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1"/>
        <w:rPr>
          <w:rStyle w:val="29"/>
          <w:rFonts w:hint="eastAsia" w:ascii="方正黑体_GBK" w:hAnsi="方正黑体_GBK" w:eastAsia="方正黑体_GBK" w:cs="方正黑体_GBK"/>
          <w:b w:val="0"/>
        </w:rPr>
      </w:pPr>
      <w:bookmarkStart w:id="24" w:name="_Toc15377207"/>
      <w:bookmarkStart w:id="25" w:name="_Toc15396605"/>
      <w:r>
        <w:rPr>
          <w:rFonts w:hint="eastAsia" w:ascii="方正黑体_GBK" w:hAnsi="方正黑体_GBK" w:eastAsia="方正黑体_GBK" w:cs="方正黑体_GBK"/>
          <w:sz w:val="32"/>
          <w:szCs w:val="32"/>
        </w:rPr>
        <w:t>三、支</w:t>
      </w:r>
      <w:r>
        <w:rPr>
          <w:rStyle w:val="29"/>
          <w:rFonts w:hint="eastAsia" w:ascii="方正黑体_GBK" w:hAnsi="方正黑体_GBK" w:eastAsia="方正黑体_GBK" w:cs="方正黑体_GBK"/>
          <w:b w:val="0"/>
        </w:rPr>
        <w:t>出决算情况说明</w:t>
      </w:r>
      <w:bookmarkEnd w:id="24"/>
      <w:bookmarkEnd w:id="25"/>
    </w:p>
    <w:p>
      <w:pPr>
        <w:pStyle w:val="27"/>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outlineLvl w:val="1"/>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2024年度本年支出合计2319.89万元，其中：基本支出2289.9万元，占98.7%；项目支出30万元，占1.29%；上缴上级支出0万元，占0%；经营支出0万元，占0%；对附属单位补助支出0万元，占0%</w:t>
      </w:r>
      <w:r>
        <w:rPr>
          <w:rFonts w:hint="default" w:ascii="Times New Roman" w:hAnsi="Times New Roman" w:eastAsia="方正仿宋_GBK" w:cs="Times New Roman"/>
          <w:sz w:val="32"/>
          <w:szCs w:val="32"/>
          <w:lang w:eastAsia="zh-CN"/>
        </w:rPr>
        <w:t>。</w:t>
      </w:r>
    </w:p>
    <w:p>
      <w:pPr>
        <w:pageBreakBefore w:val="0"/>
        <w:kinsoku/>
        <w:wordWrap/>
        <w:overflowPunct/>
        <w:topLinePunct w:val="0"/>
        <w:bidi w:val="0"/>
        <w:textAlignment w:val="auto"/>
        <w:rPr>
          <w:rFonts w:eastAsia="仿宋_GB2312" w:cs="仿宋_GB2312"/>
          <w:sz w:val="32"/>
          <w:szCs w:val="32"/>
        </w:rPr>
      </w:pPr>
      <w:r>
        <w:rPr>
          <w:rFonts w:hint="eastAsia" w:eastAsia="仿宋_GB2312" w:cs="仿宋_GB2312"/>
          <w:sz w:val="32"/>
          <w:szCs w:val="32"/>
        </w:rPr>
        <w:drawing>
          <wp:inline distT="0" distB="0" distL="0" distR="0">
            <wp:extent cx="4785360" cy="1823085"/>
            <wp:effectExtent l="4445" t="4445" r="10795" b="2032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ageBreakBefore w:val="0"/>
        <w:kinsoku/>
        <w:wordWrap/>
        <w:overflowPunct/>
        <w:topLinePunct w:val="0"/>
        <w:bidi w:val="0"/>
        <w:jc w:val="center"/>
        <w:textAlignment w:val="auto"/>
        <w:rPr>
          <w:rFonts w:eastAsia="仿宋_GB2312" w:cs="仿宋_GB2312"/>
          <w:sz w:val="30"/>
          <w:szCs w:val="30"/>
        </w:rPr>
      </w:pPr>
      <w:r>
        <w:rPr>
          <w:rFonts w:hint="eastAsia" w:eastAsia="仿宋_GB2312" w:cs="仿宋_GB2312"/>
          <w:sz w:val="30"/>
          <w:szCs w:val="30"/>
        </w:rPr>
        <w:t>（图3：支出决算结构图）</w:t>
      </w:r>
    </w:p>
    <w:p>
      <w:pPr>
        <w:pageBreakBefore w:val="0"/>
        <w:kinsoku/>
        <w:wordWrap/>
        <w:overflowPunct/>
        <w:topLinePunct w:val="0"/>
        <w:bidi w:val="0"/>
        <w:spacing w:line="600" w:lineRule="exact"/>
        <w:ind w:firstLine="480" w:firstLineChars="150"/>
        <w:textAlignment w:val="auto"/>
        <w:outlineLvl w:val="1"/>
        <w:rPr>
          <w:rStyle w:val="29"/>
          <w:rFonts w:hint="eastAsia" w:ascii="方正黑体_GBK" w:hAnsi="方正黑体_GBK" w:eastAsia="方正黑体_GBK" w:cs="方正黑体_GBK"/>
          <w:b w:val="0"/>
        </w:rPr>
      </w:pPr>
      <w:bookmarkStart w:id="26" w:name="_Toc15377208"/>
      <w:bookmarkStart w:id="27" w:name="_Toc15396606"/>
      <w:r>
        <w:rPr>
          <w:rFonts w:hint="eastAsia" w:ascii="方正黑体_GBK" w:hAnsi="方正黑体_GBK" w:eastAsia="方正黑体_GBK" w:cs="方正黑体_GBK"/>
          <w:sz w:val="32"/>
          <w:szCs w:val="32"/>
        </w:rPr>
        <w:t>四、财</w:t>
      </w:r>
      <w:r>
        <w:rPr>
          <w:rStyle w:val="29"/>
          <w:rFonts w:hint="eastAsia" w:ascii="方正黑体_GBK" w:hAnsi="方正黑体_GBK" w:eastAsia="方正黑体_GBK" w:cs="方正黑体_GBK"/>
          <w:b w:val="0"/>
        </w:rPr>
        <w:t>政拨款收入支出决算总体情况说明</w:t>
      </w:r>
      <w:bookmarkEnd w:id="26"/>
      <w:bookmarkEnd w:id="27"/>
    </w:p>
    <w:p>
      <w:pPr>
        <w:pageBreakBefore w:val="0"/>
        <w:kinsoku/>
        <w:wordWrap/>
        <w:overflowPunct/>
        <w:topLinePunct w:val="0"/>
        <w:bidi w:val="0"/>
        <w:spacing w:line="600" w:lineRule="exact"/>
        <w:ind w:firstLine="640" w:firstLineChars="200"/>
        <w:textAlignment w:val="auto"/>
        <w:rPr>
          <w:rFonts w:eastAsia="仿宋_GB2312" w:cs="仿宋_GB2312"/>
          <w:sz w:val="32"/>
          <w:szCs w:val="32"/>
        </w:rPr>
      </w:pPr>
      <w:r>
        <w:rPr>
          <w:rFonts w:hint="eastAsia" w:eastAsia="仿宋_GB2312" w:cs="仿宋_GB2312"/>
          <w:sz w:val="32"/>
          <w:szCs w:val="32"/>
        </w:rPr>
        <w:t>2024年度财政拨款收入、支出总计均为</w:t>
      </w:r>
      <w:r>
        <w:rPr>
          <w:rFonts w:hint="eastAsia" w:ascii="仿宋_GB2312" w:hAnsi="仿宋_GB2312" w:eastAsia="仿宋_GB2312" w:cs="仿宋_GB2312"/>
          <w:sz w:val="32"/>
          <w:szCs w:val="32"/>
        </w:rPr>
        <w:t>2319.89</w:t>
      </w:r>
      <w:r>
        <w:rPr>
          <w:rFonts w:hint="eastAsia" w:eastAsia="仿宋_GB2312" w:cs="仿宋_GB2312"/>
          <w:sz w:val="32"/>
          <w:szCs w:val="32"/>
        </w:rPr>
        <w:t>万元。与2023年度相比，财政拨款收入总计、支出总计各减少461.25万元，下降16.58%。主要变动原因是</w:t>
      </w:r>
      <w:r>
        <w:rPr>
          <w:rFonts w:hint="eastAsia" w:ascii="仿宋_GB2312" w:hAnsi="仿宋_GB2312" w:eastAsia="仿宋_GB2312" w:cs="仿宋_GB2312"/>
          <w:sz w:val="32"/>
          <w:szCs w:val="32"/>
        </w:rPr>
        <w:t>为厉行节约减少非必要专项支出</w:t>
      </w:r>
      <w:r>
        <w:rPr>
          <w:rFonts w:hint="eastAsia" w:eastAsia="仿宋_GB2312" w:cs="仿宋_GB2312"/>
          <w:sz w:val="32"/>
          <w:szCs w:val="32"/>
        </w:rPr>
        <w:t>所致。</w:t>
      </w:r>
    </w:p>
    <w:p>
      <w:pPr>
        <w:pageBreakBefore w:val="0"/>
        <w:kinsoku/>
        <w:wordWrap/>
        <w:overflowPunct/>
        <w:topLinePunct w:val="0"/>
        <w:bidi w:val="0"/>
        <w:spacing w:line="600" w:lineRule="exact"/>
        <w:ind w:firstLine="640" w:firstLineChars="200"/>
        <w:textAlignment w:val="auto"/>
        <w:rPr>
          <w:rFonts w:eastAsia="仿宋_GB2312" w:cs="仿宋_GB2312"/>
          <w:sz w:val="32"/>
          <w:szCs w:val="32"/>
        </w:rPr>
      </w:pPr>
      <w:r>
        <w:rPr>
          <w:rFonts w:hint="eastAsia" w:eastAsia="仿宋_GB2312" w:cs="仿宋_GB2312"/>
          <w:sz w:val="32"/>
          <w:szCs w:val="32"/>
        </w:rPr>
        <w:drawing>
          <wp:anchor distT="0" distB="0" distL="114300" distR="114300" simplePos="0" relativeHeight="251660288" behindDoc="0" locked="0" layoutInCell="1" allowOverlap="1">
            <wp:simplePos x="0" y="0"/>
            <wp:positionH relativeFrom="column">
              <wp:posOffset>504825</wp:posOffset>
            </wp:positionH>
            <wp:positionV relativeFrom="paragraph">
              <wp:posOffset>43180</wp:posOffset>
            </wp:positionV>
            <wp:extent cx="5124450" cy="3103880"/>
            <wp:effectExtent l="4445" t="4445" r="14605" b="15875"/>
            <wp:wrapNone/>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pageBreakBefore w:val="0"/>
        <w:kinsoku/>
        <w:wordWrap/>
        <w:overflowPunct/>
        <w:topLinePunct w:val="0"/>
        <w:bidi w:val="0"/>
        <w:spacing w:line="600" w:lineRule="exact"/>
        <w:ind w:firstLine="640" w:firstLineChars="200"/>
        <w:textAlignment w:val="auto"/>
        <w:rPr>
          <w:rFonts w:eastAsia="仿宋_GB2312" w:cs="仿宋_GB2312"/>
          <w:sz w:val="32"/>
          <w:szCs w:val="32"/>
        </w:rPr>
      </w:pPr>
    </w:p>
    <w:p>
      <w:pPr>
        <w:pageBreakBefore w:val="0"/>
        <w:kinsoku/>
        <w:wordWrap/>
        <w:overflowPunct/>
        <w:topLinePunct w:val="0"/>
        <w:bidi w:val="0"/>
        <w:spacing w:line="600" w:lineRule="exact"/>
        <w:ind w:firstLine="640" w:firstLineChars="200"/>
        <w:textAlignment w:val="auto"/>
        <w:rPr>
          <w:rFonts w:eastAsia="仿宋_GB2312" w:cs="仿宋_GB2312"/>
          <w:sz w:val="32"/>
          <w:szCs w:val="32"/>
        </w:rPr>
      </w:pPr>
    </w:p>
    <w:p>
      <w:pPr>
        <w:pageBreakBefore w:val="0"/>
        <w:kinsoku/>
        <w:wordWrap/>
        <w:overflowPunct/>
        <w:topLinePunct w:val="0"/>
        <w:bidi w:val="0"/>
        <w:spacing w:line="600" w:lineRule="exact"/>
        <w:ind w:firstLine="640" w:firstLineChars="200"/>
        <w:textAlignment w:val="auto"/>
        <w:rPr>
          <w:rFonts w:eastAsia="仿宋_GB2312" w:cs="仿宋_GB2312"/>
          <w:sz w:val="32"/>
          <w:szCs w:val="32"/>
        </w:rPr>
      </w:pPr>
    </w:p>
    <w:p>
      <w:pPr>
        <w:pageBreakBefore w:val="0"/>
        <w:kinsoku/>
        <w:wordWrap/>
        <w:overflowPunct/>
        <w:topLinePunct w:val="0"/>
        <w:bidi w:val="0"/>
        <w:spacing w:line="600" w:lineRule="exact"/>
        <w:ind w:firstLine="640" w:firstLineChars="200"/>
        <w:textAlignment w:val="auto"/>
        <w:rPr>
          <w:rFonts w:eastAsia="仿宋_GB2312" w:cs="仿宋_GB2312"/>
          <w:sz w:val="32"/>
          <w:szCs w:val="32"/>
        </w:rPr>
      </w:pPr>
    </w:p>
    <w:p>
      <w:pPr>
        <w:pageBreakBefore w:val="0"/>
        <w:kinsoku/>
        <w:wordWrap/>
        <w:overflowPunct/>
        <w:topLinePunct w:val="0"/>
        <w:bidi w:val="0"/>
        <w:spacing w:line="600" w:lineRule="exact"/>
        <w:textAlignment w:val="auto"/>
        <w:rPr>
          <w:rFonts w:eastAsia="仿宋_GB2312" w:cs="仿宋_GB2312"/>
          <w:sz w:val="32"/>
          <w:szCs w:val="32"/>
        </w:rPr>
      </w:pPr>
    </w:p>
    <w:p>
      <w:pPr>
        <w:pageBreakBefore w:val="0"/>
        <w:kinsoku/>
        <w:wordWrap/>
        <w:overflowPunct/>
        <w:topLinePunct w:val="0"/>
        <w:bidi w:val="0"/>
        <w:spacing w:line="600" w:lineRule="exact"/>
        <w:textAlignment w:val="auto"/>
        <w:rPr>
          <w:rFonts w:eastAsia="仿宋_GB2312" w:cs="仿宋_GB2312"/>
          <w:sz w:val="32"/>
          <w:szCs w:val="32"/>
        </w:rPr>
      </w:pPr>
    </w:p>
    <w:p>
      <w:pPr>
        <w:pageBreakBefore w:val="0"/>
        <w:kinsoku/>
        <w:wordWrap/>
        <w:overflowPunct/>
        <w:topLinePunct w:val="0"/>
        <w:bidi w:val="0"/>
        <w:spacing w:line="600" w:lineRule="exact"/>
        <w:jc w:val="center"/>
        <w:textAlignment w:val="auto"/>
        <w:rPr>
          <w:rFonts w:hint="eastAsia" w:eastAsia="仿宋_GB2312" w:cs="仿宋_GB2312"/>
          <w:sz w:val="30"/>
          <w:szCs w:val="30"/>
        </w:rPr>
      </w:pPr>
    </w:p>
    <w:p>
      <w:pPr>
        <w:pageBreakBefore w:val="0"/>
        <w:kinsoku/>
        <w:wordWrap/>
        <w:overflowPunct/>
        <w:topLinePunct w:val="0"/>
        <w:bidi w:val="0"/>
        <w:spacing w:line="600" w:lineRule="exact"/>
        <w:jc w:val="center"/>
        <w:textAlignment w:val="auto"/>
        <w:rPr>
          <w:rFonts w:eastAsia="仿宋_GB2312" w:cs="仿宋_GB2312"/>
          <w:sz w:val="30"/>
          <w:szCs w:val="30"/>
        </w:rPr>
      </w:pPr>
      <w:r>
        <w:rPr>
          <w:rFonts w:hint="eastAsia" w:eastAsia="仿宋_GB2312" w:cs="仿宋_GB2312"/>
          <w:sz w:val="30"/>
          <w:szCs w:val="30"/>
        </w:rPr>
        <w:t>（图4：财政拨款收、支决算总计变动情况）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Style w:val="29"/>
          <w:rFonts w:hint="eastAsia" w:ascii="方正黑体_GBK" w:hAnsi="方正黑体_GBK" w:eastAsia="方正黑体_GBK" w:cs="方正黑体_GBK"/>
          <w:b w:val="0"/>
        </w:rPr>
      </w:pPr>
      <w:bookmarkStart w:id="28" w:name="_Toc15377209"/>
      <w:bookmarkStart w:id="29" w:name="_Toc15396607"/>
      <w:r>
        <w:rPr>
          <w:rFonts w:hint="eastAsia" w:ascii="方正黑体_GBK" w:hAnsi="方正黑体_GBK" w:eastAsia="方正黑体_GBK" w:cs="方正黑体_GBK"/>
          <w:sz w:val="32"/>
          <w:szCs w:val="32"/>
        </w:rPr>
        <w:t>五、</w:t>
      </w:r>
      <w:r>
        <w:rPr>
          <w:rFonts w:hint="eastAsia" w:ascii="方正黑体_GBK" w:hAnsi="方正黑体_GBK" w:eastAsia="方正黑体_GBK" w:cs="方正黑体_GBK"/>
          <w:b/>
          <w:sz w:val="32"/>
          <w:szCs w:val="32"/>
        </w:rPr>
        <w:t>一</w:t>
      </w:r>
      <w:r>
        <w:rPr>
          <w:rStyle w:val="29"/>
          <w:rFonts w:hint="eastAsia" w:ascii="方正黑体_GBK" w:hAnsi="方正黑体_GBK" w:eastAsia="方正黑体_GBK" w:cs="方正黑体_GBK"/>
          <w:b w:val="0"/>
        </w:rPr>
        <w:t>般公共预算财政拨款支出决算情况说明</w:t>
      </w:r>
      <w:bookmarkEnd w:id="28"/>
      <w:bookmarkEnd w:id="29"/>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方正楷体_GBK" w:hAnsi="方正楷体_GBK" w:eastAsia="方正楷体_GBK" w:cs="方正楷体_GBK"/>
          <w:b/>
          <w:bCs w:val="0"/>
          <w:sz w:val="32"/>
          <w:szCs w:val="32"/>
        </w:rPr>
      </w:pPr>
      <w:bookmarkStart w:id="30" w:name="_Toc15377210"/>
      <w:r>
        <w:rPr>
          <w:rFonts w:hint="eastAsia" w:ascii="方正楷体_GBK" w:hAnsi="方正楷体_GBK" w:eastAsia="方正楷体_GBK" w:cs="方正楷体_GBK"/>
          <w:b/>
          <w:bCs w:val="0"/>
          <w:sz w:val="32"/>
          <w:szCs w:val="32"/>
        </w:rPr>
        <w:t>（一）一般公共预算财政拨款支出决算总体情况</w:t>
      </w:r>
      <w:bookmarkEnd w:id="30"/>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2024年度一般公共预算财政拨款支出2319.89万元，占本年支出合计的100%。与2023年度相比，一般公共预算财政拨款支出减少461.25万元，下降16.58%。主要变动原因为厉行节约减少非必要专项支出。</w:t>
      </w:r>
    </w:p>
    <w:p>
      <w:pPr>
        <w:pStyle w:val="2"/>
        <w:pageBreakBefore w:val="0"/>
        <w:kinsoku/>
        <w:wordWrap/>
        <w:overflowPunct/>
        <w:topLinePunct w:val="0"/>
        <w:bidi w:val="0"/>
        <w:spacing w:before="0" w:after="0"/>
        <w:textAlignment w:val="auto"/>
      </w:pPr>
      <w:r>
        <w:rPr>
          <w:rFonts w:hint="eastAsia" w:ascii="仿宋_GB2312" w:hAnsi="仿宋_GB2312" w:eastAsia="仿宋_GB2312" w:cs="仿宋_GB2312"/>
          <w:sz w:val="32"/>
          <w:szCs w:val="32"/>
        </w:rPr>
        <w:drawing>
          <wp:inline distT="0" distB="0" distL="0" distR="0">
            <wp:extent cx="5328285" cy="3673475"/>
            <wp:effectExtent l="4445" t="4445" r="20320" b="17780"/>
            <wp:docPr id="15"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firstLine="300" w:firstLineChars="100"/>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（图5：一般公共预算财政拨款支出决算变动情况）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方正楷体_GBK" w:hAnsi="方正楷体_GBK" w:eastAsia="方正楷体_GBK" w:cs="方正楷体_GBK"/>
          <w:b/>
          <w:bCs w:val="0"/>
          <w:sz w:val="32"/>
          <w:szCs w:val="32"/>
        </w:rPr>
      </w:pPr>
      <w:bookmarkStart w:id="31" w:name="_Toc15377211"/>
      <w:r>
        <w:rPr>
          <w:rFonts w:hint="eastAsia" w:ascii="方正楷体_GBK" w:hAnsi="方正楷体_GBK" w:eastAsia="方正楷体_GBK" w:cs="方正楷体_GBK"/>
          <w:b/>
          <w:bCs w:val="0"/>
          <w:sz w:val="32"/>
          <w:szCs w:val="32"/>
        </w:rPr>
        <w:t>（二）一般公共预算财政拨款支出决算结构情况</w:t>
      </w:r>
      <w:bookmarkEnd w:id="31"/>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2024年度一般公共预算财政拨款支出2319.89万元，主要用于以下方面：</w:t>
      </w:r>
      <w:r>
        <w:rPr>
          <w:rFonts w:hint="default" w:ascii="Times New Roman" w:hAnsi="Times New Roman" w:eastAsia="方正仿宋_GBK" w:cs="Times New Roman"/>
          <w:b/>
          <w:sz w:val="32"/>
          <w:szCs w:val="32"/>
        </w:rPr>
        <w:t>社会保障和就业</w:t>
      </w:r>
      <w:r>
        <w:rPr>
          <w:rFonts w:hint="default" w:ascii="Times New Roman" w:hAnsi="Times New Roman" w:eastAsia="方正仿宋_GBK" w:cs="Times New Roman"/>
          <w:b/>
          <w:bCs/>
          <w:sz w:val="32"/>
          <w:szCs w:val="32"/>
        </w:rPr>
        <w:t>支出</w:t>
      </w:r>
      <w:r>
        <w:rPr>
          <w:rFonts w:hint="default" w:ascii="Times New Roman" w:hAnsi="Times New Roman" w:eastAsia="方正仿宋_GBK" w:cs="Times New Roman"/>
          <w:sz w:val="32"/>
          <w:szCs w:val="32"/>
        </w:rPr>
        <w:t>256.76万元，占11.07%；</w:t>
      </w:r>
      <w:r>
        <w:rPr>
          <w:rFonts w:hint="default" w:ascii="Times New Roman" w:hAnsi="Times New Roman" w:eastAsia="方正仿宋_GBK" w:cs="Times New Roman"/>
          <w:b/>
          <w:bCs/>
          <w:sz w:val="32"/>
          <w:szCs w:val="32"/>
        </w:rPr>
        <w:t>卫生健康支出</w:t>
      </w:r>
      <w:r>
        <w:rPr>
          <w:rFonts w:hint="default" w:ascii="Times New Roman" w:hAnsi="Times New Roman" w:eastAsia="方正仿宋_GBK" w:cs="Times New Roman"/>
          <w:sz w:val="32"/>
          <w:szCs w:val="32"/>
        </w:rPr>
        <w:t>114.26万元，占4.93%；</w:t>
      </w:r>
      <w:r>
        <w:rPr>
          <w:rFonts w:hint="default" w:ascii="Times New Roman" w:hAnsi="Times New Roman" w:eastAsia="方正仿宋_GBK" w:cs="Times New Roman"/>
          <w:b/>
          <w:bCs/>
          <w:sz w:val="32"/>
          <w:szCs w:val="32"/>
        </w:rPr>
        <w:t>住房保障支出</w:t>
      </w:r>
      <w:r>
        <w:rPr>
          <w:rFonts w:hint="default" w:ascii="Times New Roman" w:hAnsi="Times New Roman" w:eastAsia="方正仿宋_GBK" w:cs="Times New Roman"/>
          <w:sz w:val="32"/>
          <w:szCs w:val="32"/>
        </w:rPr>
        <w:t>141.91万元，占6.12%；</w:t>
      </w:r>
      <w:r>
        <w:rPr>
          <w:rFonts w:hint="default" w:ascii="Times New Roman" w:hAnsi="Times New Roman" w:eastAsia="方正仿宋_GBK" w:cs="Times New Roman"/>
          <w:b/>
          <w:sz w:val="32"/>
          <w:szCs w:val="32"/>
        </w:rPr>
        <w:t>交通运输支出</w:t>
      </w:r>
      <w:r>
        <w:rPr>
          <w:rFonts w:hint="default" w:ascii="Times New Roman" w:hAnsi="Times New Roman" w:eastAsia="方正仿宋_GBK" w:cs="Times New Roman"/>
          <w:sz w:val="32"/>
          <w:szCs w:val="32"/>
        </w:rPr>
        <w:t>1806.96万元，占77.88%。</w:t>
      </w:r>
    </w:p>
    <w:p>
      <w:pPr>
        <w:pageBreakBefore w:val="0"/>
        <w:kinsoku/>
        <w:wordWrap/>
        <w:overflowPunct/>
        <w:topLinePunct w:val="0"/>
        <w:bidi w:val="0"/>
        <w:spacing w:line="600" w:lineRule="exact"/>
        <w:ind w:firstLine="640"/>
        <w:textAlignment w:val="auto"/>
        <w:rPr>
          <w:rFonts w:eastAsia="仿宋_GB2312" w:cs="仿宋_GB2312"/>
          <w:sz w:val="32"/>
          <w:szCs w:val="32"/>
        </w:rPr>
      </w:pPr>
      <w:r>
        <w:rPr>
          <w:rFonts w:hint="eastAsia" w:eastAsia="仿宋_GB2312" w:cs="仿宋_GB2312"/>
          <w:sz w:val="32"/>
          <w:szCs w:val="32"/>
        </w:rPr>
        <w:drawing>
          <wp:anchor distT="0" distB="0" distL="114300" distR="114300" simplePos="0" relativeHeight="251661312" behindDoc="0" locked="0" layoutInCell="1" allowOverlap="1">
            <wp:simplePos x="0" y="0"/>
            <wp:positionH relativeFrom="column">
              <wp:posOffset>276225</wp:posOffset>
            </wp:positionH>
            <wp:positionV relativeFrom="paragraph">
              <wp:posOffset>314325</wp:posOffset>
            </wp:positionV>
            <wp:extent cx="4991100" cy="3524250"/>
            <wp:effectExtent l="19050" t="0" r="19050" b="0"/>
            <wp:wrapNone/>
            <wp:docPr id="17"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pPr>
        <w:pageBreakBefore w:val="0"/>
        <w:kinsoku/>
        <w:wordWrap/>
        <w:overflowPunct/>
        <w:topLinePunct w:val="0"/>
        <w:bidi w:val="0"/>
        <w:spacing w:line="600" w:lineRule="exact"/>
        <w:ind w:firstLine="640"/>
        <w:textAlignment w:val="auto"/>
        <w:rPr>
          <w:rFonts w:eastAsia="仿宋_GB2312" w:cs="仿宋_GB2312"/>
          <w:sz w:val="32"/>
          <w:szCs w:val="32"/>
        </w:rPr>
      </w:pPr>
    </w:p>
    <w:p>
      <w:pPr>
        <w:pageBreakBefore w:val="0"/>
        <w:kinsoku/>
        <w:wordWrap/>
        <w:overflowPunct/>
        <w:topLinePunct w:val="0"/>
        <w:bidi w:val="0"/>
        <w:spacing w:line="600" w:lineRule="exact"/>
        <w:ind w:firstLine="640"/>
        <w:textAlignment w:val="auto"/>
        <w:rPr>
          <w:rFonts w:eastAsia="仿宋_GB2312" w:cs="仿宋_GB2312"/>
          <w:sz w:val="32"/>
          <w:szCs w:val="32"/>
        </w:rPr>
      </w:pPr>
    </w:p>
    <w:p>
      <w:pPr>
        <w:pageBreakBefore w:val="0"/>
        <w:kinsoku/>
        <w:wordWrap/>
        <w:overflowPunct/>
        <w:topLinePunct w:val="0"/>
        <w:bidi w:val="0"/>
        <w:spacing w:line="600" w:lineRule="exact"/>
        <w:ind w:firstLine="640"/>
        <w:textAlignment w:val="auto"/>
        <w:rPr>
          <w:rFonts w:eastAsia="仿宋_GB2312" w:cs="仿宋_GB2312"/>
          <w:sz w:val="32"/>
          <w:szCs w:val="32"/>
        </w:rPr>
      </w:pPr>
    </w:p>
    <w:p>
      <w:pPr>
        <w:pageBreakBefore w:val="0"/>
        <w:kinsoku/>
        <w:wordWrap/>
        <w:overflowPunct/>
        <w:topLinePunct w:val="0"/>
        <w:bidi w:val="0"/>
        <w:spacing w:line="600" w:lineRule="exact"/>
        <w:ind w:firstLine="640"/>
        <w:textAlignment w:val="auto"/>
        <w:rPr>
          <w:rFonts w:eastAsia="仿宋_GB2312" w:cs="仿宋_GB2312"/>
          <w:sz w:val="32"/>
          <w:szCs w:val="32"/>
        </w:rPr>
      </w:pPr>
    </w:p>
    <w:p>
      <w:pPr>
        <w:pageBreakBefore w:val="0"/>
        <w:kinsoku/>
        <w:wordWrap/>
        <w:overflowPunct/>
        <w:topLinePunct w:val="0"/>
        <w:bidi w:val="0"/>
        <w:spacing w:line="600" w:lineRule="exact"/>
        <w:ind w:firstLine="640"/>
        <w:textAlignment w:val="auto"/>
        <w:rPr>
          <w:rFonts w:eastAsia="仿宋_GB2312" w:cs="仿宋_GB2312"/>
          <w:sz w:val="32"/>
          <w:szCs w:val="32"/>
        </w:rPr>
      </w:pPr>
    </w:p>
    <w:p>
      <w:pPr>
        <w:pageBreakBefore w:val="0"/>
        <w:kinsoku/>
        <w:wordWrap/>
        <w:overflowPunct/>
        <w:topLinePunct w:val="0"/>
        <w:bidi w:val="0"/>
        <w:spacing w:line="600" w:lineRule="exact"/>
        <w:ind w:firstLine="640"/>
        <w:textAlignment w:val="auto"/>
        <w:rPr>
          <w:rFonts w:eastAsia="仿宋_GB2312" w:cs="仿宋_GB2312"/>
          <w:sz w:val="32"/>
          <w:szCs w:val="32"/>
        </w:rPr>
      </w:pPr>
    </w:p>
    <w:p>
      <w:pPr>
        <w:pageBreakBefore w:val="0"/>
        <w:kinsoku/>
        <w:wordWrap/>
        <w:overflowPunct/>
        <w:topLinePunct w:val="0"/>
        <w:bidi w:val="0"/>
        <w:spacing w:line="600" w:lineRule="exact"/>
        <w:ind w:firstLine="640"/>
        <w:textAlignment w:val="auto"/>
        <w:rPr>
          <w:rFonts w:eastAsia="仿宋_GB2312" w:cs="仿宋_GB2312"/>
          <w:sz w:val="32"/>
          <w:szCs w:val="32"/>
        </w:rPr>
      </w:pPr>
    </w:p>
    <w:p>
      <w:pPr>
        <w:pageBreakBefore w:val="0"/>
        <w:kinsoku/>
        <w:wordWrap/>
        <w:overflowPunct/>
        <w:topLinePunct w:val="0"/>
        <w:bidi w:val="0"/>
        <w:spacing w:line="600" w:lineRule="exact"/>
        <w:ind w:firstLine="640"/>
        <w:textAlignment w:val="auto"/>
        <w:rPr>
          <w:rFonts w:eastAsia="仿宋_GB2312" w:cs="仿宋_GB2312"/>
          <w:sz w:val="32"/>
          <w:szCs w:val="32"/>
        </w:rPr>
      </w:pPr>
    </w:p>
    <w:p>
      <w:pPr>
        <w:pageBreakBefore w:val="0"/>
        <w:kinsoku/>
        <w:wordWrap/>
        <w:overflowPunct/>
        <w:topLinePunct w:val="0"/>
        <w:bidi w:val="0"/>
        <w:spacing w:line="600" w:lineRule="exact"/>
        <w:ind w:firstLine="640"/>
        <w:textAlignment w:val="auto"/>
        <w:rPr>
          <w:rFonts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（图6：一般公共预算财政拨款支出决算结构）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方正楷体_GBK" w:hAnsi="方正楷体_GBK" w:eastAsia="方正楷体_GBK" w:cs="方正楷体_GBK"/>
          <w:b/>
          <w:bCs w:val="0"/>
          <w:sz w:val="32"/>
          <w:szCs w:val="32"/>
        </w:rPr>
      </w:pPr>
      <w:bookmarkStart w:id="32" w:name="_Toc15377212"/>
      <w:r>
        <w:rPr>
          <w:rFonts w:hint="eastAsia" w:ascii="方正楷体_GBK" w:hAnsi="方正楷体_GBK" w:eastAsia="方正楷体_GBK" w:cs="方正楷体_GBK"/>
          <w:b/>
          <w:bCs w:val="0"/>
          <w:sz w:val="32"/>
          <w:szCs w:val="32"/>
        </w:rPr>
        <w:t>（三）一般公共预算财政拨款支出决算具体情况</w:t>
      </w:r>
      <w:bookmarkEnd w:id="3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bookmarkStart w:id="33" w:name="_Toc15377213"/>
      <w:bookmarkStart w:id="34" w:name="_Toc15377444"/>
      <w:bookmarkStart w:id="35" w:name="_Toc15378460"/>
      <w:r>
        <w:rPr>
          <w:rFonts w:hint="default" w:ascii="Times New Roman" w:hAnsi="Times New Roman" w:eastAsia="方正仿宋_GBK" w:cs="Times New Roman"/>
          <w:sz w:val="32"/>
          <w:szCs w:val="32"/>
        </w:rPr>
        <w:t>2024年度一般公共预算财政拨款支出决算数为2319.89，完成预算100%。其中：</w:t>
      </w:r>
      <w:bookmarkEnd w:id="33"/>
      <w:bookmarkEnd w:id="34"/>
      <w:bookmarkEnd w:id="3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1.社会保障和就业支出（类）行政事业单位养老支出（款）行政单位离退休（项）:支出决算为57.84万元，完成预算100%。决算数与预算数相等。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2.社会保障和就业支出（类）行政事业单位养老支出（款）机关事业单位基本养老保险缴费支出（项）:支出决算为170.31万元，完成预算100%。决算数与预算数相等。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3.社会保障和就业支出（类）行政事业单位养老支出（款）机关事业单位职业年金缴费支出（项）:支出决算为28.61万元，完成预算100%。决算数与预算数相等。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sz w:val="32"/>
          <w:szCs w:val="32"/>
        </w:rPr>
        <w:t>4.</w:t>
      </w:r>
      <w:r>
        <w:rPr>
          <w:rFonts w:hint="default" w:ascii="Times New Roman" w:hAnsi="Times New Roman" w:eastAsia="方正仿宋_GBK" w:cs="Times New Roman"/>
          <w:sz w:val="32"/>
          <w:szCs w:val="32"/>
        </w:rPr>
        <w:t>卫生健康（类）行政事业单位医疗（款）行政单位医疗（项）:支出决算为90.87万元，完成预算100%，决算数与预算数相等。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sz w:val="32"/>
          <w:szCs w:val="32"/>
        </w:rPr>
        <w:t>5.</w:t>
      </w:r>
      <w:r>
        <w:rPr>
          <w:rFonts w:hint="default" w:ascii="Times New Roman" w:hAnsi="Times New Roman" w:eastAsia="方正仿宋_GBK" w:cs="Times New Roman"/>
          <w:sz w:val="32"/>
          <w:szCs w:val="32"/>
        </w:rPr>
        <w:t>卫生健康（类）行政事业单位医疗（款）公务员医疗补助（项）:支出决算为10.94万元，完成预算100%</w:t>
      </w:r>
      <w:r>
        <w:rPr>
          <w:rFonts w:hint="default" w:ascii="Times New Roman" w:hAnsi="Times New Roman" w:eastAsia="方正仿宋_GBK" w:cs="Times New Roman"/>
          <w:b/>
          <w:sz w:val="32"/>
          <w:szCs w:val="32"/>
        </w:rPr>
        <w:t>，</w:t>
      </w:r>
      <w:r>
        <w:rPr>
          <w:rFonts w:hint="default" w:ascii="Times New Roman" w:hAnsi="Times New Roman" w:eastAsia="方正仿宋_GBK" w:cs="Times New Roman"/>
          <w:sz w:val="32"/>
          <w:szCs w:val="32"/>
        </w:rPr>
        <w:t>决算数与预算数相等。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sz w:val="32"/>
          <w:szCs w:val="32"/>
        </w:rPr>
        <w:t>6.</w:t>
      </w:r>
      <w:r>
        <w:rPr>
          <w:rFonts w:hint="default" w:ascii="Times New Roman" w:hAnsi="Times New Roman" w:eastAsia="方正仿宋_GBK" w:cs="Times New Roman"/>
          <w:sz w:val="32"/>
          <w:szCs w:val="32"/>
        </w:rPr>
        <w:t>卫生健康（类）行政事业单位医疗（款）其他行政事业单位医疗支出（项）:支出决算为12.45万元，完成预算100%，决算数与预算数相等。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7.交通运输支出（类）公路水路运输（款）行政运行（项）:支出决算为1776.96万元，完成预算100%。决算数与预算数相等。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8.交通运输支出（类）公路水路运输（款）公路运输管理（项）:支出决算为30万元，完成预算100%。决算数与预算数相等。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eastAsia" w:eastAsia="方正仿宋_GBK" w:cs="Times New Roman"/>
          <w:sz w:val="32"/>
          <w:szCs w:val="32"/>
          <w:lang w:val="en-US" w:eastAsia="zh-CN"/>
        </w:rPr>
        <w:t>9</w:t>
      </w:r>
      <w:r>
        <w:rPr>
          <w:rFonts w:hint="default" w:ascii="Times New Roman" w:hAnsi="Times New Roman" w:eastAsia="方正仿宋_GBK" w:cs="Times New Roman"/>
          <w:sz w:val="32"/>
          <w:szCs w:val="32"/>
        </w:rPr>
        <w:t>.住房保障支出（类）住房改革支出（款）住房公积金（项）:支出决算为141.91万元，完成预算100%。决算数与预算数相等。</w:t>
      </w:r>
    </w:p>
    <w:p>
      <w:pPr>
        <w:keepNext w:val="0"/>
        <w:keepLines w:val="0"/>
        <w:pageBreakBefore w:val="0"/>
        <w:widowControl w:val="0"/>
        <w:tabs>
          <w:tab w:val="right" w:pos="8306"/>
        </w:tabs>
        <w:kinsoku/>
        <w:wordWrap/>
        <w:overflowPunct/>
        <w:topLinePunct w:val="0"/>
        <w:autoSpaceDE/>
        <w:autoSpaceDN/>
        <w:bidi w:val="0"/>
        <w:adjustRightInd/>
        <w:snapToGrid/>
        <w:spacing w:line="560" w:lineRule="exact"/>
        <w:ind w:firstLine="640" w:firstLineChars="200"/>
        <w:textAlignment w:val="auto"/>
        <w:outlineLvl w:val="1"/>
        <w:rPr>
          <w:rStyle w:val="29"/>
          <w:rFonts w:hint="default" w:ascii="Times New Roman" w:hAnsi="Times New Roman" w:eastAsia="方正仿宋_GBK" w:cs="Times New Roman"/>
        </w:rPr>
      </w:pPr>
      <w:bookmarkStart w:id="36" w:name="_Toc15377214"/>
      <w:bookmarkStart w:id="37" w:name="_Toc15396608"/>
      <w:r>
        <w:rPr>
          <w:rFonts w:hint="eastAsia" w:ascii="方正黑体_GBK" w:hAnsi="方正黑体_GBK" w:eastAsia="方正黑体_GBK" w:cs="方正黑体_GBK"/>
          <w:sz w:val="32"/>
          <w:szCs w:val="32"/>
        </w:rPr>
        <w:t>六</w:t>
      </w:r>
      <w:r>
        <w:rPr>
          <w:rFonts w:hint="eastAsia" w:ascii="方正黑体_GBK" w:hAnsi="方正黑体_GBK" w:eastAsia="方正黑体_GBK" w:cs="方正黑体_GBK"/>
          <w:b/>
          <w:sz w:val="32"/>
          <w:szCs w:val="32"/>
        </w:rPr>
        <w:t>、一</w:t>
      </w:r>
      <w:r>
        <w:rPr>
          <w:rStyle w:val="29"/>
          <w:rFonts w:hint="eastAsia" w:ascii="方正黑体_GBK" w:hAnsi="方正黑体_GBK" w:eastAsia="方正黑体_GBK" w:cs="方正黑体_GBK"/>
          <w:b w:val="0"/>
        </w:rPr>
        <w:t>般公共预算财政拨款基本支出决算情况说明</w:t>
      </w:r>
      <w:bookmarkEnd w:id="36"/>
      <w:bookmarkEnd w:id="37"/>
      <w:r>
        <w:rPr>
          <w:rStyle w:val="29"/>
          <w:rFonts w:hint="default" w:ascii="Times New Roman" w:hAnsi="Times New Roman" w:eastAsia="方正仿宋_GBK" w:cs="Times New Roman"/>
          <w:b w:val="0"/>
        </w:rPr>
        <w:tab/>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2024年度一般公共预算财政拨款基本支出2289.</w:t>
      </w:r>
      <w:r>
        <w:rPr>
          <w:rFonts w:hint="eastAsia" w:eastAsia="方正仿宋_GBK" w:cs="Times New Roman"/>
          <w:sz w:val="32"/>
          <w:szCs w:val="32"/>
          <w:lang w:val="en-US" w:eastAsia="zh-CN"/>
        </w:rPr>
        <w:t>8</w:t>
      </w:r>
      <w:r>
        <w:rPr>
          <w:rFonts w:hint="default" w:ascii="Times New Roman" w:hAnsi="Times New Roman" w:eastAsia="方正仿宋_GBK" w:cs="Times New Roman"/>
          <w:sz w:val="32"/>
          <w:szCs w:val="32"/>
        </w:rPr>
        <w:t>9万元，其中：</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人员经费2067.38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公用经费222.51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Style w:val="29"/>
          <w:rFonts w:hint="eastAsia" w:ascii="方正黑体_GBK" w:hAnsi="方正黑体_GBK" w:eastAsia="方正黑体_GBK" w:cs="方正黑体_GBK"/>
          <w:b w:val="0"/>
        </w:rPr>
      </w:pPr>
      <w:bookmarkStart w:id="38" w:name="_Toc15396609"/>
      <w:bookmarkStart w:id="39" w:name="_Toc15377215"/>
      <w:r>
        <w:rPr>
          <w:rFonts w:hint="eastAsia" w:ascii="方正黑体_GBK" w:hAnsi="方正黑体_GBK" w:eastAsia="方正黑体_GBK" w:cs="方正黑体_GBK"/>
          <w:sz w:val="32"/>
          <w:szCs w:val="32"/>
        </w:rPr>
        <w:t>七、</w:t>
      </w:r>
      <w:r>
        <w:rPr>
          <w:rStyle w:val="29"/>
          <w:rFonts w:hint="eastAsia" w:ascii="方正黑体_GBK" w:hAnsi="方正黑体_GBK" w:eastAsia="方正黑体_GBK" w:cs="方正黑体_GBK"/>
          <w:b w:val="0"/>
        </w:rPr>
        <w:t>财政拨款</w:t>
      </w:r>
      <w:r>
        <w:rPr>
          <w:rStyle w:val="29"/>
          <w:rFonts w:hint="eastAsia" w:ascii="方正黑体_GBK" w:hAnsi="方正黑体_GBK" w:eastAsia="方正黑体_GBK" w:cs="方正黑体_GBK"/>
        </w:rPr>
        <w:t>“</w:t>
      </w:r>
      <w:r>
        <w:rPr>
          <w:rStyle w:val="29"/>
          <w:rFonts w:hint="eastAsia" w:ascii="方正黑体_GBK" w:hAnsi="方正黑体_GBK" w:eastAsia="方正黑体_GBK" w:cs="方正黑体_GBK"/>
          <w:b w:val="0"/>
        </w:rPr>
        <w:t>三公”经费支出决算情况说明</w:t>
      </w:r>
      <w:bookmarkEnd w:id="38"/>
      <w:bookmarkEnd w:id="39"/>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方正楷体_GBK" w:hAnsi="方正楷体_GBK" w:eastAsia="方正楷体_GBK" w:cs="方正楷体_GBK"/>
          <w:b/>
          <w:bCs w:val="0"/>
          <w:sz w:val="32"/>
          <w:szCs w:val="32"/>
        </w:rPr>
      </w:pPr>
      <w:bookmarkStart w:id="40" w:name="_Toc15377216"/>
      <w:r>
        <w:rPr>
          <w:rFonts w:hint="eastAsia" w:ascii="方正楷体_GBK" w:hAnsi="方正楷体_GBK" w:eastAsia="方正楷体_GBK" w:cs="方正楷体_GBK"/>
          <w:b/>
          <w:bCs w:val="0"/>
          <w:sz w:val="32"/>
          <w:szCs w:val="32"/>
        </w:rPr>
        <w:t>（一）“三公”经费财政拨款支出决算总体情况说明</w:t>
      </w:r>
      <w:bookmarkEnd w:id="40"/>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2024年度“三公”经费财政拨款支出决算为11.68万元，完成预算60.1%，较上年度减少2.26万元，下降16.5%。决算数小于预算数（或与预算数持平）的主要原因是是厉行节约，减少非必要支出。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方正楷体_GBK" w:hAnsi="方正楷体_GBK" w:eastAsia="方正楷体_GBK" w:cs="方正楷体_GBK"/>
          <w:b/>
          <w:bCs w:val="0"/>
          <w:sz w:val="32"/>
          <w:szCs w:val="32"/>
        </w:rPr>
      </w:pPr>
      <w:bookmarkStart w:id="41" w:name="_Toc15377217"/>
      <w:r>
        <w:rPr>
          <w:rFonts w:hint="eastAsia" w:ascii="方正楷体_GBK" w:hAnsi="方正楷体_GBK" w:eastAsia="方正楷体_GBK" w:cs="方正楷体_GBK"/>
          <w:b/>
          <w:bCs w:val="0"/>
          <w:sz w:val="32"/>
          <w:szCs w:val="32"/>
        </w:rPr>
        <w:t>（二）“三公”经费财政拨款支出决算具体情况说明</w:t>
      </w:r>
      <w:bookmarkEnd w:id="41"/>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2024年度“三公”经费财政拨款支出决算中，因公出国（境）费支出决算0万元，占0%；公务用车购置及运行维护费支出决算11.17万元，占95.63%；公务接待费支出决算0.51万元，占4.37%。具体情况如下：</w:t>
      </w:r>
    </w:p>
    <w:p>
      <w:pPr>
        <w:pageBreakBefore w:val="0"/>
        <w:kinsoku/>
        <w:wordWrap/>
        <w:overflowPunct/>
        <w:topLinePunct w:val="0"/>
        <w:bidi w:val="0"/>
        <w:spacing w:line="600" w:lineRule="exact"/>
        <w:ind w:firstLine="640"/>
        <w:textAlignment w:val="auto"/>
        <w:rPr>
          <w:rFonts w:eastAsia="仿宋_GB2312" w:cs="仿宋_GB2312"/>
          <w:sz w:val="32"/>
          <w:szCs w:val="32"/>
        </w:rPr>
      </w:pPr>
    </w:p>
    <w:p>
      <w:pPr>
        <w:pageBreakBefore w:val="0"/>
        <w:kinsoku/>
        <w:wordWrap/>
        <w:overflowPunct/>
        <w:topLinePunct w:val="0"/>
        <w:bidi w:val="0"/>
        <w:spacing w:line="600" w:lineRule="exact"/>
        <w:ind w:firstLine="640"/>
        <w:textAlignment w:val="auto"/>
        <w:rPr>
          <w:rFonts w:eastAsia="仿宋_GB2312" w:cs="仿宋_GB2312"/>
          <w:sz w:val="32"/>
          <w:szCs w:val="32"/>
        </w:rPr>
      </w:pPr>
    </w:p>
    <w:p>
      <w:pPr>
        <w:pageBreakBefore w:val="0"/>
        <w:kinsoku/>
        <w:wordWrap/>
        <w:overflowPunct/>
        <w:topLinePunct w:val="0"/>
        <w:bidi w:val="0"/>
        <w:spacing w:line="600" w:lineRule="exact"/>
        <w:ind w:firstLine="640"/>
        <w:textAlignment w:val="auto"/>
        <w:rPr>
          <w:rFonts w:eastAsia="仿宋_GB2312" w:cs="仿宋_GB2312"/>
          <w:sz w:val="32"/>
          <w:szCs w:val="32"/>
        </w:rPr>
      </w:pPr>
      <w:r>
        <w:rPr>
          <w:rFonts w:hint="eastAsia" w:eastAsia="仿宋_GB2312" w:cs="仿宋_GB2312"/>
          <w:sz w:val="32"/>
          <w:szCs w:val="32"/>
        </w:rPr>
        <w:drawing>
          <wp:anchor distT="0" distB="0" distL="114300" distR="114300" simplePos="0" relativeHeight="251662336" behindDoc="0" locked="0" layoutInCell="1" allowOverlap="1">
            <wp:simplePos x="0" y="0"/>
            <wp:positionH relativeFrom="column">
              <wp:posOffset>28575</wp:posOffset>
            </wp:positionH>
            <wp:positionV relativeFrom="paragraph">
              <wp:posOffset>-104775</wp:posOffset>
            </wp:positionV>
            <wp:extent cx="5274310" cy="3076575"/>
            <wp:effectExtent l="19050" t="0" r="21590" b="0"/>
            <wp:wrapNone/>
            <wp:docPr id="19"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pPr>
        <w:pageBreakBefore w:val="0"/>
        <w:kinsoku/>
        <w:wordWrap/>
        <w:overflowPunct/>
        <w:topLinePunct w:val="0"/>
        <w:bidi w:val="0"/>
        <w:spacing w:line="600" w:lineRule="exact"/>
        <w:ind w:firstLine="640"/>
        <w:textAlignment w:val="auto"/>
        <w:rPr>
          <w:rFonts w:eastAsia="仿宋_GB2312" w:cs="仿宋_GB2312"/>
          <w:sz w:val="32"/>
          <w:szCs w:val="32"/>
        </w:rPr>
      </w:pPr>
    </w:p>
    <w:p>
      <w:pPr>
        <w:pageBreakBefore w:val="0"/>
        <w:kinsoku/>
        <w:wordWrap/>
        <w:overflowPunct/>
        <w:topLinePunct w:val="0"/>
        <w:bidi w:val="0"/>
        <w:spacing w:line="600" w:lineRule="exact"/>
        <w:ind w:firstLine="640"/>
        <w:textAlignment w:val="auto"/>
        <w:rPr>
          <w:rFonts w:eastAsia="仿宋_GB2312" w:cs="仿宋_GB2312"/>
          <w:sz w:val="32"/>
          <w:szCs w:val="32"/>
        </w:rPr>
      </w:pPr>
    </w:p>
    <w:p>
      <w:pPr>
        <w:pageBreakBefore w:val="0"/>
        <w:kinsoku/>
        <w:wordWrap/>
        <w:overflowPunct/>
        <w:topLinePunct w:val="0"/>
        <w:bidi w:val="0"/>
        <w:spacing w:line="600" w:lineRule="exact"/>
        <w:ind w:firstLine="640"/>
        <w:textAlignment w:val="auto"/>
        <w:rPr>
          <w:rFonts w:eastAsia="仿宋_GB2312" w:cs="仿宋_GB2312"/>
          <w:sz w:val="32"/>
          <w:szCs w:val="32"/>
        </w:rPr>
      </w:pPr>
    </w:p>
    <w:p>
      <w:pPr>
        <w:pageBreakBefore w:val="0"/>
        <w:kinsoku/>
        <w:wordWrap/>
        <w:overflowPunct/>
        <w:topLinePunct w:val="0"/>
        <w:bidi w:val="0"/>
        <w:spacing w:line="600" w:lineRule="exact"/>
        <w:ind w:firstLine="640"/>
        <w:textAlignment w:val="auto"/>
        <w:rPr>
          <w:rFonts w:eastAsia="仿宋_GB2312" w:cs="仿宋_GB2312"/>
          <w:sz w:val="32"/>
          <w:szCs w:val="32"/>
        </w:rPr>
      </w:pPr>
    </w:p>
    <w:p>
      <w:pPr>
        <w:pageBreakBefore w:val="0"/>
        <w:kinsoku/>
        <w:wordWrap/>
        <w:overflowPunct/>
        <w:topLinePunct w:val="0"/>
        <w:bidi w:val="0"/>
        <w:spacing w:line="600" w:lineRule="exact"/>
        <w:ind w:firstLine="640"/>
        <w:textAlignment w:val="auto"/>
        <w:rPr>
          <w:rFonts w:eastAsia="仿宋_GB2312" w:cs="仿宋_GB2312"/>
          <w:sz w:val="32"/>
          <w:szCs w:val="32"/>
        </w:rPr>
      </w:pPr>
    </w:p>
    <w:p>
      <w:pPr>
        <w:pageBreakBefore w:val="0"/>
        <w:kinsoku/>
        <w:wordWrap/>
        <w:overflowPunct/>
        <w:topLinePunct w:val="0"/>
        <w:bidi w:val="0"/>
        <w:spacing w:line="600" w:lineRule="exact"/>
        <w:ind w:firstLine="640"/>
        <w:textAlignment w:val="auto"/>
        <w:rPr>
          <w:rFonts w:eastAsia="仿宋_GB2312" w:cs="仿宋_GB2312"/>
          <w:sz w:val="32"/>
          <w:szCs w:val="32"/>
        </w:rPr>
      </w:pPr>
    </w:p>
    <w:p>
      <w:pPr>
        <w:pageBreakBefore w:val="0"/>
        <w:kinsoku/>
        <w:wordWrap/>
        <w:overflowPunct/>
        <w:topLinePunct w:val="0"/>
        <w:bidi w:val="0"/>
        <w:spacing w:line="600" w:lineRule="exact"/>
        <w:ind w:firstLine="640"/>
        <w:textAlignment w:val="auto"/>
        <w:rPr>
          <w:rFonts w:eastAsia="仿宋_GB2312" w:cs="仿宋_GB2312"/>
          <w:sz w:val="32"/>
          <w:szCs w:val="32"/>
        </w:rPr>
      </w:pPr>
    </w:p>
    <w:p>
      <w:pPr>
        <w:pageBreakBefore w:val="0"/>
        <w:kinsoku/>
        <w:wordWrap/>
        <w:overflowPunct/>
        <w:topLinePunct w:val="0"/>
        <w:bidi w:val="0"/>
        <w:spacing w:line="600" w:lineRule="exact"/>
        <w:jc w:val="center"/>
        <w:textAlignment w:val="auto"/>
        <w:rPr>
          <w:rFonts w:eastAsia="仿宋_GB2312" w:cs="仿宋_GB2312"/>
          <w:sz w:val="30"/>
          <w:szCs w:val="30"/>
        </w:rPr>
      </w:pPr>
      <w:r>
        <w:rPr>
          <w:rFonts w:hint="eastAsia" w:eastAsia="仿宋_GB2312" w:cs="仿宋_GB2312"/>
          <w:sz w:val="30"/>
          <w:szCs w:val="30"/>
        </w:rPr>
        <w:t>（图7：“三公”经费财政拨款支出结构）</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1.因公出国（境）经费支出0万元，完成预算0%。</w:t>
      </w:r>
      <w:r>
        <w:rPr>
          <w:rFonts w:hint="default" w:ascii="Times New Roman" w:hAnsi="Times New Roman" w:eastAsia="方正仿宋_GBK" w:cs="Times New Roman"/>
          <w:sz w:val="32"/>
          <w:szCs w:val="32"/>
        </w:rPr>
        <w:t>全年安排因公出国（境）团组0次，出国（境）0人。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2.公务用车购置及运行维护费支出11.17万元，完成预算63.97%。</w:t>
      </w:r>
      <w:r>
        <w:rPr>
          <w:rFonts w:hint="default" w:ascii="Times New Roman" w:hAnsi="Times New Roman" w:eastAsia="方正仿宋_GBK" w:cs="Times New Roman"/>
          <w:sz w:val="32"/>
          <w:szCs w:val="32"/>
        </w:rPr>
        <w:t>公务用车购置及运行维护费支出决算比2023年度减少1.17万元，下降9.48%。主要原因是厉行节约，减少非必要公务交通出行。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sz w:val="32"/>
          <w:szCs w:val="32"/>
        </w:rPr>
        <w:t>其中：公务用车购置支出0万元。</w:t>
      </w:r>
      <w:r>
        <w:rPr>
          <w:rFonts w:hint="default" w:ascii="Times New Roman" w:hAnsi="Times New Roman" w:eastAsia="方正仿宋_GBK" w:cs="Times New Roman"/>
          <w:b/>
          <w:sz w:val="32"/>
          <w:szCs w:val="32"/>
        </w:rPr>
        <w:t>本年未更新购置车辆，截至2024年12月底，支队账面共有公务用车6辆，其中：特种技术专业用车4辆、执法执勤用车2辆。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公务用车运行维护费支出11.17万元。主要用于交通运输综合行政执法工作等所需的公务用车燃料费、维修费、过路过桥费、保险费等支出。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3.公务接待费支出0.51万元，完成预算25.89%。</w:t>
      </w:r>
      <w:r>
        <w:rPr>
          <w:rFonts w:hint="default" w:ascii="Times New Roman" w:hAnsi="Times New Roman" w:eastAsia="方正仿宋_GBK" w:cs="Times New Roman"/>
          <w:sz w:val="32"/>
          <w:szCs w:val="32"/>
        </w:rPr>
        <w:t>公务接待费支出决算比2023年度减少1.09万元，下降68.13%。主要原因是厉行节约减少非必要接待。其中：</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国内公务接待支出0.51万元，主要用于……(执行公务、开展业务活动开支的交通费、住宿费、用餐费等)。国内公务接待4批次，27人次（不包括陪同人员），共计支出0.51万元，具体内容包括：配合省厅开展2023年度合行政执法工作评议接待费1535元；协助会东交通运输局开展会东县东正物流有限公司联合检查接待费890元；配合省厅第十综合督导组开展春运交通运输安全督查工作接待费895元；省总队开展交通执法工作调研检查接待费1762元。</w:t>
      </w:r>
      <w:bookmarkStart w:id="42" w:name="_Toc15377218"/>
      <w:bookmarkStart w:id="43" w:name="_Toc15396610"/>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外事接待支出0万元。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Style w:val="29"/>
          <w:rFonts w:hint="eastAsia" w:ascii="方正黑体_GBK" w:hAnsi="方正黑体_GBK" w:eastAsia="方正黑体_GBK" w:cs="方正黑体_GBK"/>
        </w:rPr>
      </w:pPr>
      <w:r>
        <w:rPr>
          <w:rFonts w:hint="eastAsia" w:ascii="方正黑体_GBK" w:hAnsi="方正黑体_GBK" w:eastAsia="方正黑体_GBK" w:cs="方正黑体_GBK"/>
          <w:sz w:val="32"/>
          <w:szCs w:val="32"/>
        </w:rPr>
        <w:t>八、</w:t>
      </w:r>
      <w:r>
        <w:rPr>
          <w:rStyle w:val="29"/>
          <w:rFonts w:hint="eastAsia" w:ascii="方正黑体_GBK" w:hAnsi="方正黑体_GBK" w:eastAsia="方正黑体_GBK" w:cs="方正黑体_GBK"/>
          <w:b w:val="0"/>
        </w:rPr>
        <w:t>政府性基金预算支出决算情况说明</w:t>
      </w:r>
      <w:bookmarkEnd w:id="42"/>
      <w:bookmarkEnd w:id="43"/>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sz w:val="32"/>
          <w:szCs w:val="32"/>
        </w:rPr>
        <w:t>2024年度政府性基金预算财政拨款支出0万元。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Style w:val="29"/>
          <w:rFonts w:hint="eastAsia" w:ascii="方正黑体_GBK" w:hAnsi="方正黑体_GBK" w:eastAsia="方正黑体_GBK" w:cs="方正黑体_GBK"/>
          <w:b w:val="0"/>
        </w:rPr>
      </w:pPr>
      <w:bookmarkStart w:id="44" w:name="_Toc15377219"/>
      <w:bookmarkStart w:id="45" w:name="_Toc15396611"/>
      <w:r>
        <w:rPr>
          <w:rStyle w:val="29"/>
          <w:rFonts w:hint="eastAsia" w:ascii="方正黑体_GBK" w:hAnsi="方正黑体_GBK" w:eastAsia="方正黑体_GBK" w:cs="方正黑体_GBK"/>
          <w:b w:val="0"/>
        </w:rPr>
        <w:t>九、国有资本经营预算支出决算情况说明</w:t>
      </w:r>
      <w:bookmarkEnd w:id="44"/>
      <w:bookmarkEnd w:id="45"/>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2024年度国有资本经营预算财政拨款支出0万元。</w:t>
      </w:r>
    </w:p>
    <w:p>
      <w:pPr>
        <w:keepNext w:val="0"/>
        <w:keepLines w:val="0"/>
        <w:pageBreakBefore w:val="0"/>
        <w:widowControl w:val="0"/>
        <w:kinsoku/>
        <w:wordWrap/>
        <w:overflowPunct/>
        <w:topLinePunct w:val="0"/>
        <w:autoSpaceDE/>
        <w:autoSpaceDN/>
        <w:bidi w:val="0"/>
        <w:adjustRightInd/>
        <w:snapToGrid/>
        <w:spacing w:line="560" w:lineRule="exact"/>
        <w:ind w:left="630"/>
        <w:textAlignment w:val="auto"/>
        <w:outlineLvl w:val="1"/>
        <w:rPr>
          <w:rStyle w:val="29"/>
          <w:rFonts w:hint="eastAsia" w:ascii="方正黑体_GBK" w:hAnsi="方正黑体_GBK" w:eastAsia="方正黑体_GBK" w:cs="方正黑体_GBK"/>
          <w:b w:val="0"/>
        </w:rPr>
      </w:pPr>
      <w:bookmarkStart w:id="46" w:name="_Toc15377221"/>
      <w:bookmarkStart w:id="47" w:name="_Toc15396612"/>
      <w:r>
        <w:rPr>
          <w:rStyle w:val="29"/>
          <w:rFonts w:hint="eastAsia" w:ascii="方正黑体_GBK" w:hAnsi="方正黑体_GBK" w:eastAsia="方正黑体_GBK" w:cs="方正黑体_GBK"/>
          <w:b w:val="0"/>
        </w:rPr>
        <w:t>十、其他重要事项的情况说明</w:t>
      </w:r>
      <w:bookmarkEnd w:id="46"/>
      <w:bookmarkEnd w:id="47"/>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方正楷体_GBK" w:hAnsi="方正楷体_GBK" w:eastAsia="方正楷体_GBK" w:cs="方正楷体_GBK"/>
          <w:b/>
          <w:bCs w:val="0"/>
          <w:sz w:val="32"/>
          <w:szCs w:val="32"/>
        </w:rPr>
      </w:pPr>
      <w:bookmarkStart w:id="48" w:name="_Toc15377222"/>
      <w:r>
        <w:rPr>
          <w:rFonts w:hint="eastAsia" w:ascii="方正楷体_GBK" w:hAnsi="方正楷体_GBK" w:eastAsia="方正楷体_GBK" w:cs="方正楷体_GBK"/>
          <w:b/>
          <w:bCs w:val="0"/>
          <w:sz w:val="32"/>
          <w:szCs w:val="32"/>
        </w:rPr>
        <w:t>（一）机关运行经费支出情况</w:t>
      </w:r>
      <w:bookmarkEnd w:id="4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2024年度，四川省攀枝花市交通运输综合行政执法支队机关运行经费支出222.51万元，比2023年度增加23.45万元，增长11.78%。主要原因是支付2023未支付办公费、维修（护）费等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方正楷体_GBK" w:hAnsi="方正楷体_GBK" w:eastAsia="方正楷体_GBK" w:cs="方正楷体_GBK"/>
          <w:b/>
          <w:bCs w:val="0"/>
          <w:sz w:val="32"/>
          <w:szCs w:val="32"/>
        </w:rPr>
      </w:pPr>
      <w:bookmarkStart w:id="49" w:name="_Toc15377223"/>
      <w:r>
        <w:rPr>
          <w:rFonts w:hint="eastAsia" w:ascii="方正楷体_GBK" w:hAnsi="方正楷体_GBK" w:eastAsia="方正楷体_GBK" w:cs="方正楷体_GBK"/>
          <w:b/>
          <w:bCs w:val="0"/>
          <w:sz w:val="32"/>
          <w:szCs w:val="32"/>
        </w:rPr>
        <w:t>（二）政府采购支出情况</w:t>
      </w:r>
      <w:bookmarkEnd w:id="49"/>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四川省攀枝花市交通运输综合行政执法支队政府采购支出总额8.01万元，其中：政府采购服务支出8.01万元。主要用于公务用车加油、保险、维修（护）。授予中小企业合同金额6.8万元，占政府采购支出总额的84.83%，其中：授予小微企业合同金额0.8万元，占政府采购支出总额的9.95%。</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150"/>
        <w:textAlignment w:val="auto"/>
        <w:outlineLvl w:val="2"/>
        <w:rPr>
          <w:rFonts w:hint="eastAsia" w:ascii="方正楷体_GBK" w:hAnsi="方正楷体_GBK" w:eastAsia="方正楷体_GBK" w:cs="方正楷体_GBK"/>
          <w:b/>
          <w:bCs w:val="0"/>
          <w:sz w:val="32"/>
          <w:szCs w:val="32"/>
        </w:rPr>
      </w:pPr>
      <w:bookmarkStart w:id="50" w:name="_Toc15377224"/>
      <w:r>
        <w:rPr>
          <w:rFonts w:hint="eastAsia" w:ascii="方正楷体_GBK" w:hAnsi="方正楷体_GBK" w:eastAsia="方正楷体_GBK" w:cs="方正楷体_GBK"/>
          <w:b/>
          <w:bCs w:val="0"/>
          <w:sz w:val="32"/>
          <w:szCs w:val="32"/>
        </w:rPr>
        <w:t>（三）国有资产占有使用情况</w:t>
      </w:r>
      <w:bookmarkEnd w:id="50"/>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截至2024年12月31日，四川省攀枝花市交通运输综合行政执法支队共有车辆6辆，其中：特种专业用车4辆、执法执勤2辆。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方正楷体_GBK" w:hAnsi="方正楷体_GBK" w:eastAsia="方正楷体_GBK" w:cs="方正楷体_GBK"/>
          <w:b/>
          <w:bCs w:val="0"/>
          <w:sz w:val="32"/>
          <w:szCs w:val="32"/>
        </w:rPr>
      </w:pPr>
      <w:r>
        <w:rPr>
          <w:rFonts w:hint="eastAsia" w:ascii="方正楷体_GBK" w:hAnsi="方正楷体_GBK" w:eastAsia="方正楷体_GBK" w:cs="方正楷体_GBK"/>
          <w:b/>
          <w:bCs w:val="0"/>
          <w:sz w:val="32"/>
          <w:szCs w:val="32"/>
        </w:rPr>
        <w:t>（四）预算绩效管理情况</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eastAsia="黑体"/>
          <w:sz w:val="44"/>
          <w:szCs w:val="44"/>
        </w:rPr>
      </w:pPr>
      <w:r>
        <w:rPr>
          <w:rFonts w:hint="default" w:ascii="Times New Roman" w:hAnsi="Times New Roman" w:eastAsia="方正仿宋_GBK" w:cs="Times New Roman"/>
          <w:sz w:val="32"/>
          <w:szCs w:val="32"/>
        </w:rPr>
        <w:t>根据预算绩效管理要求，本单位在2024年度预算编制阶段，组织对交通执法成本性出，1个项目开展了预算事前绩效评估，对1个项目编制了绩效目标，预算执行过程中，选取1个项目开展绩效监控。</w:t>
      </w:r>
      <w:bookmarkStart w:id="51" w:name="_Toc15396613"/>
      <w:bookmarkStart w:id="52" w:name="_Toc15377225"/>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outlineLvl w:val="0"/>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outlineLvl w:val="0"/>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outlineLvl w:val="0"/>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第三部分名词解释</w:t>
      </w:r>
      <w:bookmarkEnd w:id="51"/>
      <w:bookmarkEnd w:id="52"/>
    </w:p>
    <w:p>
      <w:pPr>
        <w:pageBreakBefore w:val="0"/>
        <w:kinsoku/>
        <w:wordWrap/>
        <w:overflowPunct/>
        <w:topLinePunct w:val="0"/>
        <w:bidi w:val="0"/>
        <w:spacing w:line="600" w:lineRule="exact"/>
        <w:jc w:val="left"/>
        <w:textAlignment w:val="auto"/>
        <w:rPr>
          <w:b/>
          <w:sz w:val="44"/>
          <w:szCs w:val="44"/>
        </w:rPr>
      </w:pPr>
    </w:p>
    <w:p>
      <w:pPr>
        <w:pStyle w:val="26"/>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default" w:ascii="Times New Roman" w:hAnsi="Times New Roman" w:eastAsia="方正仿宋_GBK" w:cs="Times New Roman"/>
          <w:color w:val="auto"/>
          <w:sz w:val="32"/>
          <w:szCs w:val="32"/>
        </w:rPr>
      </w:pPr>
      <w:bookmarkStart w:id="53" w:name="_Toc15396614"/>
      <w:bookmarkStart w:id="54" w:name="_Toc15377226"/>
      <w:r>
        <w:rPr>
          <w:rFonts w:hint="default" w:ascii="Times New Roman" w:hAnsi="Times New Roman" w:eastAsia="方正仿宋_GBK" w:cs="Times New Roman"/>
          <w:color w:val="auto"/>
          <w:sz w:val="32"/>
          <w:szCs w:val="32"/>
        </w:rPr>
        <w:t>1.财政拨款收入：指单位从同级财政部门取得的财政预算资金。</w:t>
      </w:r>
    </w:p>
    <w:p>
      <w:pPr>
        <w:pStyle w:val="26"/>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2.事业收入：指事业单位开展专业业务活动及辅助活动取得的收入。</w:t>
      </w:r>
    </w:p>
    <w:p>
      <w:pPr>
        <w:pStyle w:val="26"/>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3.经营收入：指事业单位在专业业务活动及其辅助活动之外开展非独立核算经营活动取得的收入。</w:t>
      </w:r>
    </w:p>
    <w:p>
      <w:pPr>
        <w:pStyle w:val="26"/>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4.其他收入：指单位取得的除上述收入以外的各项收入。</w:t>
      </w:r>
    </w:p>
    <w:p>
      <w:pPr>
        <w:pStyle w:val="26"/>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5.使用非财政拨款结余：指事业单位使用以前年度积累的非财政拨款结余弥补当年收支差额的金额。</w:t>
      </w:r>
    </w:p>
    <w:p>
      <w:pPr>
        <w:pStyle w:val="26"/>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6.年初结转和结余：指以前年度尚未完成、结转到本年按有关规定继续使用的资金。</w:t>
      </w:r>
    </w:p>
    <w:p>
      <w:pPr>
        <w:pStyle w:val="26"/>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7.结余分配：指事业单位按照会计制度规定缴纳的所得税、提取的专用结余以及转入非财政拨款结余的金额等。</w:t>
      </w:r>
    </w:p>
    <w:p>
      <w:pPr>
        <w:pStyle w:val="26"/>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8.年末结转和结余：指单位按有关规定结转到下年或以后年度继续使用的资金。</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9.社会保障和就业支出（类）行政事业单位养老支出（款）行政单位离退休（项）：指行政单位（包括实行公务员法管理的事业单位）开支的离退休经费。</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10.社会保障和就业支出（类）行政事业单位养老支出（款）机关事业单位基本养老保险缴费支出（项）：指机关事业单位实施养老保险制度由单位缴纳的基本养老保险费支出。</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11.交通运输支出（类）公路水路运输（款）行政运行（项）：指交通运输方面的行政单位（包括实行公务员法管理的事业单位）的基本支出。</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12.交通运输支出（类）公路水路运输（款）公路运输管理（项）：指公路运输管理支出和公路路政管理支出。</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13.交通运输支出（类）公路水路运输（款）其他公路水路运输支出（项）：指其他用于公路水路运输方面的支出。</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14.住房保障支出（类）住房改革支出（款）住房公积金（项）：指行政事业单位按人力资源和社会保障部、财政部规定的基本工资和津贴补贴以及规定比例为职工缴纳的住房公积金。</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15.基本支出：指为保障机构正常运转、完成日常工作任务而发生的人员支出和公用支出。</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16.项目支出：指在基本支出之外为完成特定行政任务和事业发展目标所发生的支出。</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17.经营支出：指事业单位在专业业务活动及其辅助活动之外开展非独立核算经营活动发生的支出。</w:t>
      </w:r>
    </w:p>
    <w:p>
      <w:pPr>
        <w:pStyle w:val="26"/>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18.“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6"/>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19.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bidi w:val="0"/>
        <w:snapToGrid/>
        <w:spacing w:line="560" w:lineRule="exact"/>
        <w:jc w:val="both"/>
        <w:textAlignment w:val="auto"/>
        <w:rPr>
          <w:rFonts w:hint="default" w:ascii="Times New Roman" w:hAnsi="Times New Roman" w:eastAsia="方正仿宋_GBK" w:cs="Times New Roman"/>
          <w:sz w:val="44"/>
          <w:szCs w:val="44"/>
        </w:rPr>
      </w:pPr>
    </w:p>
    <w:p>
      <w:pPr>
        <w:pageBreakBefore w:val="0"/>
        <w:kinsoku/>
        <w:wordWrap/>
        <w:overflowPunct/>
        <w:topLinePunct w:val="0"/>
        <w:bidi w:val="0"/>
        <w:spacing w:line="600" w:lineRule="exact"/>
        <w:jc w:val="center"/>
        <w:textAlignment w:val="auto"/>
        <w:rPr>
          <w:rFonts w:eastAsia="黑体"/>
          <w:sz w:val="44"/>
          <w:szCs w:val="44"/>
        </w:rPr>
      </w:pPr>
    </w:p>
    <w:p>
      <w:pPr>
        <w:pageBreakBefore w:val="0"/>
        <w:kinsoku/>
        <w:wordWrap/>
        <w:overflowPunct/>
        <w:topLinePunct w:val="0"/>
        <w:bidi w:val="0"/>
        <w:spacing w:line="600" w:lineRule="exact"/>
        <w:jc w:val="center"/>
        <w:textAlignment w:val="auto"/>
        <w:rPr>
          <w:rFonts w:eastAsia="黑体"/>
          <w:sz w:val="44"/>
          <w:szCs w:val="44"/>
        </w:rPr>
      </w:pPr>
    </w:p>
    <w:p>
      <w:pPr>
        <w:pageBreakBefore w:val="0"/>
        <w:kinsoku/>
        <w:wordWrap/>
        <w:overflowPunct/>
        <w:topLinePunct w:val="0"/>
        <w:bidi w:val="0"/>
        <w:spacing w:line="600" w:lineRule="exact"/>
        <w:jc w:val="center"/>
        <w:textAlignment w:val="auto"/>
        <w:rPr>
          <w:rFonts w:eastAsia="黑体"/>
          <w:sz w:val="44"/>
          <w:szCs w:val="44"/>
        </w:rPr>
      </w:pPr>
    </w:p>
    <w:p>
      <w:pPr>
        <w:pageBreakBefore w:val="0"/>
        <w:kinsoku/>
        <w:wordWrap/>
        <w:overflowPunct/>
        <w:topLinePunct w:val="0"/>
        <w:bidi w:val="0"/>
        <w:spacing w:line="600" w:lineRule="exact"/>
        <w:jc w:val="center"/>
        <w:textAlignment w:val="auto"/>
        <w:rPr>
          <w:rFonts w:eastAsia="黑体"/>
          <w:sz w:val="44"/>
          <w:szCs w:val="44"/>
        </w:rPr>
      </w:pPr>
    </w:p>
    <w:p>
      <w:pPr>
        <w:pageBreakBefore w:val="0"/>
        <w:kinsoku/>
        <w:wordWrap/>
        <w:overflowPunct/>
        <w:topLinePunct w:val="0"/>
        <w:bidi w:val="0"/>
        <w:spacing w:line="600" w:lineRule="exact"/>
        <w:jc w:val="center"/>
        <w:textAlignment w:val="auto"/>
        <w:rPr>
          <w:rFonts w:eastAsia="黑体"/>
          <w:sz w:val="44"/>
          <w:szCs w:val="44"/>
        </w:rPr>
      </w:pPr>
    </w:p>
    <w:p>
      <w:pPr>
        <w:pageBreakBefore w:val="0"/>
        <w:kinsoku/>
        <w:wordWrap/>
        <w:overflowPunct/>
        <w:topLinePunct w:val="0"/>
        <w:bidi w:val="0"/>
        <w:spacing w:line="600" w:lineRule="exact"/>
        <w:jc w:val="center"/>
        <w:textAlignment w:val="auto"/>
        <w:rPr>
          <w:rFonts w:eastAsia="黑体"/>
          <w:sz w:val="44"/>
          <w:szCs w:val="44"/>
        </w:rPr>
      </w:pPr>
    </w:p>
    <w:p>
      <w:pPr>
        <w:pageBreakBefore w:val="0"/>
        <w:kinsoku/>
        <w:wordWrap/>
        <w:overflowPunct/>
        <w:topLinePunct w:val="0"/>
        <w:bidi w:val="0"/>
        <w:spacing w:line="600" w:lineRule="exact"/>
        <w:jc w:val="center"/>
        <w:textAlignment w:val="auto"/>
        <w:rPr>
          <w:rFonts w:eastAsia="黑体"/>
          <w:sz w:val="44"/>
          <w:szCs w:val="44"/>
        </w:rPr>
      </w:pPr>
    </w:p>
    <w:p>
      <w:pPr>
        <w:pageBreakBefore w:val="0"/>
        <w:kinsoku/>
        <w:wordWrap/>
        <w:overflowPunct/>
        <w:topLinePunct w:val="0"/>
        <w:bidi w:val="0"/>
        <w:spacing w:line="600" w:lineRule="exact"/>
        <w:jc w:val="center"/>
        <w:textAlignment w:val="auto"/>
        <w:rPr>
          <w:rFonts w:eastAsia="黑体"/>
          <w:sz w:val="44"/>
          <w:szCs w:val="44"/>
        </w:rPr>
      </w:pPr>
    </w:p>
    <w:p>
      <w:pPr>
        <w:pageBreakBefore w:val="0"/>
        <w:kinsoku/>
        <w:wordWrap/>
        <w:overflowPunct/>
        <w:topLinePunct w:val="0"/>
        <w:bidi w:val="0"/>
        <w:spacing w:line="600" w:lineRule="exact"/>
        <w:jc w:val="center"/>
        <w:textAlignment w:val="auto"/>
        <w:rPr>
          <w:rFonts w:eastAsia="黑体"/>
          <w:sz w:val="44"/>
          <w:szCs w:val="44"/>
        </w:rPr>
      </w:pPr>
    </w:p>
    <w:p>
      <w:pPr>
        <w:pageBreakBefore w:val="0"/>
        <w:kinsoku/>
        <w:wordWrap/>
        <w:overflowPunct/>
        <w:topLinePunct w:val="0"/>
        <w:bidi w:val="0"/>
        <w:spacing w:line="600" w:lineRule="exact"/>
        <w:jc w:val="center"/>
        <w:textAlignment w:val="auto"/>
        <w:rPr>
          <w:rFonts w:eastAsia="黑体"/>
          <w:sz w:val="44"/>
          <w:szCs w:val="44"/>
        </w:rPr>
      </w:pPr>
    </w:p>
    <w:p>
      <w:pPr>
        <w:pageBreakBefore w:val="0"/>
        <w:kinsoku/>
        <w:wordWrap/>
        <w:overflowPunct/>
        <w:topLinePunct w:val="0"/>
        <w:bidi w:val="0"/>
        <w:spacing w:line="600" w:lineRule="exact"/>
        <w:jc w:val="center"/>
        <w:textAlignment w:val="auto"/>
        <w:rPr>
          <w:rFonts w:eastAsia="黑体"/>
          <w:sz w:val="44"/>
          <w:szCs w:val="44"/>
        </w:rPr>
      </w:pPr>
    </w:p>
    <w:p>
      <w:pPr>
        <w:pageBreakBefore w:val="0"/>
        <w:kinsoku/>
        <w:wordWrap/>
        <w:overflowPunct/>
        <w:topLinePunct w:val="0"/>
        <w:bidi w:val="0"/>
        <w:spacing w:line="600" w:lineRule="exact"/>
        <w:jc w:val="both"/>
        <w:textAlignment w:val="auto"/>
        <w:rPr>
          <w:rFonts w:eastAsia="黑体"/>
          <w:sz w:val="44"/>
          <w:szCs w:val="44"/>
        </w:r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Style w:val="28"/>
          <w:rFonts w:hint="eastAsia" w:ascii="方正小标宋_GBK" w:hAnsi="方正小标宋_GBK" w:eastAsia="方正小标宋_GBK" w:cs="方正小标宋_GBK"/>
          <w:b w:val="0"/>
        </w:rPr>
      </w:pPr>
      <w:r>
        <w:rPr>
          <w:rFonts w:hint="eastAsia" w:ascii="方正小标宋_GBK" w:hAnsi="方正小标宋_GBK" w:eastAsia="方正小标宋_GBK" w:cs="方正小标宋_GBK"/>
          <w:sz w:val="44"/>
          <w:szCs w:val="44"/>
        </w:rPr>
        <w:t>第四部分 附件</w:t>
      </w:r>
      <w:bookmarkEnd w:id="53"/>
    </w:p>
    <w:p>
      <w:pPr>
        <w:pageBreakBefore w:val="0"/>
        <w:kinsoku/>
        <w:wordWrap/>
        <w:overflowPunct/>
        <w:topLinePunct w:val="0"/>
        <w:bidi w:val="0"/>
        <w:spacing w:line="600" w:lineRule="exact"/>
        <w:jc w:val="center"/>
        <w:textAlignment w:val="auto"/>
        <w:outlineLvl w:val="0"/>
        <w:rPr>
          <w:rFonts w:hint="eastAsia" w:ascii="宋体" w:hAnsi="宋体" w:cs="宋体"/>
          <w:kern w:val="0"/>
          <w:sz w:val="32"/>
          <w:szCs w:val="32"/>
        </w:rPr>
      </w:pPr>
      <w:bookmarkStart w:id="55" w:name="_Toc144305931"/>
    </w:p>
    <w:p>
      <w:pPr>
        <w:keepNext w:val="0"/>
        <w:keepLines w:val="0"/>
        <w:pageBreakBefore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部门预算项目支出绩效自评表（2024年度）此表见附件</w:t>
      </w:r>
      <w:bookmarkEnd w:id="55"/>
      <w:r>
        <w:rPr>
          <w:rFonts w:hint="default" w:ascii="Times New Roman" w:hAnsi="Times New Roman" w:eastAsia="方正仿宋_GBK" w:cs="Times New Roman"/>
          <w:kern w:val="0"/>
          <w:sz w:val="32"/>
          <w:szCs w:val="32"/>
        </w:rPr>
        <w:t>一。</w:t>
      </w:r>
    </w:p>
    <w:p>
      <w:pPr>
        <w:keepNext w:val="0"/>
        <w:keepLines w:val="0"/>
        <w:pageBreakBefore w:val="0"/>
        <w:kinsoku/>
        <w:wordWrap/>
        <w:overflowPunct/>
        <w:topLinePunct w:val="0"/>
        <w:autoSpaceDE/>
        <w:autoSpaceDN/>
        <w:bidi w:val="0"/>
        <w:adjustRightInd/>
        <w:snapToGrid/>
        <w:spacing w:line="560" w:lineRule="exact"/>
        <w:jc w:val="left"/>
        <w:textAlignment w:val="auto"/>
        <w:outlineLvl w:val="0"/>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kern w:val="0"/>
          <w:sz w:val="32"/>
          <w:szCs w:val="32"/>
        </w:rPr>
        <w:t>决算公开表（2024年度）此表见附件二。</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rPr>
      </w:pPr>
      <w:bookmarkStart w:id="56" w:name="_Toc15396618"/>
    </w:p>
    <w:p>
      <w:pPr>
        <w:pageBreakBefore w:val="0"/>
        <w:widowControl/>
        <w:kinsoku/>
        <w:wordWrap/>
        <w:overflowPunct/>
        <w:topLinePunct w:val="0"/>
        <w:bidi w:val="0"/>
        <w:jc w:val="center"/>
        <w:textAlignment w:val="auto"/>
        <w:rPr>
          <w:rFonts w:eastAsia="黑体"/>
          <w:sz w:val="44"/>
          <w:szCs w:val="44"/>
        </w:rPr>
      </w:pPr>
    </w:p>
    <w:p>
      <w:pPr>
        <w:pageBreakBefore w:val="0"/>
        <w:widowControl/>
        <w:kinsoku/>
        <w:wordWrap/>
        <w:overflowPunct/>
        <w:topLinePunct w:val="0"/>
        <w:bidi w:val="0"/>
        <w:jc w:val="center"/>
        <w:textAlignment w:val="auto"/>
        <w:rPr>
          <w:rFonts w:eastAsia="黑体"/>
          <w:sz w:val="44"/>
          <w:szCs w:val="44"/>
        </w:rPr>
      </w:pPr>
    </w:p>
    <w:p>
      <w:pPr>
        <w:pageBreakBefore w:val="0"/>
        <w:widowControl/>
        <w:kinsoku/>
        <w:wordWrap/>
        <w:overflowPunct/>
        <w:topLinePunct w:val="0"/>
        <w:bidi w:val="0"/>
        <w:jc w:val="center"/>
        <w:textAlignment w:val="auto"/>
        <w:rPr>
          <w:rFonts w:eastAsia="黑体"/>
          <w:sz w:val="44"/>
          <w:szCs w:val="44"/>
        </w:rPr>
      </w:pPr>
    </w:p>
    <w:p>
      <w:pPr>
        <w:pageBreakBefore w:val="0"/>
        <w:widowControl/>
        <w:kinsoku/>
        <w:wordWrap/>
        <w:overflowPunct/>
        <w:topLinePunct w:val="0"/>
        <w:bidi w:val="0"/>
        <w:jc w:val="center"/>
        <w:textAlignment w:val="auto"/>
        <w:rPr>
          <w:rFonts w:eastAsia="黑体"/>
          <w:sz w:val="44"/>
          <w:szCs w:val="44"/>
        </w:rPr>
      </w:pPr>
    </w:p>
    <w:p>
      <w:pPr>
        <w:pageBreakBefore w:val="0"/>
        <w:widowControl/>
        <w:kinsoku/>
        <w:wordWrap/>
        <w:overflowPunct/>
        <w:topLinePunct w:val="0"/>
        <w:bidi w:val="0"/>
        <w:jc w:val="center"/>
        <w:textAlignment w:val="auto"/>
        <w:rPr>
          <w:rFonts w:eastAsia="黑体"/>
          <w:sz w:val="44"/>
          <w:szCs w:val="44"/>
        </w:rPr>
      </w:pPr>
    </w:p>
    <w:p>
      <w:pPr>
        <w:pageBreakBefore w:val="0"/>
        <w:widowControl/>
        <w:kinsoku/>
        <w:wordWrap/>
        <w:overflowPunct/>
        <w:topLinePunct w:val="0"/>
        <w:bidi w:val="0"/>
        <w:jc w:val="center"/>
        <w:textAlignment w:val="auto"/>
        <w:rPr>
          <w:rFonts w:eastAsia="黑体"/>
          <w:sz w:val="44"/>
          <w:szCs w:val="44"/>
        </w:rPr>
      </w:pPr>
    </w:p>
    <w:p>
      <w:pPr>
        <w:pageBreakBefore w:val="0"/>
        <w:widowControl/>
        <w:kinsoku/>
        <w:wordWrap/>
        <w:overflowPunct/>
        <w:topLinePunct w:val="0"/>
        <w:bidi w:val="0"/>
        <w:jc w:val="center"/>
        <w:textAlignment w:val="auto"/>
        <w:rPr>
          <w:rFonts w:eastAsia="黑体"/>
          <w:sz w:val="44"/>
          <w:szCs w:val="44"/>
        </w:rPr>
      </w:pPr>
    </w:p>
    <w:p>
      <w:pPr>
        <w:pageBreakBefore w:val="0"/>
        <w:widowControl/>
        <w:kinsoku/>
        <w:wordWrap/>
        <w:overflowPunct/>
        <w:topLinePunct w:val="0"/>
        <w:bidi w:val="0"/>
        <w:jc w:val="center"/>
        <w:textAlignment w:val="auto"/>
        <w:rPr>
          <w:rFonts w:eastAsia="黑体"/>
          <w:sz w:val="44"/>
          <w:szCs w:val="44"/>
        </w:rPr>
      </w:pPr>
    </w:p>
    <w:p>
      <w:pPr>
        <w:pageBreakBefore w:val="0"/>
        <w:widowControl/>
        <w:kinsoku/>
        <w:wordWrap/>
        <w:overflowPunct/>
        <w:topLinePunct w:val="0"/>
        <w:bidi w:val="0"/>
        <w:jc w:val="center"/>
        <w:textAlignment w:val="auto"/>
        <w:rPr>
          <w:rFonts w:eastAsia="黑体"/>
          <w:sz w:val="44"/>
          <w:szCs w:val="44"/>
        </w:rPr>
      </w:pPr>
    </w:p>
    <w:p>
      <w:pPr>
        <w:pageBreakBefore w:val="0"/>
        <w:widowControl/>
        <w:kinsoku/>
        <w:wordWrap/>
        <w:overflowPunct/>
        <w:topLinePunct w:val="0"/>
        <w:bidi w:val="0"/>
        <w:jc w:val="center"/>
        <w:textAlignment w:val="auto"/>
        <w:rPr>
          <w:rFonts w:eastAsia="黑体"/>
          <w:sz w:val="44"/>
          <w:szCs w:val="44"/>
        </w:rPr>
      </w:pPr>
    </w:p>
    <w:p>
      <w:pPr>
        <w:pageBreakBefore w:val="0"/>
        <w:widowControl/>
        <w:kinsoku/>
        <w:wordWrap/>
        <w:overflowPunct/>
        <w:topLinePunct w:val="0"/>
        <w:bidi w:val="0"/>
        <w:jc w:val="center"/>
        <w:textAlignment w:val="auto"/>
        <w:rPr>
          <w:rFonts w:eastAsia="黑体"/>
          <w:sz w:val="44"/>
          <w:szCs w:val="44"/>
        </w:rPr>
      </w:pPr>
    </w:p>
    <w:p>
      <w:pPr>
        <w:pageBreakBefore w:val="0"/>
        <w:widowControl/>
        <w:kinsoku/>
        <w:wordWrap/>
        <w:overflowPunct/>
        <w:topLinePunct w:val="0"/>
        <w:bidi w:val="0"/>
        <w:jc w:val="center"/>
        <w:textAlignment w:val="auto"/>
        <w:rPr>
          <w:rFonts w:eastAsia="黑体"/>
          <w:sz w:val="44"/>
          <w:szCs w:val="44"/>
        </w:rPr>
      </w:pPr>
    </w:p>
    <w:p>
      <w:pPr>
        <w:pageBreakBefore w:val="0"/>
        <w:widowControl/>
        <w:kinsoku/>
        <w:wordWrap/>
        <w:overflowPunct/>
        <w:topLinePunct w:val="0"/>
        <w:bidi w:val="0"/>
        <w:jc w:val="center"/>
        <w:textAlignment w:val="auto"/>
        <w:rPr>
          <w:rFonts w:eastAsia="黑体"/>
          <w:sz w:val="44"/>
          <w:szCs w:val="44"/>
        </w:rPr>
      </w:pPr>
    </w:p>
    <w:p>
      <w:pPr>
        <w:pageBreakBefore w:val="0"/>
        <w:widowControl/>
        <w:kinsoku/>
        <w:wordWrap/>
        <w:overflowPunct/>
        <w:topLinePunct w:val="0"/>
        <w:bidi w:val="0"/>
        <w:jc w:val="center"/>
        <w:textAlignment w:val="auto"/>
        <w:rPr>
          <w:rFonts w:eastAsia="黑体"/>
          <w:sz w:val="44"/>
          <w:szCs w:val="44"/>
        </w:rPr>
      </w:pPr>
    </w:p>
    <w:p>
      <w:pPr>
        <w:pageBreakBefore w:val="0"/>
        <w:widowControl/>
        <w:kinsoku/>
        <w:wordWrap/>
        <w:overflowPunct/>
        <w:topLinePunct w:val="0"/>
        <w:bidi w:val="0"/>
        <w:jc w:val="both"/>
        <w:textAlignment w:val="auto"/>
        <w:rPr>
          <w:rFonts w:eastAsia="黑体"/>
          <w:sz w:val="44"/>
          <w:szCs w:val="44"/>
        </w:rPr>
      </w:pPr>
    </w:p>
    <w:p>
      <w:pPr>
        <w:keepNext w:val="0"/>
        <w:keepLines w:val="0"/>
        <w:pageBreakBefore w:val="0"/>
        <w:widowControl/>
        <w:kinsoku/>
        <w:wordWrap/>
        <w:overflowPunct/>
        <w:topLinePunct w:val="0"/>
        <w:autoSpaceDE/>
        <w:autoSpaceDN/>
        <w:bidi w:val="0"/>
        <w:adjustRightInd/>
        <w:snapToGrid/>
        <w:spacing w:line="7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第</w:t>
      </w:r>
      <w:r>
        <w:rPr>
          <w:rStyle w:val="28"/>
          <w:rFonts w:hint="eastAsia" w:ascii="方正小标宋_GBK" w:hAnsi="方正小标宋_GBK" w:eastAsia="方正小标宋_GBK" w:cs="方正小标宋_GBK"/>
          <w:b w:val="0"/>
          <w:sz w:val="44"/>
          <w:szCs w:val="44"/>
        </w:rPr>
        <w:t>五部分 附表</w:t>
      </w:r>
      <w:bookmarkEnd w:id="54"/>
      <w:bookmarkEnd w:id="56"/>
      <w:bookmarkStart w:id="57" w:name="_Toc15396619"/>
    </w:p>
    <w:p>
      <w:pPr>
        <w:pStyle w:val="15"/>
        <w:pageBreakBefore w:val="0"/>
        <w:kinsoku/>
        <w:wordWrap/>
        <w:overflowPunct/>
        <w:topLinePunct w:val="0"/>
        <w:bidi w:val="0"/>
        <w:adjustRightInd w:val="0"/>
        <w:snapToGrid w:val="0"/>
        <w:spacing w:line="560" w:lineRule="exact"/>
        <w:jc w:val="left"/>
        <w:textAlignment w:val="auto"/>
        <w:rPr>
          <w:rFonts w:eastAsia="仿宋_GB2312" w:cs="仿宋_GB2312"/>
          <w:sz w:val="32"/>
          <w:szCs w:val="32"/>
        </w:rPr>
      </w:pPr>
    </w:p>
    <w:p>
      <w:pPr>
        <w:pStyle w:val="15"/>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一、收入支出决算总表</w:t>
      </w:r>
      <w:bookmarkEnd w:id="57"/>
    </w:p>
    <w:p>
      <w:pPr>
        <w:pStyle w:val="15"/>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方正仿宋_GBK" w:cs="Times New Roman"/>
          <w:sz w:val="32"/>
          <w:szCs w:val="32"/>
        </w:rPr>
      </w:pPr>
      <w:bookmarkStart w:id="58" w:name="_Toc15396620"/>
      <w:r>
        <w:rPr>
          <w:rFonts w:hint="default" w:ascii="Times New Roman" w:hAnsi="Times New Roman" w:eastAsia="方正仿宋_GBK" w:cs="Times New Roman"/>
          <w:sz w:val="32"/>
          <w:szCs w:val="32"/>
        </w:rPr>
        <w:t>二、收入决算表</w:t>
      </w:r>
      <w:bookmarkEnd w:id="58"/>
    </w:p>
    <w:p>
      <w:pPr>
        <w:pStyle w:val="15"/>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方正仿宋_GBK" w:cs="Times New Roman"/>
          <w:sz w:val="32"/>
          <w:szCs w:val="32"/>
        </w:rPr>
      </w:pPr>
      <w:bookmarkStart w:id="59" w:name="_Toc15396621"/>
      <w:r>
        <w:rPr>
          <w:rFonts w:hint="default" w:ascii="Times New Roman" w:hAnsi="Times New Roman" w:eastAsia="方正仿宋_GBK" w:cs="Times New Roman"/>
          <w:sz w:val="32"/>
          <w:szCs w:val="32"/>
        </w:rPr>
        <w:t>三、支出决算表</w:t>
      </w:r>
      <w:bookmarkEnd w:id="59"/>
    </w:p>
    <w:p>
      <w:pPr>
        <w:pStyle w:val="15"/>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方正仿宋_GBK" w:cs="Times New Roman"/>
          <w:sz w:val="32"/>
          <w:szCs w:val="32"/>
        </w:rPr>
      </w:pPr>
      <w:bookmarkStart w:id="60" w:name="_Toc15396622"/>
      <w:r>
        <w:rPr>
          <w:rFonts w:hint="default" w:ascii="Times New Roman" w:hAnsi="Times New Roman" w:eastAsia="方正仿宋_GBK" w:cs="Times New Roman"/>
          <w:sz w:val="32"/>
          <w:szCs w:val="32"/>
        </w:rPr>
        <w:t>四、财政拨款收入支出决算总表</w:t>
      </w:r>
      <w:bookmarkEnd w:id="60"/>
    </w:p>
    <w:p>
      <w:pPr>
        <w:pStyle w:val="15"/>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方正仿宋_GBK" w:cs="Times New Roman"/>
          <w:sz w:val="32"/>
          <w:szCs w:val="32"/>
        </w:rPr>
      </w:pPr>
      <w:bookmarkStart w:id="61" w:name="_Toc15396623"/>
      <w:r>
        <w:rPr>
          <w:rFonts w:hint="default" w:ascii="Times New Roman" w:hAnsi="Times New Roman" w:eastAsia="方正仿宋_GBK" w:cs="Times New Roman"/>
          <w:sz w:val="32"/>
          <w:szCs w:val="32"/>
        </w:rPr>
        <w:t>五、财政拨款支出决算明细表</w:t>
      </w:r>
      <w:bookmarkEnd w:id="61"/>
      <w:bookmarkStart w:id="62" w:name="_Toc15396624"/>
    </w:p>
    <w:p>
      <w:pPr>
        <w:pStyle w:val="15"/>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六、一般公共预算财政拨款支出决算表</w:t>
      </w:r>
      <w:bookmarkEnd w:id="62"/>
    </w:p>
    <w:p>
      <w:pPr>
        <w:pStyle w:val="15"/>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方正仿宋_GBK" w:cs="Times New Roman"/>
          <w:sz w:val="32"/>
          <w:szCs w:val="32"/>
        </w:rPr>
      </w:pPr>
      <w:bookmarkStart w:id="63" w:name="_Toc15396625"/>
      <w:r>
        <w:rPr>
          <w:rFonts w:hint="default" w:ascii="Times New Roman" w:hAnsi="Times New Roman" w:eastAsia="方正仿宋_GBK" w:cs="Times New Roman"/>
          <w:sz w:val="32"/>
          <w:szCs w:val="32"/>
        </w:rPr>
        <w:t>七、一般公共预算财政拨款支出决算明细表</w:t>
      </w:r>
      <w:bookmarkEnd w:id="63"/>
    </w:p>
    <w:p>
      <w:pPr>
        <w:pStyle w:val="15"/>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方正仿宋_GBK" w:cs="Times New Roman"/>
          <w:sz w:val="32"/>
          <w:szCs w:val="32"/>
        </w:rPr>
      </w:pPr>
      <w:bookmarkStart w:id="64" w:name="_Toc15396626"/>
      <w:r>
        <w:rPr>
          <w:rFonts w:hint="default" w:ascii="Times New Roman" w:hAnsi="Times New Roman" w:eastAsia="方正仿宋_GBK" w:cs="Times New Roman"/>
          <w:sz w:val="32"/>
          <w:szCs w:val="32"/>
        </w:rPr>
        <w:t>八、一般公共预算财政拨款基本支出决算表</w:t>
      </w:r>
      <w:bookmarkEnd w:id="64"/>
    </w:p>
    <w:p>
      <w:pPr>
        <w:pStyle w:val="15"/>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方正仿宋_GBK" w:cs="Times New Roman"/>
          <w:sz w:val="32"/>
          <w:szCs w:val="32"/>
        </w:rPr>
      </w:pPr>
      <w:bookmarkStart w:id="65" w:name="_Toc15396627"/>
      <w:r>
        <w:rPr>
          <w:rFonts w:hint="default" w:ascii="Times New Roman" w:hAnsi="Times New Roman" w:eastAsia="方正仿宋_GBK" w:cs="Times New Roman"/>
          <w:sz w:val="32"/>
          <w:szCs w:val="32"/>
        </w:rPr>
        <w:t>九、一般公共预算财政拨款项目支出决算表</w:t>
      </w:r>
      <w:bookmarkEnd w:id="65"/>
    </w:p>
    <w:p>
      <w:pPr>
        <w:pStyle w:val="15"/>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方正仿宋_GBK" w:cs="Times New Roman"/>
          <w:sz w:val="32"/>
          <w:szCs w:val="32"/>
        </w:rPr>
      </w:pPr>
      <w:bookmarkStart w:id="66" w:name="_Toc15396628"/>
      <w:r>
        <w:rPr>
          <w:rFonts w:hint="default" w:ascii="Times New Roman" w:hAnsi="Times New Roman" w:eastAsia="方正仿宋_GBK" w:cs="Times New Roman"/>
          <w:sz w:val="32"/>
          <w:szCs w:val="32"/>
        </w:rPr>
        <w:t>十、</w:t>
      </w:r>
      <w:bookmarkEnd w:id="66"/>
      <w:r>
        <w:rPr>
          <w:rFonts w:hint="default" w:ascii="Times New Roman" w:hAnsi="Times New Roman" w:eastAsia="方正仿宋_GBK" w:cs="Times New Roman"/>
          <w:sz w:val="32"/>
          <w:szCs w:val="32"/>
        </w:rPr>
        <w:t>政府性基金预算财政拨款收入支出决算表</w:t>
      </w:r>
    </w:p>
    <w:p>
      <w:pPr>
        <w:pStyle w:val="15"/>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方正仿宋_GBK" w:cs="Times New Roman"/>
          <w:sz w:val="32"/>
          <w:szCs w:val="32"/>
        </w:rPr>
      </w:pPr>
      <w:bookmarkStart w:id="67" w:name="_Toc15396629"/>
      <w:r>
        <w:rPr>
          <w:rFonts w:hint="default" w:ascii="Times New Roman" w:hAnsi="Times New Roman" w:eastAsia="方正仿宋_GBK" w:cs="Times New Roman"/>
          <w:sz w:val="32"/>
          <w:szCs w:val="32"/>
        </w:rPr>
        <w:t>十一、</w:t>
      </w:r>
      <w:bookmarkEnd w:id="67"/>
      <w:r>
        <w:rPr>
          <w:rFonts w:hint="default" w:ascii="Times New Roman" w:hAnsi="Times New Roman" w:eastAsia="方正仿宋_GBK" w:cs="Times New Roman"/>
          <w:sz w:val="32"/>
          <w:szCs w:val="32"/>
        </w:rPr>
        <w:t>国有资本经营预算财政拨款收入支出决算表</w:t>
      </w:r>
    </w:p>
    <w:p>
      <w:pPr>
        <w:pStyle w:val="15"/>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方正仿宋_GBK" w:cs="Times New Roman"/>
          <w:sz w:val="32"/>
          <w:szCs w:val="32"/>
        </w:rPr>
      </w:pPr>
      <w:bookmarkStart w:id="68" w:name="_Toc15396630"/>
      <w:r>
        <w:rPr>
          <w:rFonts w:hint="default" w:ascii="Times New Roman" w:hAnsi="Times New Roman" w:eastAsia="方正仿宋_GBK" w:cs="Times New Roman"/>
          <w:sz w:val="32"/>
          <w:szCs w:val="32"/>
        </w:rPr>
        <w:t>十二、</w:t>
      </w:r>
      <w:bookmarkEnd w:id="68"/>
      <w:r>
        <w:rPr>
          <w:rFonts w:hint="default" w:ascii="Times New Roman" w:hAnsi="Times New Roman" w:eastAsia="方正仿宋_GBK" w:cs="Times New Roman"/>
          <w:sz w:val="32"/>
          <w:szCs w:val="32"/>
        </w:rPr>
        <w:t>国有资本经营预算财政拨款支出决算表</w:t>
      </w:r>
    </w:p>
    <w:p>
      <w:pPr>
        <w:pStyle w:val="15"/>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方正仿宋_GBK" w:cs="Times New Roman"/>
          <w:sz w:val="32"/>
          <w:szCs w:val="32"/>
        </w:rPr>
      </w:pPr>
      <w:bookmarkStart w:id="69" w:name="_Toc15396631"/>
      <w:r>
        <w:rPr>
          <w:rFonts w:hint="default" w:ascii="Times New Roman" w:hAnsi="Times New Roman" w:eastAsia="方正仿宋_GBK" w:cs="Times New Roman"/>
          <w:sz w:val="32"/>
          <w:szCs w:val="32"/>
        </w:rPr>
        <w:t>十三、</w:t>
      </w:r>
      <w:bookmarkEnd w:id="69"/>
      <w:r>
        <w:rPr>
          <w:rFonts w:hint="default" w:ascii="Times New Roman" w:hAnsi="Times New Roman" w:eastAsia="方正仿宋_GBK" w:cs="Times New Roman"/>
          <w:sz w:val="32"/>
          <w:szCs w:val="32"/>
        </w:rPr>
        <w:t>财政拨款“三公”经费支出决算表</w:t>
      </w:r>
    </w:p>
    <w:p>
      <w:pPr>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方正仿宋_GBK" w:cs="Times New Roman"/>
          <w:sz w:val="32"/>
          <w:szCs w:val="32"/>
        </w:rPr>
      </w:pPr>
    </w:p>
    <w:sectPr>
      <w:footerReference r:id="rId8" w:type="first"/>
      <w:footerReference r:id="rId7" w:type="default"/>
      <w:pgSz w:w="11906" w:h="16838"/>
      <w:pgMar w:top="2098" w:right="1800" w:bottom="1984" w:left="1587"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Courier New"/>
    <w:panose1 w:val="00000000000000000000"/>
    <w:charset w:val="00"/>
    <w:family w:val="roman"/>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 w:name="方正小标宋简体">
    <w:altName w:val="黑体"/>
    <w:panose1 w:val="03000509000000000000"/>
    <w:charset w:val="86"/>
    <w:family w:val="script"/>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w:pict>
        <v:shape id="_x0000_s3085" o:spid="_x0000_s3085"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1"/>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w:t>
                </w:r>
              </w:p>
            </w:txbxContent>
          </v:textbox>
        </v:shape>
      </w:pict>
    </w:r>
  </w:p>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w:pict>
        <v:shape id="_x0000_s3086" o:spid="_x0000_s3086"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1"/>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k2OGFjMzE0ODBhNzFjM2NhYWM5OWQ0OTY5MTU5ZjIifQ=="/>
  </w:docVars>
  <w:rsids>
    <w:rsidRoot w:val="00F1361C"/>
    <w:rsid w:val="000222C6"/>
    <w:rsid w:val="0002549F"/>
    <w:rsid w:val="00042DFA"/>
    <w:rsid w:val="000468DB"/>
    <w:rsid w:val="00055C1A"/>
    <w:rsid w:val="00063D93"/>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C3FD1"/>
    <w:rsid w:val="000D1267"/>
    <w:rsid w:val="000D1D50"/>
    <w:rsid w:val="000D5782"/>
    <w:rsid w:val="000E6613"/>
    <w:rsid w:val="000E7119"/>
    <w:rsid w:val="00114E9B"/>
    <w:rsid w:val="00142216"/>
    <w:rsid w:val="00144D6A"/>
    <w:rsid w:val="0014729F"/>
    <w:rsid w:val="001500C3"/>
    <w:rsid w:val="00157BAB"/>
    <w:rsid w:val="001654D1"/>
    <w:rsid w:val="00172A5C"/>
    <w:rsid w:val="00174518"/>
    <w:rsid w:val="0018106D"/>
    <w:rsid w:val="001877A7"/>
    <w:rsid w:val="00191536"/>
    <w:rsid w:val="00196687"/>
    <w:rsid w:val="001C0962"/>
    <w:rsid w:val="001D7531"/>
    <w:rsid w:val="001E737D"/>
    <w:rsid w:val="001F0592"/>
    <w:rsid w:val="001F4BA1"/>
    <w:rsid w:val="001F7506"/>
    <w:rsid w:val="002006CD"/>
    <w:rsid w:val="00202B36"/>
    <w:rsid w:val="00204B7A"/>
    <w:rsid w:val="00204CDE"/>
    <w:rsid w:val="00204D7A"/>
    <w:rsid w:val="0021101A"/>
    <w:rsid w:val="00220536"/>
    <w:rsid w:val="00235629"/>
    <w:rsid w:val="00260C38"/>
    <w:rsid w:val="002616C0"/>
    <w:rsid w:val="00265372"/>
    <w:rsid w:val="002662AA"/>
    <w:rsid w:val="00280496"/>
    <w:rsid w:val="00294DC9"/>
    <w:rsid w:val="00295495"/>
    <w:rsid w:val="002A244C"/>
    <w:rsid w:val="002A31DE"/>
    <w:rsid w:val="002B2613"/>
    <w:rsid w:val="002D6D05"/>
    <w:rsid w:val="002F1818"/>
    <w:rsid w:val="002F567B"/>
    <w:rsid w:val="003216A9"/>
    <w:rsid w:val="00335A74"/>
    <w:rsid w:val="0036561B"/>
    <w:rsid w:val="0037013F"/>
    <w:rsid w:val="00380C92"/>
    <w:rsid w:val="003A3847"/>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1A3D"/>
    <w:rsid w:val="00434489"/>
    <w:rsid w:val="00437085"/>
    <w:rsid w:val="00443880"/>
    <w:rsid w:val="004464F4"/>
    <w:rsid w:val="00456BD6"/>
    <w:rsid w:val="00471401"/>
    <w:rsid w:val="00473F31"/>
    <w:rsid w:val="0048263A"/>
    <w:rsid w:val="00487E5D"/>
    <w:rsid w:val="004A2797"/>
    <w:rsid w:val="004A711F"/>
    <w:rsid w:val="004B199D"/>
    <w:rsid w:val="004B4690"/>
    <w:rsid w:val="004E0A2D"/>
    <w:rsid w:val="004E206B"/>
    <w:rsid w:val="004E6DF7"/>
    <w:rsid w:val="004F0FBD"/>
    <w:rsid w:val="00505A47"/>
    <w:rsid w:val="00512FDA"/>
    <w:rsid w:val="00520DA0"/>
    <w:rsid w:val="005664BB"/>
    <w:rsid w:val="00566FFA"/>
    <w:rsid w:val="0057043F"/>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39C"/>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3953"/>
    <w:rsid w:val="00767B7E"/>
    <w:rsid w:val="007770C3"/>
    <w:rsid w:val="00784D24"/>
    <w:rsid w:val="00785FBA"/>
    <w:rsid w:val="00786E4A"/>
    <w:rsid w:val="007875EB"/>
    <w:rsid w:val="0079426B"/>
    <w:rsid w:val="007B4C43"/>
    <w:rsid w:val="007C4D56"/>
    <w:rsid w:val="007D1682"/>
    <w:rsid w:val="007D312A"/>
    <w:rsid w:val="007D3F19"/>
    <w:rsid w:val="007E23B0"/>
    <w:rsid w:val="007E23E5"/>
    <w:rsid w:val="007F1991"/>
    <w:rsid w:val="007F2C2F"/>
    <w:rsid w:val="007F3AD2"/>
    <w:rsid w:val="007F55FC"/>
    <w:rsid w:val="007F5665"/>
    <w:rsid w:val="00800112"/>
    <w:rsid w:val="00813348"/>
    <w:rsid w:val="008253BB"/>
    <w:rsid w:val="0083706E"/>
    <w:rsid w:val="0084053B"/>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D7E96"/>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953"/>
    <w:rsid w:val="00A93B00"/>
    <w:rsid w:val="00A93C21"/>
    <w:rsid w:val="00AB64C9"/>
    <w:rsid w:val="00AC3C6A"/>
    <w:rsid w:val="00AC6924"/>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77F"/>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B79DB"/>
    <w:rsid w:val="00CC09B6"/>
    <w:rsid w:val="00CC666F"/>
    <w:rsid w:val="00CD1E3F"/>
    <w:rsid w:val="00CE387B"/>
    <w:rsid w:val="00CE44F6"/>
    <w:rsid w:val="00CE49DA"/>
    <w:rsid w:val="00CE7B61"/>
    <w:rsid w:val="00D00095"/>
    <w:rsid w:val="00D114F0"/>
    <w:rsid w:val="00D20620"/>
    <w:rsid w:val="00D254F7"/>
    <w:rsid w:val="00D26091"/>
    <w:rsid w:val="00D2685C"/>
    <w:rsid w:val="00D34E7C"/>
    <w:rsid w:val="00D35489"/>
    <w:rsid w:val="00D36AFE"/>
    <w:rsid w:val="00D36D70"/>
    <w:rsid w:val="00D46C55"/>
    <w:rsid w:val="00D51276"/>
    <w:rsid w:val="00D7035F"/>
    <w:rsid w:val="00D71520"/>
    <w:rsid w:val="00D84800"/>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2E0"/>
    <w:rsid w:val="00E336A9"/>
    <w:rsid w:val="00E42ACB"/>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3B"/>
    <w:rsid w:val="00FA23E8"/>
    <w:rsid w:val="00FD0415"/>
    <w:rsid w:val="00FD3CC1"/>
    <w:rsid w:val="00FF1E02"/>
    <w:rsid w:val="00FF30B4"/>
    <w:rsid w:val="012A5EC2"/>
    <w:rsid w:val="015975B8"/>
    <w:rsid w:val="02FEBE30"/>
    <w:rsid w:val="04916F1E"/>
    <w:rsid w:val="061E35DE"/>
    <w:rsid w:val="066E0107"/>
    <w:rsid w:val="07996F6E"/>
    <w:rsid w:val="07DFD8BA"/>
    <w:rsid w:val="09867E8F"/>
    <w:rsid w:val="0A2032A3"/>
    <w:rsid w:val="0A8F5C65"/>
    <w:rsid w:val="0CA8290A"/>
    <w:rsid w:val="0D35B1ED"/>
    <w:rsid w:val="0E254B6B"/>
    <w:rsid w:val="0F98263C"/>
    <w:rsid w:val="101860EC"/>
    <w:rsid w:val="101F47CC"/>
    <w:rsid w:val="10273C62"/>
    <w:rsid w:val="10C055FF"/>
    <w:rsid w:val="11694EBD"/>
    <w:rsid w:val="11772AA4"/>
    <w:rsid w:val="118107EC"/>
    <w:rsid w:val="12E24EE2"/>
    <w:rsid w:val="13D50BC4"/>
    <w:rsid w:val="14B17F78"/>
    <w:rsid w:val="15965C99"/>
    <w:rsid w:val="165E0673"/>
    <w:rsid w:val="16B831D5"/>
    <w:rsid w:val="16BB723D"/>
    <w:rsid w:val="17E50567"/>
    <w:rsid w:val="186504BB"/>
    <w:rsid w:val="196B630F"/>
    <w:rsid w:val="19A445FC"/>
    <w:rsid w:val="1BE8440E"/>
    <w:rsid w:val="1D155CEE"/>
    <w:rsid w:val="1D1638FE"/>
    <w:rsid w:val="1E312DEB"/>
    <w:rsid w:val="1E740ACF"/>
    <w:rsid w:val="1FF35744"/>
    <w:rsid w:val="1FF6BC77"/>
    <w:rsid w:val="2186353C"/>
    <w:rsid w:val="22EA2D91"/>
    <w:rsid w:val="23860B96"/>
    <w:rsid w:val="240371BF"/>
    <w:rsid w:val="244F3473"/>
    <w:rsid w:val="24C97D99"/>
    <w:rsid w:val="25A718F0"/>
    <w:rsid w:val="25BB59F6"/>
    <w:rsid w:val="260F557C"/>
    <w:rsid w:val="26970054"/>
    <w:rsid w:val="281408E2"/>
    <w:rsid w:val="29FD04D3"/>
    <w:rsid w:val="2BFF7BC6"/>
    <w:rsid w:val="2C8A61B5"/>
    <w:rsid w:val="2DF04E50"/>
    <w:rsid w:val="2E586DFA"/>
    <w:rsid w:val="2F040D46"/>
    <w:rsid w:val="2F6B035B"/>
    <w:rsid w:val="2FAE5751"/>
    <w:rsid w:val="2FB1A395"/>
    <w:rsid w:val="2FD9A7D8"/>
    <w:rsid w:val="2FDBF714"/>
    <w:rsid w:val="30AB6865"/>
    <w:rsid w:val="319F7F4E"/>
    <w:rsid w:val="32BD1EF1"/>
    <w:rsid w:val="3304709D"/>
    <w:rsid w:val="33A773CB"/>
    <w:rsid w:val="349D6851"/>
    <w:rsid w:val="36AA5135"/>
    <w:rsid w:val="36BE0DA7"/>
    <w:rsid w:val="376B6AA6"/>
    <w:rsid w:val="376D39B2"/>
    <w:rsid w:val="37E16F03"/>
    <w:rsid w:val="37F53A3B"/>
    <w:rsid w:val="389B6C89"/>
    <w:rsid w:val="38D469F0"/>
    <w:rsid w:val="39627CCD"/>
    <w:rsid w:val="397BAF1F"/>
    <w:rsid w:val="3AB79AF3"/>
    <w:rsid w:val="3AE834C0"/>
    <w:rsid w:val="3B7EF35A"/>
    <w:rsid w:val="3B9FDB6C"/>
    <w:rsid w:val="3BF5BC2F"/>
    <w:rsid w:val="3CEBA265"/>
    <w:rsid w:val="3D98207C"/>
    <w:rsid w:val="3DEE7CF3"/>
    <w:rsid w:val="3E740A63"/>
    <w:rsid w:val="3E78745D"/>
    <w:rsid w:val="3EE17838"/>
    <w:rsid w:val="3F55381A"/>
    <w:rsid w:val="3F7F7599"/>
    <w:rsid w:val="3FF4CAE0"/>
    <w:rsid w:val="3FF7B227"/>
    <w:rsid w:val="44E268DA"/>
    <w:rsid w:val="450D13D7"/>
    <w:rsid w:val="45506656"/>
    <w:rsid w:val="486A6C7A"/>
    <w:rsid w:val="4A627F82"/>
    <w:rsid w:val="4B0E749A"/>
    <w:rsid w:val="4B2477C4"/>
    <w:rsid w:val="4B4F25DA"/>
    <w:rsid w:val="4BE068DB"/>
    <w:rsid w:val="4D577224"/>
    <w:rsid w:val="4DBF1CEB"/>
    <w:rsid w:val="4DF0007C"/>
    <w:rsid w:val="4EAB630A"/>
    <w:rsid w:val="4ECE2238"/>
    <w:rsid w:val="4F833267"/>
    <w:rsid w:val="4FE9BD67"/>
    <w:rsid w:val="4FFB052F"/>
    <w:rsid w:val="532741B4"/>
    <w:rsid w:val="537E6D0A"/>
    <w:rsid w:val="53F74C96"/>
    <w:rsid w:val="55170BA8"/>
    <w:rsid w:val="553218C9"/>
    <w:rsid w:val="567E1AA5"/>
    <w:rsid w:val="56E47B74"/>
    <w:rsid w:val="57175D52"/>
    <w:rsid w:val="57BD3DD4"/>
    <w:rsid w:val="5AF92295"/>
    <w:rsid w:val="5B250254"/>
    <w:rsid w:val="5BDD79E6"/>
    <w:rsid w:val="5BF561CA"/>
    <w:rsid w:val="5BFF5DFC"/>
    <w:rsid w:val="5CD71FC4"/>
    <w:rsid w:val="5D1F11B5"/>
    <w:rsid w:val="5D695134"/>
    <w:rsid w:val="5D85255C"/>
    <w:rsid w:val="5DAE1B18"/>
    <w:rsid w:val="5DE7D9E5"/>
    <w:rsid w:val="5ECEC941"/>
    <w:rsid w:val="5FBF9FF3"/>
    <w:rsid w:val="5FCD4E2C"/>
    <w:rsid w:val="5FEF394A"/>
    <w:rsid w:val="5FF67715"/>
    <w:rsid w:val="62BF3928"/>
    <w:rsid w:val="63B3701E"/>
    <w:rsid w:val="647F5392"/>
    <w:rsid w:val="65E66580"/>
    <w:rsid w:val="664B1D71"/>
    <w:rsid w:val="664B4E8E"/>
    <w:rsid w:val="67277B67"/>
    <w:rsid w:val="67AA3209"/>
    <w:rsid w:val="698D0931"/>
    <w:rsid w:val="6A7FE5F3"/>
    <w:rsid w:val="6B053271"/>
    <w:rsid w:val="6BDD78B3"/>
    <w:rsid w:val="6C4A05C8"/>
    <w:rsid w:val="6C8742B8"/>
    <w:rsid w:val="6DBF5E93"/>
    <w:rsid w:val="6DFF077E"/>
    <w:rsid w:val="6E714EF0"/>
    <w:rsid w:val="6E7E3605"/>
    <w:rsid w:val="6E7FDCC7"/>
    <w:rsid w:val="6ED6A62E"/>
    <w:rsid w:val="6EE00B15"/>
    <w:rsid w:val="6F6FB3EB"/>
    <w:rsid w:val="6F8731EA"/>
    <w:rsid w:val="6FCE6052"/>
    <w:rsid w:val="6FD57C00"/>
    <w:rsid w:val="6FEFFFD8"/>
    <w:rsid w:val="6FF5CC65"/>
    <w:rsid w:val="6FFB47EC"/>
    <w:rsid w:val="6FFF034A"/>
    <w:rsid w:val="70484440"/>
    <w:rsid w:val="712A28F1"/>
    <w:rsid w:val="715C0E4B"/>
    <w:rsid w:val="71992E7C"/>
    <w:rsid w:val="72233669"/>
    <w:rsid w:val="72734D90"/>
    <w:rsid w:val="73160E6D"/>
    <w:rsid w:val="7332FE48"/>
    <w:rsid w:val="73AB61DA"/>
    <w:rsid w:val="73AD73D5"/>
    <w:rsid w:val="73B6EB34"/>
    <w:rsid w:val="73FA497D"/>
    <w:rsid w:val="744731E5"/>
    <w:rsid w:val="74BBD01D"/>
    <w:rsid w:val="74ED5379"/>
    <w:rsid w:val="75DEEEC2"/>
    <w:rsid w:val="75E32345"/>
    <w:rsid w:val="76E3355F"/>
    <w:rsid w:val="76FF5125"/>
    <w:rsid w:val="776F6FFA"/>
    <w:rsid w:val="778769C8"/>
    <w:rsid w:val="77A75DCA"/>
    <w:rsid w:val="77DC22F5"/>
    <w:rsid w:val="783E271A"/>
    <w:rsid w:val="78616DE9"/>
    <w:rsid w:val="78E875D7"/>
    <w:rsid w:val="79086DAD"/>
    <w:rsid w:val="79D7FD79"/>
    <w:rsid w:val="79EE5BA4"/>
    <w:rsid w:val="7A894339"/>
    <w:rsid w:val="7AD284E8"/>
    <w:rsid w:val="7AFF7572"/>
    <w:rsid w:val="7B6C7DFB"/>
    <w:rsid w:val="7BBFBED0"/>
    <w:rsid w:val="7BC3E394"/>
    <w:rsid w:val="7C1F3737"/>
    <w:rsid w:val="7CBFC87B"/>
    <w:rsid w:val="7CFE0F48"/>
    <w:rsid w:val="7D272ABC"/>
    <w:rsid w:val="7D7EC23E"/>
    <w:rsid w:val="7E8ADEBF"/>
    <w:rsid w:val="7EEF11D3"/>
    <w:rsid w:val="7EFE4840"/>
    <w:rsid w:val="7F0971A6"/>
    <w:rsid w:val="7F1D62E7"/>
    <w:rsid w:val="7F3F679B"/>
    <w:rsid w:val="7F4FC4EF"/>
    <w:rsid w:val="7F5E4D54"/>
    <w:rsid w:val="7F6E0135"/>
    <w:rsid w:val="7F79F205"/>
    <w:rsid w:val="7FA30C79"/>
    <w:rsid w:val="7FA79C44"/>
    <w:rsid w:val="7FAF8ABF"/>
    <w:rsid w:val="7FB7269E"/>
    <w:rsid w:val="7FC96657"/>
    <w:rsid w:val="7FDA9588"/>
    <w:rsid w:val="7FDF220F"/>
    <w:rsid w:val="7FEDC5F7"/>
    <w:rsid w:val="7FEDD9DE"/>
    <w:rsid w:val="7FF5890D"/>
    <w:rsid w:val="7FF93490"/>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paragraph" w:styleId="6">
    <w:name w:val="Body Text"/>
    <w:basedOn w:val="1"/>
    <w:link w:val="25"/>
    <w:qFormat/>
    <w:uiPriority w:val="99"/>
    <w:pPr>
      <w:spacing w:beforeLines="30"/>
    </w:pPr>
    <w:rPr>
      <w:rFonts w:ascii="仿宋_GB2312" w:eastAsia="仿宋_GB2312"/>
      <w:kern w:val="0"/>
      <w:sz w:val="30"/>
    </w:rPr>
  </w:style>
  <w:style w:type="paragraph" w:styleId="7">
    <w:name w:val="Body Text Indent"/>
    <w:basedOn w:val="1"/>
    <w:next w:val="8"/>
    <w:qFormat/>
    <w:uiPriority w:val="0"/>
    <w:pPr>
      <w:spacing w:after="120"/>
      <w:ind w:left="200" w:leftChars="200"/>
    </w:pPr>
    <w:rPr>
      <w:rFonts w:ascii="仿宋_GB2312"/>
      <w:szCs w:val="32"/>
    </w:rPr>
  </w:style>
  <w:style w:type="paragraph" w:styleId="8">
    <w:name w:val="Body Text First Indent 2"/>
    <w:basedOn w:val="7"/>
    <w:unhideWhenUsed/>
    <w:qFormat/>
    <w:uiPriority w:val="99"/>
    <w:pPr>
      <w:ind w:firstLine="420" w:firstLineChars="200"/>
    </w:p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1"/>
    <w:semiHidden/>
    <w:unhideWhenUsed/>
    <w:qFormat/>
    <w:uiPriority w:val="99"/>
    <w:rPr>
      <w:sz w:val="18"/>
      <w:szCs w:val="18"/>
    </w:rPr>
  </w:style>
  <w:style w:type="paragraph" w:styleId="11">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footnote text"/>
    <w:basedOn w:val="1"/>
    <w:next w:val="8"/>
    <w:semiHidden/>
    <w:qFormat/>
    <w:uiPriority w:val="0"/>
    <w:pPr>
      <w:snapToGrid w:val="0"/>
      <w:jc w:val="left"/>
    </w:pPr>
    <w:rPr>
      <w:sz w:val="18"/>
      <w:szCs w:val="18"/>
    </w:rPr>
  </w:style>
  <w:style w:type="paragraph" w:styleId="15">
    <w:name w:val="toc 2"/>
    <w:basedOn w:val="1"/>
    <w:next w:val="1"/>
    <w:unhideWhenUsed/>
    <w:qFormat/>
    <w:uiPriority w:val="39"/>
    <w:pPr>
      <w:tabs>
        <w:tab w:val="right" w:leader="dot" w:pos="8296"/>
      </w:tabs>
      <w:ind w:left="420" w:leftChars="200"/>
    </w:p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rPr>
  </w:style>
  <w:style w:type="character" w:customStyle="1" w:styleId="20">
    <w:name w:val="Header Char"/>
    <w:basedOn w:val="17"/>
    <w:semiHidden/>
    <w:qFormat/>
    <w:uiPriority w:val="99"/>
    <w:rPr>
      <w:rFonts w:ascii="Times New Roman" w:hAnsi="Times New Roman"/>
      <w:sz w:val="18"/>
      <w:szCs w:val="18"/>
    </w:rPr>
  </w:style>
  <w:style w:type="character" w:customStyle="1" w:styleId="21">
    <w:name w:val="页眉 Char"/>
    <w:link w:val="12"/>
    <w:semiHidden/>
    <w:qFormat/>
    <w:locked/>
    <w:uiPriority w:val="99"/>
    <w:rPr>
      <w:sz w:val="18"/>
    </w:rPr>
  </w:style>
  <w:style w:type="character" w:customStyle="1" w:styleId="22">
    <w:name w:val="Footer Char"/>
    <w:basedOn w:val="17"/>
    <w:semiHidden/>
    <w:qFormat/>
    <w:uiPriority w:val="99"/>
    <w:rPr>
      <w:rFonts w:ascii="Times New Roman" w:hAnsi="Times New Roman"/>
      <w:sz w:val="18"/>
      <w:szCs w:val="18"/>
    </w:rPr>
  </w:style>
  <w:style w:type="character" w:customStyle="1" w:styleId="23">
    <w:name w:val="页脚 Char"/>
    <w:link w:val="11"/>
    <w:qFormat/>
    <w:locked/>
    <w:uiPriority w:val="99"/>
    <w:rPr>
      <w:sz w:val="18"/>
    </w:rPr>
  </w:style>
  <w:style w:type="character" w:customStyle="1" w:styleId="24">
    <w:name w:val="Body Text Char"/>
    <w:basedOn w:val="17"/>
    <w:semiHidden/>
    <w:qFormat/>
    <w:uiPriority w:val="99"/>
    <w:rPr>
      <w:rFonts w:ascii="Times New Roman" w:hAnsi="Times New Roman"/>
      <w:szCs w:val="24"/>
    </w:rPr>
  </w:style>
  <w:style w:type="character" w:customStyle="1" w:styleId="25">
    <w:name w:val="正文文本 Char"/>
    <w:link w:val="6"/>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7"/>
    <w:link w:val="3"/>
    <w:qFormat/>
    <w:uiPriority w:val="9"/>
    <w:rPr>
      <w:rFonts w:ascii="Times New Roman" w:hAnsi="Times New Roman"/>
      <w:b/>
      <w:bCs/>
      <w:kern w:val="44"/>
      <w:sz w:val="44"/>
      <w:szCs w:val="44"/>
    </w:rPr>
  </w:style>
  <w:style w:type="character" w:customStyle="1" w:styleId="29">
    <w:name w:val="标题 2 Char"/>
    <w:basedOn w:val="17"/>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1">
    <w:name w:val="批注框文本 Char"/>
    <w:basedOn w:val="17"/>
    <w:link w:val="10"/>
    <w:semiHidden/>
    <w:qFormat/>
    <w:uiPriority w:val="99"/>
    <w:rPr>
      <w:rFonts w:ascii="Times New Roman" w:hAnsi="Times New Roman"/>
      <w:kern w:val="2"/>
      <w:sz w:val="18"/>
      <w:szCs w:val="18"/>
    </w:rPr>
  </w:style>
  <w:style w:type="character" w:customStyle="1" w:styleId="32">
    <w:name w:val="标题 3 Char"/>
    <w:basedOn w:val="17"/>
    <w:link w:val="5"/>
    <w:qFormat/>
    <w:uiPriority w:val="9"/>
    <w:rPr>
      <w:rFonts w:ascii="Times New Roman" w:hAnsi="Times New Roman"/>
      <w:b/>
      <w:bCs/>
      <w:kern w:val="2"/>
      <w:sz w:val="32"/>
      <w:szCs w:val="32"/>
    </w:rPr>
  </w:style>
  <w:style w:type="paragraph" w:customStyle="1" w:styleId="33">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4">
    <w:name w:val="四号正文"/>
    <w:basedOn w:val="1"/>
    <w:qFormat/>
    <w:uiPriority w:val="0"/>
    <w:pPr>
      <w:spacing w:line="360" w:lineRule="auto"/>
    </w:pPr>
    <w:rPr>
      <w:rFonts w:ascii="??" w:hAnsi="??"/>
      <w:color w:val="000000"/>
      <w:kern w:val="0"/>
      <w:sz w:val="28"/>
      <w:szCs w:val="21"/>
      <w:lang w:val="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customXml" Target="../customXml/item1.xml"/><Relationship Id="rId16" Type="http://schemas.openxmlformats.org/officeDocument/2006/relationships/chart" Target="charts/chart7.xml"/><Relationship Id="rId15" Type="http://schemas.openxmlformats.org/officeDocument/2006/relationships/chart" Target="charts/chart6.xml"/><Relationship Id="rId14" Type="http://schemas.openxmlformats.org/officeDocument/2006/relationships/chart" Target="charts/chart5.xml"/><Relationship Id="rId13" Type="http://schemas.openxmlformats.org/officeDocument/2006/relationships/chart" Target="charts/chart4.xml"/><Relationship Id="rId12" Type="http://schemas.openxmlformats.org/officeDocument/2006/relationships/chart" Target="charts/chart3.xml"/><Relationship Id="rId11" Type="http://schemas.openxmlformats.org/officeDocument/2006/relationships/chart" Target="charts/chart2.xml"/><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1891531693253"/>
          <c:y val="0.0860851926977688"/>
          <c:w val="0.747603383191356"/>
          <c:h val="0.837441954371088"/>
        </c:manualLayout>
      </c:layout>
      <c:barChart>
        <c:barDir val="col"/>
        <c:grouping val="clustered"/>
        <c:varyColors val="0"/>
        <c:ser>
          <c:idx val="0"/>
          <c:order val="0"/>
          <c:tx>
            <c:strRef>
              <c:f>Sheet1!$B$1</c:f>
              <c:strCache>
                <c:ptCount val="1"/>
                <c:pt idx="0">
                  <c:v>2023年</c:v>
                </c:pt>
              </c:strCache>
            </c:strRef>
          </c:tx>
          <c:invertIfNegative val="0"/>
          <c:dLbls>
            <c:dLbl>
              <c:idx val="0"/>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en-US"/>
                      <a:t>2781.14</a:t>
                    </a:r>
                    <a:r>
                      <a:rPr lang="zh-CN" altLang="en-US"/>
                      <a:t>万元</a:t>
                    </a:r>
                    <a:endParaRPr lang="en-US" altLang="en-US"/>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0.0337105706718035"/>
                  <c:y val="0"/>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en-US"/>
                      <a:t>2319.89</a:t>
                    </a:r>
                    <a:r>
                      <a:rPr lang="zh-CN" altLang="en-US"/>
                      <a:t>万元</a:t>
                    </a:r>
                    <a:endParaRPr lang="en-US" altLang="en-US"/>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收入</c:v>
                </c:pt>
                <c:pt idx="1">
                  <c:v>支出</c:v>
                </c:pt>
              </c:strCache>
            </c:strRef>
          </c:cat>
          <c:val>
            <c:numRef>
              <c:f>Sheet1!$B$2:$B$3</c:f>
              <c:numCache>
                <c:formatCode>General</c:formatCode>
                <c:ptCount val="2"/>
                <c:pt idx="0">
                  <c:v>2781.14</c:v>
                </c:pt>
                <c:pt idx="1">
                  <c:v>2781.14</c:v>
                </c:pt>
              </c:numCache>
            </c:numRef>
          </c:val>
        </c:ser>
        <c:ser>
          <c:idx val="1"/>
          <c:order val="1"/>
          <c:tx>
            <c:strRef>
              <c:f>Sheet1!$C$1</c:f>
              <c:strCache>
                <c:ptCount val="1"/>
                <c:pt idx="0">
                  <c:v>2024年</c:v>
                </c:pt>
              </c:strCache>
            </c:strRef>
          </c:tx>
          <c:invertIfNegative val="0"/>
          <c:dLbls>
            <c:dLbl>
              <c:idx val="0"/>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en-US"/>
                      <a:t>2319.89</a:t>
                    </a:r>
                    <a:r>
                      <a:rPr lang="zh-CN" altLang="en-US"/>
                      <a:t>万元</a:t>
                    </a:r>
                    <a:endParaRPr lang="en-US" altLang="en-US"/>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en-US"/>
                      <a:t>2319.89</a:t>
                    </a:r>
                    <a:r>
                      <a:rPr lang="zh-CN" altLang="en-US"/>
                      <a:t>万元</a:t>
                    </a:r>
                    <a:endParaRPr lang="en-US" altLang="en-US"/>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收入</c:v>
                </c:pt>
                <c:pt idx="1">
                  <c:v>支出</c:v>
                </c:pt>
              </c:strCache>
            </c:strRef>
          </c:cat>
          <c:val>
            <c:numRef>
              <c:f>Sheet1!$C$2:$C$3</c:f>
              <c:numCache>
                <c:formatCode>General</c:formatCode>
                <c:ptCount val="2"/>
                <c:pt idx="0">
                  <c:v>2319.89</c:v>
                </c:pt>
                <c:pt idx="1">
                  <c:v>2319.89</c:v>
                </c:pt>
              </c:numCache>
            </c:numRef>
          </c:val>
        </c:ser>
        <c:dLbls>
          <c:showLegendKey val="0"/>
          <c:showVal val="1"/>
          <c:showCatName val="0"/>
          <c:showSerName val="0"/>
          <c:showPercent val="0"/>
          <c:showBubbleSize val="0"/>
        </c:dLbls>
        <c:gapWidth val="150"/>
        <c:axId val="86481152"/>
        <c:axId val="86544384"/>
      </c:barChart>
      <c:catAx>
        <c:axId val="86481152"/>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86544384"/>
        <c:crosses val="autoZero"/>
        <c:auto val="1"/>
        <c:lblAlgn val="ctr"/>
        <c:lblOffset val="100"/>
        <c:noMultiLvlLbl val="0"/>
      </c:catAx>
      <c:valAx>
        <c:axId val="8654438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86481152"/>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收入决算结构</c:v>
                </c:pt>
              </c:strCache>
            </c:strRef>
          </c:tx>
          <c:explosion val="0"/>
          <c:dPt>
            <c:idx val="0"/>
            <c:bubble3D val="0"/>
          </c:dPt>
          <c:dLbls>
            <c:dLbl>
              <c:idx val="0"/>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en-US"/>
                      <a:t>2319.89</a:t>
                    </a:r>
                    <a:endParaRPr lang="en-US" altLang="en-US"/>
                  </a:p>
                </c:rich>
              </c:tx>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c:f>
              <c:strCache>
                <c:ptCount val="1"/>
                <c:pt idx="0">
                  <c:v>一般公共预算</c:v>
                </c:pt>
              </c:strCache>
            </c:strRef>
          </c:cat>
          <c:val>
            <c:numRef>
              <c:f>Sheet1!$B$2</c:f>
              <c:numCache>
                <c:formatCode>General</c:formatCode>
                <c:ptCount val="1"/>
                <c:pt idx="0">
                  <c:v>8.2</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view3D>
      <c:rotX val="30"/>
      <c:rotY val="0"/>
      <c:depthPercent val="100"/>
      <c:rAngAx val="0"/>
      <c:perspective val="30"/>
    </c:view3D>
    <c:floor>
      <c:thickness val="0"/>
    </c:floor>
    <c:sideWall>
      <c:thickness val="0"/>
    </c:sideWall>
    <c:backWall>
      <c:thickness val="0"/>
    </c:backWall>
    <c:plotArea>
      <c:layout>
        <c:manualLayout>
          <c:layoutTarget val="inner"/>
          <c:xMode val="edge"/>
          <c:yMode val="edge"/>
          <c:x val="0.0755082204319836"/>
          <c:y val="0.228165488322969"/>
          <c:w val="0.676897526537507"/>
          <c:h val="0.673398753083793"/>
        </c:manualLayout>
      </c:layout>
      <c:pie3DChart>
        <c:varyColors val="1"/>
        <c:ser>
          <c:idx val="0"/>
          <c:order val="0"/>
          <c:tx>
            <c:strRef>
              <c:f>Sheet1!$B$1</c:f>
              <c:strCache>
                <c:ptCount val="1"/>
                <c:pt idx="0">
                  <c:v>支出决算结构</c:v>
                </c:pt>
              </c:strCache>
            </c:strRef>
          </c:tx>
          <c:explosion val="25"/>
          <c:dPt>
            <c:idx val="0"/>
            <c:bubble3D val="0"/>
          </c:dPt>
          <c:dPt>
            <c:idx val="1"/>
            <c:bubble3D val="0"/>
          </c:dPt>
          <c:dLbls>
            <c:dLbl>
              <c:idx val="0"/>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en-US"/>
                      <a:t>2289.9</a:t>
                    </a:r>
                    <a:r>
                      <a:rPr lang="zh-CN" altLang="en-US"/>
                      <a:t>万元</a:t>
                    </a:r>
                    <a:endParaRPr lang="en-US" altLang="en-US"/>
                  </a:p>
                </c:rich>
              </c:tx>
              <c:dLblPos val="bestFit"/>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en-US"/>
                      <a:t>30</a:t>
                    </a:r>
                    <a:r>
                      <a:rPr lang="zh-CN" altLang="en-US"/>
                      <a:t>万元</a:t>
                    </a:r>
                    <a:endParaRPr lang="en-US" altLang="en-US"/>
                  </a:p>
                </c:rich>
              </c:tx>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Sheet1!$A$2:$A$3</c:f>
              <c:strCache>
                <c:ptCount val="2"/>
                <c:pt idx="0">
                  <c:v>基本支出</c:v>
                </c:pt>
                <c:pt idx="1">
                  <c:v>项目支出</c:v>
                </c:pt>
              </c:strCache>
            </c:strRef>
          </c:cat>
          <c:val>
            <c:numRef>
              <c:f>Sheet1!$B$2:$B$3</c:f>
              <c:numCache>
                <c:formatCode>General</c:formatCode>
                <c:ptCount val="2"/>
                <c:pt idx="0">
                  <c:v>2289.9</c:v>
                </c:pt>
                <c:pt idx="1">
                  <c:v>30</c:v>
                </c:pt>
              </c:numCache>
            </c:numRef>
          </c:val>
        </c:ser>
        <c:dLbls>
          <c:showLegendKey val="0"/>
          <c:showVal val="1"/>
          <c:showCatName val="0"/>
          <c:showSerName val="0"/>
          <c:showPercent val="0"/>
          <c:showBubbleSize val="0"/>
        </c:dLbls>
      </c:pie3D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58065563470645"/>
          <c:y val="0.0503909741108431"/>
          <c:w val="0.774532600260064"/>
          <c:h val="0.856728502157569"/>
        </c:manualLayout>
      </c:layout>
      <c:barChart>
        <c:barDir val="col"/>
        <c:grouping val="clustered"/>
        <c:varyColors val="0"/>
        <c:ser>
          <c:idx val="0"/>
          <c:order val="0"/>
          <c:tx>
            <c:strRef>
              <c:f>Sheet1!$B$1</c:f>
              <c:strCache>
                <c:ptCount val="1"/>
                <c:pt idx="0">
                  <c:v>2023</c:v>
                </c:pt>
              </c:strCache>
            </c:strRef>
          </c:tx>
          <c:invertIfNegative val="0"/>
          <c:dLbls>
            <c:dLbl>
              <c:idx val="0"/>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en-US"/>
                      <a:t>2781.14</a:t>
                    </a:r>
                    <a:r>
                      <a:rPr lang="zh-CN" altLang="en-US"/>
                      <a:t>万元</a:t>
                    </a:r>
                    <a:endParaRPr lang="en-US" altLang="en-US"/>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en-US"/>
                      <a:t>2781.14</a:t>
                    </a:r>
                    <a:r>
                      <a:rPr lang="zh-CN" altLang="en-US"/>
                      <a:t>万元</a:t>
                    </a:r>
                    <a:endParaRPr lang="en-US" altLang="en-US"/>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财政拨款收入</c:v>
                </c:pt>
                <c:pt idx="1">
                  <c:v>财政拨款支出</c:v>
                </c:pt>
              </c:strCache>
            </c:strRef>
          </c:cat>
          <c:val>
            <c:numRef>
              <c:f>Sheet1!$B$2:$B$3</c:f>
              <c:numCache>
                <c:formatCode>General</c:formatCode>
                <c:ptCount val="2"/>
                <c:pt idx="0">
                  <c:v>2781.14</c:v>
                </c:pt>
                <c:pt idx="1">
                  <c:v>2781.14</c:v>
                </c:pt>
              </c:numCache>
            </c:numRef>
          </c:val>
        </c:ser>
        <c:ser>
          <c:idx val="1"/>
          <c:order val="1"/>
          <c:tx>
            <c:strRef>
              <c:f>Sheet1!$C$1</c:f>
              <c:strCache>
                <c:ptCount val="1"/>
                <c:pt idx="0">
                  <c:v>2024</c:v>
                </c:pt>
              </c:strCache>
            </c:strRef>
          </c:tx>
          <c:invertIfNegative val="0"/>
          <c:dLbls>
            <c:dLbl>
              <c:idx val="0"/>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en-US"/>
                      <a:t>2319.89</a:t>
                    </a:r>
                    <a:r>
                      <a:rPr lang="zh-CN" altLang="en-US"/>
                      <a:t>万元</a:t>
                    </a:r>
                    <a:endParaRPr lang="en-US" altLang="en-US"/>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en-US"/>
                      <a:t>2319.89</a:t>
                    </a:r>
                    <a:r>
                      <a:rPr lang="zh-CN" altLang="en-US"/>
                      <a:t>万元</a:t>
                    </a:r>
                    <a:endParaRPr lang="en-US" altLang="en-US"/>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财政拨款收入</c:v>
                </c:pt>
                <c:pt idx="1">
                  <c:v>财政拨款支出</c:v>
                </c:pt>
              </c:strCache>
            </c:strRef>
          </c:cat>
          <c:val>
            <c:numRef>
              <c:f>Sheet1!$C$2:$C$3</c:f>
              <c:numCache>
                <c:formatCode>General</c:formatCode>
                <c:ptCount val="2"/>
                <c:pt idx="0">
                  <c:v>2319.89</c:v>
                </c:pt>
                <c:pt idx="1">
                  <c:v>2319.89</c:v>
                </c:pt>
              </c:numCache>
            </c:numRef>
          </c:val>
        </c:ser>
        <c:dLbls>
          <c:showLegendKey val="0"/>
          <c:showVal val="1"/>
          <c:showCatName val="0"/>
          <c:showSerName val="0"/>
          <c:showPercent val="0"/>
          <c:showBubbleSize val="0"/>
        </c:dLbls>
        <c:gapWidth val="150"/>
        <c:axId val="61299328"/>
        <c:axId val="61321600"/>
      </c:barChart>
      <c:catAx>
        <c:axId val="61299328"/>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61321600"/>
        <c:crosses val="autoZero"/>
        <c:auto val="1"/>
        <c:lblAlgn val="ctr"/>
        <c:lblOffset val="100"/>
        <c:noMultiLvlLbl val="0"/>
      </c:catAx>
      <c:valAx>
        <c:axId val="6132160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61299328"/>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0364060466255"/>
          <c:y val="0.095702055301778"/>
          <c:w val="0.771682362242644"/>
          <c:h val="0.820089222593306"/>
        </c:manualLayout>
      </c:layout>
      <c:barChart>
        <c:barDir val="col"/>
        <c:grouping val="clustered"/>
        <c:varyColors val="0"/>
        <c:ser>
          <c:idx val="0"/>
          <c:order val="0"/>
          <c:tx>
            <c:strRef>
              <c:f>Sheet1!$B$1</c:f>
              <c:strCache>
                <c:ptCount val="1"/>
                <c:pt idx="0">
                  <c:v>2023</c:v>
                </c:pt>
              </c:strCache>
            </c:strRef>
          </c:tx>
          <c:invertIfNegative val="0"/>
          <c:dLbls>
            <c:dLbl>
              <c:idx val="0"/>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en-US"/>
                      <a:t>2781.14</a:t>
                    </a:r>
                    <a:r>
                      <a:rPr lang="zh-CN" altLang="en-US"/>
                      <a:t>万元</a:t>
                    </a:r>
                    <a:endParaRPr lang="en-US" altLang="en-US"/>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Sheet1!$A$2</c:f>
              <c:numCache>
                <c:formatCode>General</c:formatCode>
                <c:ptCount val="1"/>
              </c:numCache>
            </c:numRef>
          </c:cat>
          <c:val>
            <c:numRef>
              <c:f>Sheet1!$B$2</c:f>
              <c:numCache>
                <c:formatCode>General</c:formatCode>
                <c:ptCount val="1"/>
                <c:pt idx="0">
                  <c:v>2781.14</c:v>
                </c:pt>
              </c:numCache>
            </c:numRef>
          </c:val>
        </c:ser>
        <c:ser>
          <c:idx val="1"/>
          <c:order val="1"/>
          <c:tx>
            <c:strRef>
              <c:f>Sheet1!$C$1</c:f>
              <c:strCache>
                <c:ptCount val="1"/>
                <c:pt idx="0">
                  <c:v>2024</c:v>
                </c:pt>
              </c:strCache>
            </c:strRef>
          </c:tx>
          <c:invertIfNegative val="0"/>
          <c:dLbls>
            <c:dLbl>
              <c:idx val="0"/>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en-US"/>
                      <a:t>2319.89</a:t>
                    </a:r>
                    <a:r>
                      <a:rPr lang="zh-CN" altLang="en-US"/>
                      <a:t>万元</a:t>
                    </a:r>
                    <a:endParaRPr lang="en-US" altLang="en-US"/>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Sheet1!$A$2</c:f>
              <c:numCache>
                <c:formatCode>General</c:formatCode>
                <c:ptCount val="1"/>
              </c:numCache>
            </c:numRef>
          </c:cat>
          <c:val>
            <c:numRef>
              <c:f>Sheet1!$C$2</c:f>
              <c:numCache>
                <c:formatCode>General</c:formatCode>
                <c:ptCount val="1"/>
                <c:pt idx="0">
                  <c:v>2319.89</c:v>
                </c:pt>
              </c:numCache>
            </c:numRef>
          </c:val>
        </c:ser>
        <c:dLbls>
          <c:showLegendKey val="0"/>
          <c:showVal val="1"/>
          <c:showCatName val="0"/>
          <c:showSerName val="0"/>
          <c:showPercent val="0"/>
          <c:showBubbleSize val="0"/>
        </c:dLbls>
        <c:gapWidth val="150"/>
        <c:axId val="87344256"/>
        <c:axId val="87345792"/>
      </c:barChart>
      <c:catAx>
        <c:axId val="87344256"/>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87345792"/>
        <c:crosses val="autoZero"/>
        <c:auto val="1"/>
        <c:lblAlgn val="ctr"/>
        <c:lblOffset val="100"/>
        <c:noMultiLvlLbl val="0"/>
      </c:catAx>
      <c:valAx>
        <c:axId val="8734579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87344256"/>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view3D>
      <c:rotX val="30"/>
      <c:rotY val="0"/>
      <c:depthPercent val="100"/>
      <c:rAngAx val="0"/>
      <c:perspective val="30"/>
    </c:view3D>
    <c:floor>
      <c:thickness val="0"/>
    </c:floor>
    <c:sideWall>
      <c:thickness val="0"/>
    </c:sideWall>
    <c:backWall>
      <c:thickness val="0"/>
    </c:backWall>
    <c:plotArea>
      <c:layout/>
      <c:pie3DChart>
        <c:varyColors val="1"/>
        <c:ser>
          <c:idx val="0"/>
          <c:order val="0"/>
          <c:tx>
            <c:strRef>
              <c:f>Sheet1!$B$1</c:f>
              <c:strCache>
                <c:ptCount val="1"/>
                <c:pt idx="0">
                  <c:v>一般公共预算财政拨款支出</c:v>
                </c:pt>
              </c:strCache>
            </c:strRef>
          </c:tx>
          <c:explosion val="25"/>
          <c:dPt>
            <c:idx val="0"/>
            <c:bubble3D val="0"/>
          </c:dPt>
          <c:dPt>
            <c:idx val="1"/>
            <c:bubble3D val="0"/>
          </c:dPt>
          <c:dPt>
            <c:idx val="2"/>
            <c:bubble3D val="0"/>
          </c:dPt>
          <c:dPt>
            <c:idx val="3"/>
            <c:bubble3D val="0"/>
          </c:dPt>
          <c:dLbls>
            <c:dLbl>
              <c:idx val="0"/>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en-US"/>
                      <a:t>256.76</a:t>
                    </a:r>
                    <a:r>
                      <a:rPr lang="zh-CN" altLang="en-US"/>
                      <a:t>万元</a:t>
                    </a:r>
                    <a:endParaRPr lang="en-US" altLang="en-US"/>
                  </a:p>
                </c:rich>
              </c:tx>
              <c:dLblPos val="bestFit"/>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en-US"/>
                      <a:t>114.26</a:t>
                    </a:r>
                    <a:r>
                      <a:rPr lang="zh-CN" altLang="en-US"/>
                      <a:t>万元</a:t>
                    </a:r>
                    <a:endParaRPr lang="en-US" altLang="en-US"/>
                  </a:p>
                </c:rich>
              </c:tx>
              <c:dLblPos val="bestFit"/>
              <c:showLegendKey val="0"/>
              <c:showVal val="1"/>
              <c:showCatName val="0"/>
              <c:showSerName val="0"/>
              <c:showPercent val="0"/>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en-US"/>
                      <a:t>141.91</a:t>
                    </a:r>
                    <a:r>
                      <a:rPr lang="zh-CN" altLang="en-US"/>
                      <a:t>万元</a:t>
                    </a:r>
                    <a:endParaRPr lang="en-US" altLang="en-US"/>
                  </a:p>
                </c:rich>
              </c:tx>
              <c:dLblPos val="bestFit"/>
              <c:showLegendKey val="0"/>
              <c:showVal val="1"/>
              <c:showCatName val="0"/>
              <c:showSerName val="0"/>
              <c:showPercent val="0"/>
              <c:showBubbleSize val="0"/>
              <c:extLst>
                <c:ext xmlns:c15="http://schemas.microsoft.com/office/drawing/2012/chart" uri="{CE6537A1-D6FC-4f65-9D91-7224C49458BB}"/>
              </c:extLst>
            </c:dLbl>
            <c:dLbl>
              <c:idx val="3"/>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en-US"/>
                      <a:t>1806.96</a:t>
                    </a:r>
                    <a:r>
                      <a:rPr lang="zh-CN" altLang="en-US"/>
                      <a:t>万元</a:t>
                    </a:r>
                    <a:endParaRPr lang="en-US" altLang="en-US"/>
                  </a:p>
                </c:rich>
              </c:tx>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Sheet1!$A$2:$A$5</c:f>
              <c:strCache>
                <c:ptCount val="4"/>
                <c:pt idx="0">
                  <c:v>社会保障和就业支出</c:v>
                </c:pt>
                <c:pt idx="1">
                  <c:v>卫生健康支出</c:v>
                </c:pt>
                <c:pt idx="2">
                  <c:v>住房保障支出</c:v>
                </c:pt>
                <c:pt idx="3">
                  <c:v>交通运输支出</c:v>
                </c:pt>
              </c:strCache>
            </c:strRef>
          </c:cat>
          <c:val>
            <c:numRef>
              <c:f>Sheet1!$B$2:$B$5</c:f>
              <c:numCache>
                <c:formatCode>General</c:formatCode>
                <c:ptCount val="4"/>
                <c:pt idx="0">
                  <c:v>256.76</c:v>
                </c:pt>
                <c:pt idx="1">
                  <c:v>114.26</c:v>
                </c:pt>
                <c:pt idx="2">
                  <c:v>141.91</c:v>
                </c:pt>
                <c:pt idx="3">
                  <c:v>1806.96</c:v>
                </c:pt>
              </c:numCache>
            </c:numRef>
          </c:val>
        </c:ser>
        <c:dLbls>
          <c:showLegendKey val="0"/>
          <c:showVal val="1"/>
          <c:showCatName val="0"/>
          <c:showSerName val="0"/>
          <c:showPercent val="0"/>
          <c:showBubbleSize val="0"/>
        </c:dLbls>
      </c:pie3D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view3D>
      <c:rotX val="30"/>
      <c:rotY val="0"/>
      <c:depthPercent val="100"/>
      <c:rAngAx val="0"/>
      <c:perspective val="30"/>
    </c:view3D>
    <c:floor>
      <c:thickness val="0"/>
    </c:floor>
    <c:sideWall>
      <c:thickness val="0"/>
    </c:sideWall>
    <c:backWall>
      <c:thickness val="0"/>
    </c:backWall>
    <c:plotArea>
      <c:layout/>
      <c:pie3DChart>
        <c:varyColors val="1"/>
        <c:ser>
          <c:idx val="0"/>
          <c:order val="0"/>
          <c:tx>
            <c:strRef>
              <c:f>Sheet1!$B$1</c:f>
              <c:strCache>
                <c:ptCount val="1"/>
                <c:pt idx="0">
                  <c:v>三公经费财政拨款支出</c:v>
                </c:pt>
              </c:strCache>
            </c:strRef>
          </c:tx>
          <c:explosion val="25"/>
          <c:dPt>
            <c:idx val="0"/>
            <c:bubble3D val="0"/>
          </c:dPt>
          <c:dPt>
            <c:idx val="1"/>
            <c:bubble3D val="0"/>
          </c:dPt>
          <c:dLbls>
            <c:dLbl>
              <c:idx val="0"/>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en-US"/>
                      <a:t>11.17</a:t>
                    </a:r>
                    <a:r>
                      <a:rPr lang="zh-CN" altLang="en-US"/>
                      <a:t>万元</a:t>
                    </a:r>
                    <a:endParaRPr lang="en-US" altLang="en-US"/>
                  </a:p>
                </c:rich>
              </c:tx>
              <c:dLblPos val="bestFit"/>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en-US"/>
                      <a:t>0.51</a:t>
                    </a:r>
                    <a:r>
                      <a:rPr lang="zh-CN" altLang="en-US"/>
                      <a:t>万元</a:t>
                    </a:r>
                    <a:endParaRPr lang="en-US" altLang="en-US"/>
                  </a:p>
                </c:rich>
              </c:tx>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Sheet1!$A$2:$A$3</c:f>
              <c:strCache>
                <c:ptCount val="2"/>
                <c:pt idx="0">
                  <c:v>公务用车购置及运行维护费支出</c:v>
                </c:pt>
                <c:pt idx="1">
                  <c:v>公务接待费支出</c:v>
                </c:pt>
              </c:strCache>
            </c:strRef>
          </c:cat>
          <c:val>
            <c:numRef>
              <c:f>Sheet1!$B$2:$B$3</c:f>
              <c:numCache>
                <c:formatCode>General</c:formatCode>
                <c:ptCount val="2"/>
                <c:pt idx="0">
                  <c:v>11.17</c:v>
                </c:pt>
                <c:pt idx="1">
                  <c:v>0.51</c:v>
                </c:pt>
              </c:numCache>
            </c:numRef>
          </c:val>
        </c:ser>
        <c:dLbls>
          <c:showLegendKey val="0"/>
          <c:showVal val="1"/>
          <c:showCatName val="0"/>
          <c:showSerName val="0"/>
          <c:showPercent val="0"/>
          <c:showBubbleSize val="0"/>
        </c:dLbls>
      </c:pie3D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0.30915</cdr:x>
      <cdr:y>0.02231</cdr:y>
    </cdr:from>
    <cdr:to>
      <cdr:x>0.72712</cdr:x>
      <cdr:y>0.08316</cdr:y>
    </cdr:to>
    <cdr:sp>
      <cdr:nvSpPr>
        <cdr:cNvPr id="2" name="矩形 1"/>
        <cdr:cNvSpPr/>
      </cdr:nvSpPr>
      <cdr:spPr xmlns:a="http://schemas.openxmlformats.org/drawingml/2006/main">
        <a:xfrm xmlns:a="http://schemas.openxmlformats.org/drawingml/2006/main">
          <a:off x="1704975" y="104775"/>
          <a:ext cx="2305050" cy="285750"/>
        </a:xfrm>
        <a:prstGeom xmlns:a="http://schemas.openxmlformats.org/drawingml/2006/main" prst="rect">
          <a:avLst/>
        </a:prstGeom>
      </cdr:spPr>
      <cdr:txBody xmlns:a="http://schemas.openxmlformats.org/drawingml/2006/main">
        <a:bodyPr vert="horz" wrap="square" lIns="45720" tIns="45720" rIns="45720" bIns="45720" rtlCol="0" anchor="t" anchorCtr="0">
          <a:normAutofit/>
        </a:bodyPr>
        <a:lstStyle/>
        <a:p>
          <a:endParaRPr lang="zh-CN" altLang="en-US" sz="1100"/>
        </a:p>
      </cdr:txBody>
    </cdr:sp>
  </cdr:relSizeAnchor>
  <cdr:relSizeAnchor xmlns:cdr="http://schemas.openxmlformats.org/drawingml/2006/chartDrawing">
    <cdr:from>
      <cdr:x>0.29879</cdr:x>
      <cdr:y>0.02231</cdr:y>
    </cdr:from>
    <cdr:to>
      <cdr:x>0.70984</cdr:x>
      <cdr:y>0.08114</cdr:y>
    </cdr:to>
    <cdr:sp>
      <cdr:nvSpPr>
        <cdr:cNvPr id="3" name="矩形 2"/>
        <cdr:cNvSpPr/>
      </cdr:nvSpPr>
      <cdr:spPr xmlns:a="http://schemas.openxmlformats.org/drawingml/2006/main">
        <a:xfrm xmlns:a="http://schemas.openxmlformats.org/drawingml/2006/main">
          <a:off x="1647825" y="104775"/>
          <a:ext cx="2266950" cy="276225"/>
        </a:xfrm>
        <a:prstGeom xmlns:a="http://schemas.openxmlformats.org/drawingml/2006/main" prst="rect">
          <a:avLst/>
        </a:prstGeom>
      </cdr:spPr>
      <cdr:txBody xmlns:a="http://schemas.openxmlformats.org/drawingml/2006/main">
        <a:bodyPr vert="horz" wrap="square" lIns="45720" tIns="45720" rIns="45720" bIns="45720" rtlCol="0" anchor="t" anchorCtr="0">
          <a:normAutofit/>
        </a:bodyPr>
        <a:lstStyle/>
        <a:p>
          <a:endParaRPr lang="zh-CN" altLang="en-US" sz="1100"/>
        </a:p>
      </cdr:txBody>
    </cdr:sp>
  </cdr:relSizeAnchor>
  <cdr:relSizeAnchor xmlns:cdr="http://schemas.openxmlformats.org/drawingml/2006/chartDrawing">
    <cdr:from>
      <cdr:x>0.36442</cdr:x>
      <cdr:y>0.01623</cdr:y>
    </cdr:from>
    <cdr:to>
      <cdr:x>0.68566</cdr:x>
      <cdr:y>0.07505</cdr:y>
    </cdr:to>
    <cdr:sp>
      <cdr:nvSpPr>
        <cdr:cNvPr id="4" name="矩形 3"/>
        <cdr:cNvSpPr/>
      </cdr:nvSpPr>
      <cdr:spPr xmlns:a="http://schemas.openxmlformats.org/drawingml/2006/main">
        <a:xfrm xmlns:a="http://schemas.openxmlformats.org/drawingml/2006/main">
          <a:off x="2009775" y="76201"/>
          <a:ext cx="1771650" cy="276224"/>
        </a:xfrm>
        <a:prstGeom xmlns:a="http://schemas.openxmlformats.org/drawingml/2006/main" prst="rect">
          <a:avLst/>
        </a:prstGeom>
      </cdr:spPr>
      <cdr:txBody xmlns:a="http://schemas.openxmlformats.org/drawingml/2006/main">
        <a:bodyPr vert="horz" wrap="square" lIns="45720" tIns="45720" rIns="45720" bIns="45720" rtlCol="0" anchor="t" anchorCtr="0">
          <a:normAutofit/>
        </a:bodyPr>
        <a:lstStyle/>
        <a:p>
          <a:r>
            <a:rPr lang="zh-CN" altLang="en-US" sz="1800" b="0"/>
            <a:t>收入支出对比</a:t>
          </a:r>
          <a:endParaRPr lang="zh-CN" altLang="en-US" sz="1800" b="0"/>
        </a:p>
      </cdr:txBody>
    </cdr:sp>
  </cdr:relSizeAnchor>
</c:userShapes>
</file>

<file path=word/drawings/drawing2.xml><?xml version="1.0" encoding="utf-8"?>
<c:userShapes xmlns:c="http://schemas.openxmlformats.org/drawingml/2006/chart">
  <cdr:relSizeAnchor xmlns:cdr="http://schemas.openxmlformats.org/drawingml/2006/chartDrawing">
    <cdr:from>
      <cdr:x>0.27821</cdr:x>
      <cdr:y>0.01453</cdr:y>
    </cdr:from>
    <cdr:to>
      <cdr:x>0.68482</cdr:x>
      <cdr:y>0.08717</cdr:y>
    </cdr:to>
    <cdr:sp>
      <cdr:nvSpPr>
        <cdr:cNvPr id="2" name="矩形 1"/>
        <cdr:cNvSpPr/>
      </cdr:nvSpPr>
      <cdr:spPr xmlns:a="http://schemas.openxmlformats.org/drawingml/2006/main">
        <a:xfrm xmlns:a="http://schemas.openxmlformats.org/drawingml/2006/main">
          <a:off x="1485900" y="57150"/>
          <a:ext cx="2171700" cy="285750"/>
        </a:xfrm>
        <a:prstGeom xmlns:a="http://schemas.openxmlformats.org/drawingml/2006/main" prst="rect">
          <a:avLst/>
        </a:prstGeom>
      </cdr:spPr>
      <cdr:txBody xmlns:a="http://schemas.openxmlformats.org/drawingml/2006/main">
        <a:bodyPr vert="horz" wrap="square" lIns="45720" tIns="45720" rIns="45720" bIns="45720" rtlCol="0" anchor="t" anchorCtr="0">
          <a:normAutofit/>
        </a:bodyPr>
        <a:lstStyle/>
        <a:p>
          <a:endParaRPr lang="zh-CN" altLang="en-US" sz="1100"/>
        </a:p>
      </cdr:txBody>
    </cdr:sp>
  </cdr:relSizeAnchor>
  <cdr:relSizeAnchor xmlns:cdr="http://schemas.openxmlformats.org/drawingml/2006/chartDrawing">
    <cdr:from>
      <cdr:x>0.25681</cdr:x>
      <cdr:y>0</cdr:y>
    </cdr:from>
    <cdr:to>
      <cdr:x>0.70978</cdr:x>
      <cdr:y>0.07264</cdr:y>
    </cdr:to>
    <cdr:sp>
      <cdr:nvSpPr>
        <cdr:cNvPr id="3" name="矩形 2"/>
        <cdr:cNvSpPr/>
      </cdr:nvSpPr>
      <cdr:spPr xmlns:a="http://schemas.openxmlformats.org/drawingml/2006/main">
        <a:xfrm xmlns:a="http://schemas.openxmlformats.org/drawingml/2006/main">
          <a:off x="1340453" y="0"/>
          <a:ext cx="2364411" cy="249772"/>
        </a:xfrm>
        <a:prstGeom xmlns:a="http://schemas.openxmlformats.org/drawingml/2006/main" prst="rect">
          <a:avLst/>
        </a:prstGeom>
      </cdr:spPr>
      <cdr:txBody xmlns:a="http://schemas.openxmlformats.org/drawingml/2006/main">
        <a:bodyPr vert="horz" wrap="square" lIns="45720" tIns="45720" rIns="45720" bIns="45720" rtlCol="0" anchor="t" anchorCtr="0">
          <a:normAutofit/>
        </a:bodyPr>
        <a:lstStyle/>
        <a:p>
          <a:r>
            <a:rPr lang="zh-CN" altLang="en-US" sz="1800"/>
            <a:t>财政拨款收入对比表表</a:t>
          </a:r>
          <a:endParaRPr lang="zh-CN" altLang="en-US" sz="1800"/>
        </a:p>
      </cdr:txBody>
    </cdr:sp>
  </cdr:relSizeAnchor>
</c:userShapes>
</file>

<file path=word/drawings/drawing3.xml><?xml version="1.0" encoding="utf-8"?>
<c:userShapes xmlns:c="http://schemas.openxmlformats.org/drawingml/2006/chart">
  <cdr:relSizeAnchor xmlns:cdr="http://schemas.openxmlformats.org/drawingml/2006/chartDrawing">
    <cdr:from>
      <cdr:x>0.24343</cdr:x>
      <cdr:y>0.02778</cdr:y>
    </cdr:from>
    <cdr:to>
      <cdr:x>0.7986</cdr:x>
      <cdr:y>0.12626</cdr:y>
    </cdr:to>
    <cdr:sp>
      <cdr:nvSpPr>
        <cdr:cNvPr id="2" name="矩形 1"/>
        <cdr:cNvSpPr/>
      </cdr:nvSpPr>
      <cdr:spPr xmlns:a="http://schemas.openxmlformats.org/drawingml/2006/main">
        <a:xfrm xmlns:a="http://schemas.openxmlformats.org/drawingml/2006/main">
          <a:off x="1323975" y="104776"/>
          <a:ext cx="3019425" cy="371474"/>
        </a:xfrm>
        <a:prstGeom xmlns:a="http://schemas.openxmlformats.org/drawingml/2006/main" prst="rect">
          <a:avLst/>
        </a:prstGeom>
      </cdr:spPr>
      <cdr:txBody xmlns:a="http://schemas.openxmlformats.org/drawingml/2006/main">
        <a:bodyPr vert="horz" wrap="square" lIns="45720" tIns="45720" rIns="45720" bIns="45720" rtlCol="0" anchor="t" anchorCtr="0">
          <a:normAutofit/>
        </a:bodyPr>
        <a:lstStyle/>
        <a:p>
          <a:r>
            <a:rPr lang="zh-CN" altLang="en-US" sz="1800"/>
            <a:t>一般公共预算财政拨款支出</a:t>
          </a:r>
          <a:endParaRPr lang="zh-CN" altLang="en-US" sz="18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85" textRotate="1"/>
    <customShpInfo spid="_x0000_s308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A80215-D78F-4B48-A5D1-7D66BCC625DB}">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20</Pages>
  <Words>5165</Words>
  <Characters>6714</Characters>
  <Lines>6</Lines>
  <Paragraphs>11</Paragraphs>
  <TotalTime>6</TotalTime>
  <ScaleCrop>false</ScaleCrop>
  <LinksUpToDate>false</LinksUpToDate>
  <CharactersWithSpaces>6730</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2020-08-09T09:49:00Z</dcterms:created>
  <dc:creator>曹颖</dc:creator>
  <cp:lastModifiedBy>yspt</cp:lastModifiedBy>
  <cp:lastPrinted>2025-08-06T17:34:00Z</cp:lastPrinted>
  <dcterms:modified xsi:type="dcterms:W3CDTF">2025-09-09T03:06:34Z</dcterms:modified>
  <dc:title>四川省***</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04787F2533EB45DC91BCDE4AB213247F</vt:lpwstr>
  </property>
</Properties>
</file>