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left"/>
        <w:outlineLvl w:val="9"/>
        <w:rPr>
          <w:rFonts w:ascii="方正小标宋简体" w:hAnsi="宋体" w:eastAsia="方正小标宋简体"/>
          <w:szCs w:val="21"/>
        </w:rPr>
      </w:pPr>
      <w:bookmarkStart w:id="0" w:name="_Toc15306267"/>
    </w:p>
    <w:p>
      <w:pPr>
        <w:spacing w:line="600" w:lineRule="exact"/>
        <w:jc w:val="center"/>
        <w:outlineLvl w:val="9"/>
        <w:rPr>
          <w:rFonts w:ascii="方正小标宋简体" w:hAnsi="宋体" w:eastAsia="方正小标宋简体"/>
          <w:sz w:val="72"/>
          <w:szCs w:val="72"/>
        </w:rPr>
      </w:pPr>
    </w:p>
    <w:p>
      <w:pPr>
        <w:spacing w:line="600" w:lineRule="exact"/>
        <w:jc w:val="center"/>
        <w:outlineLvl w:val="9"/>
        <w:rPr>
          <w:rFonts w:ascii="方正小标宋简体" w:hAnsi="宋体" w:eastAsia="方正小标宋简体"/>
          <w:sz w:val="72"/>
          <w:szCs w:val="72"/>
        </w:rPr>
      </w:pPr>
    </w:p>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1" w:name="_Toc15377193"/>
      <w:bookmarkStart w:id="2" w:name="_Toc15378441"/>
      <w:bookmarkStart w:id="3" w:name="_Toc15396475"/>
      <w:bookmarkStart w:id="4" w:name="_Toc10619"/>
      <w:bookmarkStart w:id="5" w:name="_Toc15396597"/>
      <w:bookmarkStart w:id="6" w:name="_Toc15377425"/>
      <w:r>
        <w:rPr>
          <w:rFonts w:hint="eastAsia" w:ascii="方正小标宋简体" w:hAnsi="方正小标宋简体" w:eastAsia="方正小标宋简体" w:cs="方正小标宋简体"/>
          <w:sz w:val="72"/>
          <w:szCs w:val="72"/>
        </w:rPr>
        <w:t>202</w:t>
      </w:r>
      <w:r>
        <w:rPr>
          <w:rFonts w:hint="eastAsia" w:ascii="方正小标宋简体" w:hAnsi="方正小标宋简体" w:eastAsia="方正小标宋简体" w:cs="方正小标宋简体"/>
          <w:sz w:val="72"/>
          <w:szCs w:val="72"/>
          <w:lang w:val="en-US" w:eastAsia="zh-CN"/>
        </w:rPr>
        <w:t>4</w:t>
      </w:r>
      <w:r>
        <w:rPr>
          <w:rFonts w:hint="eastAsia" w:ascii="方正小标宋简体" w:hAnsi="方正小标宋简体" w:eastAsia="方正小标宋简体" w:cs="方正小标宋简体"/>
          <w:sz w:val="72"/>
          <w:szCs w:val="72"/>
        </w:rPr>
        <w:t>年度</w:t>
      </w:r>
      <w:bookmarkEnd w:id="1"/>
      <w:bookmarkEnd w:id="2"/>
      <w:bookmarkEnd w:id="3"/>
      <w:bookmarkEnd w:id="4"/>
      <w:bookmarkEnd w:id="5"/>
      <w:bookmarkEnd w:id="6"/>
    </w:p>
    <w:p>
      <w:pPr>
        <w:adjustRightInd w:val="0"/>
        <w:snapToGrid w:val="0"/>
        <w:spacing w:line="360" w:lineRule="auto"/>
        <w:jc w:val="center"/>
        <w:outlineLvl w:val="0"/>
        <w:rPr>
          <w:rFonts w:hint="eastAsia" w:ascii="方正小标宋简体" w:hAnsi="方正小标宋简体" w:eastAsia="方正小标宋简体" w:cs="方正小标宋简体"/>
          <w:sz w:val="72"/>
          <w:szCs w:val="72"/>
          <w:lang w:eastAsia="zh-CN"/>
        </w:rPr>
      </w:pPr>
      <w:bookmarkStart w:id="7" w:name="_Toc15378442"/>
      <w:bookmarkStart w:id="8" w:name="_Toc15377426"/>
      <w:bookmarkStart w:id="9" w:name="_Toc15377194"/>
      <w:bookmarkStart w:id="10" w:name="_Toc8485"/>
      <w:bookmarkStart w:id="11" w:name="_Toc15396598"/>
      <w:bookmarkStart w:id="12" w:name="_Toc15396476"/>
      <w:r>
        <w:rPr>
          <w:rFonts w:hint="eastAsia" w:ascii="方正小标宋简体" w:hAnsi="方正小标宋简体" w:eastAsia="方正小标宋简体" w:cs="方正小标宋简体"/>
          <w:sz w:val="72"/>
          <w:szCs w:val="72"/>
          <w:lang w:eastAsia="zh-CN"/>
        </w:rPr>
        <w:t>四川省</w:t>
      </w:r>
      <w:r>
        <w:rPr>
          <w:rFonts w:hint="eastAsia" w:ascii="方正小标宋简体" w:hAnsi="方正小标宋简体" w:eastAsia="方正小标宋简体" w:cs="方正小标宋简体"/>
          <w:sz w:val="72"/>
          <w:szCs w:val="72"/>
        </w:rPr>
        <w:t>攀枝花市</w:t>
      </w:r>
      <w:bookmarkEnd w:id="0"/>
      <w:bookmarkStart w:id="13" w:name="_Toc15306268"/>
      <w:r>
        <w:rPr>
          <w:rFonts w:hint="eastAsia" w:ascii="方正小标宋简体" w:hAnsi="方正小标宋简体" w:eastAsia="方正小标宋简体" w:cs="方正小标宋简体"/>
          <w:sz w:val="72"/>
          <w:szCs w:val="72"/>
          <w:lang w:eastAsia="zh-CN"/>
        </w:rPr>
        <w:t>交通运输局</w:t>
      </w:r>
      <w:r>
        <w:rPr>
          <w:rFonts w:hint="eastAsia" w:ascii="方正小标宋简体" w:hAnsi="方正小标宋简体" w:eastAsia="方正小标宋简体" w:cs="方正小标宋简体"/>
          <w:sz w:val="72"/>
          <w:szCs w:val="72"/>
        </w:rPr>
        <w:t>单位决算</w:t>
      </w:r>
      <w:bookmarkEnd w:id="7"/>
      <w:bookmarkEnd w:id="8"/>
      <w:bookmarkEnd w:id="9"/>
      <w:bookmarkEnd w:id="10"/>
      <w:bookmarkEnd w:id="11"/>
      <w:bookmarkEnd w:id="12"/>
      <w:bookmarkEnd w:id="13"/>
    </w:p>
    <w:p>
      <w:pPr>
        <w:widowControl/>
        <w:jc w:val="center"/>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目录</w:t>
      </w:r>
    </w:p>
    <w:p>
      <w:pPr>
        <w:widowControl/>
        <w:jc w:val="center"/>
        <w:rPr>
          <w:rFonts w:ascii="黑体" w:hAnsi="黑体" w:eastAsia="黑体" w:cstheme="minorBidi"/>
          <w:sz w:val="28"/>
          <w:szCs w:val="28"/>
        </w:rPr>
      </w:pPr>
    </w:p>
    <w:p>
      <w:pPr>
        <w:pStyle w:val="13"/>
      </w:pPr>
      <w:r>
        <w:rPr>
          <w:rFonts w:hint="eastAsia"/>
        </w:rPr>
        <w:t>公开时间：202</w:t>
      </w:r>
      <w:r>
        <w:rPr>
          <w:rFonts w:hint="eastAsia"/>
          <w:lang w:val="en-US" w:eastAsia="zh-CN"/>
        </w:rPr>
        <w:t>5</w:t>
      </w:r>
      <w:bookmarkStart w:id="100" w:name="_GoBack"/>
      <w:bookmarkEnd w:id="100"/>
      <w:r>
        <w:rPr>
          <w:rFonts w:hint="eastAsia"/>
        </w:rPr>
        <w:t>年9月</w:t>
      </w:r>
      <w:r>
        <w:rPr>
          <w:rFonts w:hint="eastAsia"/>
          <w:highlight w:val="none"/>
          <w:lang w:val="en-US" w:eastAsia="zh-CN"/>
        </w:rPr>
        <w:t>12</w:t>
      </w:r>
      <w:r>
        <w:rPr>
          <w:rFonts w:hint="eastAsia"/>
        </w:rPr>
        <w:t>日</w:t>
      </w:r>
    </w:p>
    <w:p/>
    <w:sdt>
      <w:sdtPr>
        <w:rPr>
          <w:rFonts w:ascii="宋体" w:hAnsi="宋体" w:eastAsia="宋体" w:cs="Times New Roman"/>
          <w:kern w:val="2"/>
          <w:sz w:val="21"/>
          <w:szCs w:val="24"/>
          <w:lang w:val="en-US" w:eastAsia="zh-CN" w:bidi="ar-SA"/>
        </w:rPr>
        <w:id w:val="147463811"/>
        <w15:color w:val="DBDBDB"/>
        <w:docPartObj>
          <w:docPartGallery w:val="Table of Contents"/>
          <w:docPartUnique/>
        </w:docPartObj>
      </w:sdtPr>
      <w:sdtEndPr>
        <w:rPr>
          <w:rFonts w:ascii="宋体" w:hAnsi="宋体" w:eastAsia="宋体" w:cs="Times New Roman"/>
          <w:b/>
          <w:kern w:val="2"/>
          <w:sz w:val="21"/>
          <w:szCs w:val="24"/>
          <w:lang w:val="en-US" w:eastAsia="zh-CN" w:bidi="ar-SA"/>
        </w:rPr>
      </w:sdtEndPr>
      <w:sdtContent>
        <w:p>
          <w:pPr>
            <w:spacing w:before="0" w:beforeLines="0" w:after="0" w:afterLines="0" w:line="240" w:lineRule="auto"/>
            <w:ind w:left="0" w:leftChars="0" w:right="0" w:rightChars="0" w:firstLine="0" w:firstLineChars="0"/>
            <w:jc w:val="center"/>
          </w:pPr>
          <w:bookmarkStart w:id="14" w:name="_Toc15396599"/>
          <w:bookmarkStart w:id="15" w:name="_Toc15377196"/>
        </w:p>
        <w:p>
          <w:pPr>
            <w:pStyle w:val="34"/>
            <w:tabs>
              <w:tab w:val="right" w:leader="dot" w:pos="8306"/>
            </w:tabs>
            <w:rPr>
              <w:b/>
            </w:rPr>
          </w:pPr>
          <w:r>
            <w:fldChar w:fldCharType="begin"/>
          </w:r>
          <w:r>
            <w:instrText xml:space="preserve">TOC \o "1-2" \h \u </w:instrText>
          </w:r>
          <w:r>
            <w:fldChar w:fldCharType="separate"/>
          </w:r>
        </w:p>
        <w:p>
          <w:pPr>
            <w:pStyle w:val="34"/>
            <w:tabs>
              <w:tab w:val="right" w:leader="dot" w:pos="8306"/>
            </w:tabs>
            <w:rPr>
              <w:b/>
            </w:rPr>
          </w:pPr>
          <w:r>
            <w:rPr>
              <w:b/>
            </w:rPr>
            <w:fldChar w:fldCharType="begin"/>
          </w:r>
          <w:r>
            <w:rPr>
              <w:b/>
            </w:rPr>
            <w:instrText xml:space="preserve"> HYPERLINK \l _Toc14282 </w:instrText>
          </w:r>
          <w:r>
            <w:rPr>
              <w:b/>
            </w:rPr>
            <w:fldChar w:fldCharType="separate"/>
          </w:r>
          <w:r>
            <w:rPr>
              <w:rFonts w:hint="eastAsia" w:ascii="黑体" w:hAnsi="黑体" w:eastAsia="黑体"/>
              <w:b/>
            </w:rPr>
            <w:t>第一部分 单位</w:t>
          </w:r>
          <w:r>
            <w:rPr>
              <w:rFonts w:hint="eastAsia" w:ascii="黑体" w:hAnsi="黑体" w:eastAsia="黑体"/>
              <w:b/>
              <w:bCs w:val="0"/>
            </w:rPr>
            <w:t>概况</w:t>
          </w:r>
          <w:r>
            <w:rPr>
              <w:b/>
            </w:rPr>
            <w:tab/>
          </w:r>
          <w:r>
            <w:rPr>
              <w:b/>
            </w:rPr>
            <w:fldChar w:fldCharType="begin"/>
          </w:r>
          <w:r>
            <w:rPr>
              <w:b/>
            </w:rPr>
            <w:instrText xml:space="preserve"> PAGEREF _Toc14282 \h </w:instrText>
          </w:r>
          <w:r>
            <w:rPr>
              <w:b/>
            </w:rPr>
            <w:fldChar w:fldCharType="separate"/>
          </w:r>
          <w:r>
            <w:rPr>
              <w:b/>
            </w:rPr>
            <w:t>3</w:t>
          </w:r>
          <w:r>
            <w:rPr>
              <w:b/>
            </w:rPr>
            <w:fldChar w:fldCharType="end"/>
          </w:r>
          <w:r>
            <w:rPr>
              <w:b/>
            </w:rPr>
            <w:fldChar w:fldCharType="end"/>
          </w:r>
        </w:p>
        <w:p>
          <w:pPr>
            <w:pStyle w:val="35"/>
            <w:tabs>
              <w:tab w:val="right" w:leader="dot" w:pos="8306"/>
            </w:tabs>
          </w:pPr>
          <w:r>
            <w:fldChar w:fldCharType="begin"/>
          </w:r>
          <w:r>
            <w:instrText xml:space="preserve"> HYPERLINK \l _Toc20834 </w:instrText>
          </w:r>
          <w:r>
            <w:fldChar w:fldCharType="separate"/>
          </w:r>
          <w:r>
            <w:rPr>
              <w:rFonts w:hint="eastAsia" w:ascii="黑体" w:hAnsi="黑体" w:eastAsia="黑体"/>
              <w:bCs w:val="0"/>
            </w:rPr>
            <w:t>一、 主要职责</w:t>
          </w:r>
          <w:r>
            <w:tab/>
          </w:r>
          <w:r>
            <w:fldChar w:fldCharType="begin"/>
          </w:r>
          <w:r>
            <w:instrText xml:space="preserve"> PAGEREF _Toc20834 \h </w:instrText>
          </w:r>
          <w:r>
            <w:fldChar w:fldCharType="separate"/>
          </w:r>
          <w:r>
            <w:t>3</w:t>
          </w:r>
          <w:r>
            <w:fldChar w:fldCharType="end"/>
          </w:r>
          <w:r>
            <w:fldChar w:fldCharType="end"/>
          </w:r>
        </w:p>
        <w:p>
          <w:pPr>
            <w:pStyle w:val="35"/>
            <w:tabs>
              <w:tab w:val="right" w:leader="dot" w:pos="8306"/>
            </w:tabs>
          </w:pPr>
          <w:r>
            <w:fldChar w:fldCharType="begin"/>
          </w:r>
          <w:r>
            <w:instrText xml:space="preserve"> HYPERLINK \l _Toc10419 </w:instrText>
          </w:r>
          <w:r>
            <w:fldChar w:fldCharType="separate"/>
          </w:r>
          <w:r>
            <w:rPr>
              <w:rFonts w:hint="eastAsia" w:ascii="黑体" w:hAnsi="黑体" w:eastAsia="黑体"/>
            </w:rPr>
            <w:t>二、机构设置</w:t>
          </w:r>
          <w:r>
            <w:tab/>
          </w:r>
          <w:r>
            <w:fldChar w:fldCharType="begin"/>
          </w:r>
          <w:r>
            <w:instrText xml:space="preserve"> PAGEREF _Toc10419 \h </w:instrText>
          </w:r>
          <w:r>
            <w:fldChar w:fldCharType="separate"/>
          </w:r>
          <w:r>
            <w:t>5</w:t>
          </w:r>
          <w:r>
            <w:fldChar w:fldCharType="end"/>
          </w:r>
          <w:r>
            <w:fldChar w:fldCharType="end"/>
          </w:r>
        </w:p>
        <w:p>
          <w:pPr>
            <w:pStyle w:val="34"/>
            <w:tabs>
              <w:tab w:val="right" w:leader="dot" w:pos="8306"/>
            </w:tabs>
            <w:rPr>
              <w:b/>
            </w:rPr>
          </w:pPr>
          <w:r>
            <w:rPr>
              <w:b/>
            </w:rPr>
            <w:fldChar w:fldCharType="begin"/>
          </w:r>
          <w:r>
            <w:rPr>
              <w:b/>
            </w:rPr>
            <w:instrText xml:space="preserve"> HYPERLINK \l _Toc16484 </w:instrText>
          </w:r>
          <w:r>
            <w:rPr>
              <w:b/>
            </w:rPr>
            <w:fldChar w:fldCharType="separate"/>
          </w:r>
          <w:r>
            <w:rPr>
              <w:rFonts w:hint="eastAsia" w:ascii="黑体" w:hAnsi="黑体" w:eastAsia="黑体"/>
              <w:b/>
            </w:rPr>
            <w:t>第二部分 202</w:t>
          </w:r>
          <w:r>
            <w:rPr>
              <w:rFonts w:hint="eastAsia" w:ascii="黑体" w:hAnsi="黑体" w:eastAsia="黑体"/>
              <w:b/>
              <w:lang w:val="en-US" w:eastAsia="zh-CN"/>
            </w:rPr>
            <w:t>4</w:t>
          </w:r>
          <w:r>
            <w:rPr>
              <w:rFonts w:hint="eastAsia" w:ascii="黑体" w:hAnsi="黑体" w:eastAsia="黑体"/>
              <w:b/>
            </w:rPr>
            <w:t>年度</w:t>
          </w:r>
          <w:r>
            <w:rPr>
              <w:rFonts w:hint="eastAsia" w:ascii="黑体" w:hAnsi="黑体" w:eastAsia="黑体"/>
              <w:b/>
              <w:bCs/>
            </w:rPr>
            <w:t>单位决算情况说明</w:t>
          </w:r>
          <w:r>
            <w:rPr>
              <w:b/>
            </w:rPr>
            <w:tab/>
          </w:r>
          <w:r>
            <w:rPr>
              <w:b/>
            </w:rPr>
            <w:fldChar w:fldCharType="begin"/>
          </w:r>
          <w:r>
            <w:rPr>
              <w:b/>
            </w:rPr>
            <w:instrText xml:space="preserve"> PAGEREF _Toc16484 \h </w:instrText>
          </w:r>
          <w:r>
            <w:rPr>
              <w:b/>
            </w:rPr>
            <w:fldChar w:fldCharType="separate"/>
          </w:r>
          <w:r>
            <w:rPr>
              <w:b/>
            </w:rPr>
            <w:t>6</w:t>
          </w:r>
          <w:r>
            <w:rPr>
              <w:b/>
            </w:rPr>
            <w:fldChar w:fldCharType="end"/>
          </w:r>
          <w:r>
            <w:rPr>
              <w:b/>
            </w:rPr>
            <w:fldChar w:fldCharType="end"/>
          </w:r>
        </w:p>
        <w:p>
          <w:pPr>
            <w:pStyle w:val="35"/>
            <w:tabs>
              <w:tab w:val="right" w:leader="dot" w:pos="8306"/>
            </w:tabs>
          </w:pPr>
          <w:r>
            <w:fldChar w:fldCharType="begin"/>
          </w:r>
          <w:r>
            <w:instrText xml:space="preserve"> HYPERLINK \l _Toc17048 </w:instrText>
          </w:r>
          <w:r>
            <w:fldChar w:fldCharType="separate"/>
          </w:r>
          <w:r>
            <w:rPr>
              <w:rFonts w:hint="default" w:ascii="黑体" w:hAnsi="黑体" w:eastAsia="黑体"/>
            </w:rPr>
            <w:t xml:space="preserve">一、 </w:t>
          </w:r>
          <w:r>
            <w:rPr>
              <w:rFonts w:hint="eastAsia" w:ascii="黑体" w:hAnsi="黑体" w:eastAsia="黑体"/>
              <w:szCs w:val="32"/>
            </w:rPr>
            <w:t>收</w:t>
          </w:r>
          <w:r>
            <w:rPr>
              <w:rFonts w:hint="eastAsia" w:ascii="黑体" w:hAnsi="黑体" w:eastAsia="黑体"/>
            </w:rPr>
            <w:t>入支出决算总体情况说明</w:t>
          </w:r>
          <w:r>
            <w:tab/>
          </w:r>
          <w:r>
            <w:fldChar w:fldCharType="begin"/>
          </w:r>
          <w:r>
            <w:instrText xml:space="preserve"> PAGEREF _Toc17048 \h </w:instrText>
          </w:r>
          <w:r>
            <w:fldChar w:fldCharType="separate"/>
          </w:r>
          <w:r>
            <w:t>6</w:t>
          </w:r>
          <w:r>
            <w:fldChar w:fldCharType="end"/>
          </w:r>
          <w:r>
            <w:fldChar w:fldCharType="end"/>
          </w:r>
        </w:p>
        <w:p>
          <w:pPr>
            <w:pStyle w:val="35"/>
            <w:tabs>
              <w:tab w:val="right" w:leader="dot" w:pos="8306"/>
            </w:tabs>
          </w:pPr>
          <w:r>
            <w:fldChar w:fldCharType="begin"/>
          </w:r>
          <w:r>
            <w:instrText xml:space="preserve"> HYPERLINK \l _Toc14740 </w:instrText>
          </w:r>
          <w:r>
            <w:fldChar w:fldCharType="separate"/>
          </w:r>
          <w:r>
            <w:rPr>
              <w:rFonts w:hint="default" w:ascii="黑体" w:hAnsi="黑体" w:eastAsia="黑体"/>
            </w:rPr>
            <w:t xml:space="preserve">二、 </w:t>
          </w:r>
          <w:r>
            <w:rPr>
              <w:rFonts w:hint="eastAsia" w:ascii="黑体" w:hAnsi="黑体" w:eastAsia="黑体"/>
              <w:szCs w:val="32"/>
            </w:rPr>
            <w:t>收</w:t>
          </w:r>
          <w:r>
            <w:rPr>
              <w:rFonts w:hint="eastAsia" w:ascii="黑体" w:hAnsi="黑体" w:eastAsia="黑体"/>
            </w:rPr>
            <w:t>入决算情况说明</w:t>
          </w:r>
          <w:r>
            <w:tab/>
          </w:r>
          <w:r>
            <w:fldChar w:fldCharType="begin"/>
          </w:r>
          <w:r>
            <w:instrText xml:space="preserve"> PAGEREF _Toc14740 \h </w:instrText>
          </w:r>
          <w:r>
            <w:fldChar w:fldCharType="separate"/>
          </w:r>
          <w:r>
            <w:t>6</w:t>
          </w:r>
          <w:r>
            <w:fldChar w:fldCharType="end"/>
          </w:r>
          <w:r>
            <w:fldChar w:fldCharType="end"/>
          </w:r>
        </w:p>
        <w:p>
          <w:pPr>
            <w:pStyle w:val="35"/>
            <w:tabs>
              <w:tab w:val="right" w:leader="dot" w:pos="8306"/>
            </w:tabs>
          </w:pPr>
          <w:r>
            <w:fldChar w:fldCharType="begin"/>
          </w:r>
          <w:r>
            <w:instrText xml:space="preserve"> HYPERLINK \l _Toc502 </w:instrText>
          </w:r>
          <w:r>
            <w:fldChar w:fldCharType="separate"/>
          </w:r>
          <w:r>
            <w:rPr>
              <w:rFonts w:hint="default" w:ascii="黑体" w:hAnsi="黑体" w:eastAsia="黑体"/>
            </w:rPr>
            <w:t xml:space="preserve">三、 </w:t>
          </w:r>
          <w:r>
            <w:rPr>
              <w:rFonts w:hint="eastAsia" w:ascii="黑体" w:hAnsi="黑体" w:eastAsia="黑体"/>
              <w:szCs w:val="32"/>
            </w:rPr>
            <w:t>支</w:t>
          </w:r>
          <w:r>
            <w:rPr>
              <w:rFonts w:hint="eastAsia" w:ascii="黑体" w:hAnsi="黑体" w:eastAsia="黑体"/>
            </w:rPr>
            <w:t>出决算情况说明</w:t>
          </w:r>
          <w:r>
            <w:tab/>
          </w:r>
          <w:r>
            <w:fldChar w:fldCharType="begin"/>
          </w:r>
          <w:r>
            <w:instrText xml:space="preserve"> PAGEREF _Toc502 \h </w:instrText>
          </w:r>
          <w:r>
            <w:fldChar w:fldCharType="separate"/>
          </w:r>
          <w:r>
            <w:t>7</w:t>
          </w:r>
          <w:r>
            <w:fldChar w:fldCharType="end"/>
          </w:r>
          <w:r>
            <w:fldChar w:fldCharType="end"/>
          </w:r>
        </w:p>
        <w:p>
          <w:pPr>
            <w:pStyle w:val="35"/>
            <w:tabs>
              <w:tab w:val="right" w:leader="dot" w:pos="8306"/>
            </w:tabs>
          </w:pPr>
          <w:r>
            <w:fldChar w:fldCharType="begin"/>
          </w:r>
          <w:r>
            <w:instrText xml:space="preserve"> HYPERLINK \l _Toc14088 </w:instrText>
          </w:r>
          <w:r>
            <w:fldChar w:fldCharType="separate"/>
          </w:r>
          <w:r>
            <w:rPr>
              <w:rFonts w:hint="eastAsia" w:ascii="黑体" w:hAnsi="黑体" w:eastAsia="黑体"/>
              <w:szCs w:val="32"/>
            </w:rPr>
            <w:t>四、财</w:t>
          </w:r>
          <w:r>
            <w:rPr>
              <w:rFonts w:hint="eastAsia" w:ascii="黑体" w:hAnsi="黑体" w:eastAsia="黑体"/>
            </w:rPr>
            <w:t>政拨款收入支出决算总体情况说明</w:t>
          </w:r>
          <w:r>
            <w:tab/>
          </w:r>
          <w:r>
            <w:fldChar w:fldCharType="begin"/>
          </w:r>
          <w:r>
            <w:instrText xml:space="preserve"> PAGEREF _Toc14088 \h </w:instrText>
          </w:r>
          <w:r>
            <w:fldChar w:fldCharType="separate"/>
          </w:r>
          <w:r>
            <w:t>8</w:t>
          </w:r>
          <w:r>
            <w:fldChar w:fldCharType="end"/>
          </w:r>
          <w:r>
            <w:fldChar w:fldCharType="end"/>
          </w:r>
        </w:p>
        <w:p>
          <w:pPr>
            <w:pStyle w:val="35"/>
            <w:tabs>
              <w:tab w:val="right" w:leader="dot" w:pos="8306"/>
            </w:tabs>
          </w:pPr>
          <w:r>
            <w:fldChar w:fldCharType="begin"/>
          </w:r>
          <w:r>
            <w:instrText xml:space="preserve"> HYPERLINK \l _Toc31766 </w:instrText>
          </w:r>
          <w:r>
            <w:fldChar w:fldCharType="separate"/>
          </w:r>
          <w:r>
            <w:rPr>
              <w:rFonts w:hint="eastAsia" w:ascii="黑体" w:hAnsi="黑体" w:eastAsia="黑体"/>
              <w:szCs w:val="32"/>
            </w:rPr>
            <w:t>五、一</w:t>
          </w:r>
          <w:r>
            <w:rPr>
              <w:rFonts w:hint="eastAsia" w:ascii="黑体" w:hAnsi="黑体" w:eastAsia="黑体"/>
            </w:rPr>
            <w:t>般公共预算财政拨款支出决算情况说明</w:t>
          </w:r>
          <w:r>
            <w:tab/>
          </w:r>
          <w:r>
            <w:fldChar w:fldCharType="begin"/>
          </w:r>
          <w:r>
            <w:instrText xml:space="preserve"> PAGEREF _Toc31766 \h </w:instrText>
          </w:r>
          <w:r>
            <w:fldChar w:fldCharType="separate"/>
          </w:r>
          <w:r>
            <w:t>8</w:t>
          </w:r>
          <w:r>
            <w:fldChar w:fldCharType="end"/>
          </w:r>
          <w:r>
            <w:fldChar w:fldCharType="end"/>
          </w:r>
        </w:p>
        <w:p>
          <w:pPr>
            <w:pStyle w:val="35"/>
            <w:tabs>
              <w:tab w:val="right" w:leader="dot" w:pos="8306"/>
            </w:tabs>
          </w:pPr>
          <w:r>
            <w:fldChar w:fldCharType="begin"/>
          </w:r>
          <w:r>
            <w:instrText xml:space="preserve"> HYPERLINK \l _Toc13753 </w:instrText>
          </w:r>
          <w:r>
            <w:fldChar w:fldCharType="separate"/>
          </w:r>
          <w:r>
            <w:rPr>
              <w:rFonts w:hint="eastAsia" w:ascii="黑体" w:eastAsia="黑体"/>
              <w:szCs w:val="32"/>
            </w:rPr>
            <w:t>六、</w:t>
          </w:r>
          <w:r>
            <w:rPr>
              <w:rFonts w:hint="eastAsia" w:ascii="黑体" w:hAnsi="黑体" w:eastAsia="黑体"/>
              <w:szCs w:val="32"/>
            </w:rPr>
            <w:t>一</w:t>
          </w:r>
          <w:r>
            <w:rPr>
              <w:rFonts w:hint="eastAsia" w:ascii="黑体" w:hAnsi="黑体" w:eastAsia="黑体"/>
            </w:rPr>
            <w:t>般公共预算财政拨款基本支出决算情况说明</w:t>
          </w:r>
          <w:r>
            <w:tab/>
          </w:r>
          <w:r>
            <w:fldChar w:fldCharType="begin"/>
          </w:r>
          <w:r>
            <w:instrText xml:space="preserve"> PAGEREF _Toc13753 \h </w:instrText>
          </w:r>
          <w:r>
            <w:fldChar w:fldCharType="separate"/>
          </w:r>
          <w:r>
            <w:t>12</w:t>
          </w:r>
          <w:r>
            <w:fldChar w:fldCharType="end"/>
          </w:r>
          <w:r>
            <w:fldChar w:fldCharType="end"/>
          </w:r>
        </w:p>
        <w:p>
          <w:pPr>
            <w:pStyle w:val="35"/>
            <w:tabs>
              <w:tab w:val="right" w:leader="dot" w:pos="8306"/>
            </w:tabs>
          </w:pPr>
          <w:r>
            <w:fldChar w:fldCharType="begin"/>
          </w:r>
          <w:r>
            <w:instrText xml:space="preserve"> HYPERLINK \l _Toc7829 </w:instrText>
          </w:r>
          <w:r>
            <w:fldChar w:fldCharType="separate"/>
          </w:r>
          <w:r>
            <w:rPr>
              <w:rFonts w:hint="eastAsia" w:ascii="黑体" w:eastAsia="黑体"/>
              <w:szCs w:val="32"/>
            </w:rPr>
            <w:t>七、</w:t>
          </w:r>
          <w:r>
            <w:rPr>
              <w:rFonts w:hint="eastAsia" w:ascii="黑体" w:hAnsi="黑体" w:eastAsia="黑体"/>
            </w:rPr>
            <w:t>财政拨款“三公”经费支出决算情况说明</w:t>
          </w:r>
          <w:r>
            <w:tab/>
          </w:r>
          <w:r>
            <w:fldChar w:fldCharType="begin"/>
          </w:r>
          <w:r>
            <w:instrText xml:space="preserve"> PAGEREF _Toc7829 \h </w:instrText>
          </w:r>
          <w:r>
            <w:fldChar w:fldCharType="separate"/>
          </w:r>
          <w:r>
            <w:t>13</w:t>
          </w:r>
          <w:r>
            <w:fldChar w:fldCharType="end"/>
          </w:r>
          <w:r>
            <w:fldChar w:fldCharType="end"/>
          </w:r>
        </w:p>
        <w:p>
          <w:pPr>
            <w:pStyle w:val="35"/>
            <w:tabs>
              <w:tab w:val="right" w:leader="dot" w:pos="8306"/>
            </w:tabs>
          </w:pPr>
          <w:r>
            <w:fldChar w:fldCharType="begin"/>
          </w:r>
          <w:r>
            <w:instrText xml:space="preserve"> HYPERLINK \l _Toc21026 </w:instrText>
          </w:r>
          <w:r>
            <w:fldChar w:fldCharType="separate"/>
          </w:r>
          <w:r>
            <w:rPr>
              <w:rFonts w:hint="eastAsia" w:ascii="黑体" w:eastAsia="黑体"/>
              <w:szCs w:val="32"/>
            </w:rPr>
            <w:t>八、</w:t>
          </w:r>
          <w:r>
            <w:rPr>
              <w:rFonts w:hint="eastAsia" w:ascii="黑体" w:hAnsi="黑体" w:eastAsia="黑体"/>
            </w:rPr>
            <w:t>政府性基金预算支出决算情况说明</w:t>
          </w:r>
          <w:r>
            <w:tab/>
          </w:r>
          <w:r>
            <w:fldChar w:fldCharType="begin"/>
          </w:r>
          <w:r>
            <w:instrText xml:space="preserve"> PAGEREF _Toc21026 \h </w:instrText>
          </w:r>
          <w:r>
            <w:fldChar w:fldCharType="separate"/>
          </w:r>
          <w:r>
            <w:t>15</w:t>
          </w:r>
          <w:r>
            <w:fldChar w:fldCharType="end"/>
          </w:r>
          <w:r>
            <w:fldChar w:fldCharType="end"/>
          </w:r>
        </w:p>
        <w:p>
          <w:pPr>
            <w:pStyle w:val="35"/>
            <w:tabs>
              <w:tab w:val="right" w:leader="dot" w:pos="8306"/>
            </w:tabs>
          </w:pPr>
          <w:r>
            <w:fldChar w:fldCharType="begin"/>
          </w:r>
          <w:r>
            <w:instrText xml:space="preserve"> HYPERLINK \l _Toc7881 </w:instrText>
          </w:r>
          <w:r>
            <w:fldChar w:fldCharType="separate"/>
          </w:r>
          <w:r>
            <w:rPr>
              <w:rFonts w:hint="eastAsia" w:ascii="黑体" w:hAnsi="黑体" w:eastAsia="黑体"/>
            </w:rPr>
            <w:t>九、 国有资本经营预算支出决算情况说明</w:t>
          </w:r>
          <w:r>
            <w:tab/>
          </w:r>
          <w:r>
            <w:fldChar w:fldCharType="begin"/>
          </w:r>
          <w:r>
            <w:instrText xml:space="preserve"> PAGEREF _Toc7881 \h </w:instrText>
          </w:r>
          <w:r>
            <w:fldChar w:fldCharType="separate"/>
          </w:r>
          <w:r>
            <w:t>15</w:t>
          </w:r>
          <w:r>
            <w:fldChar w:fldCharType="end"/>
          </w:r>
          <w:r>
            <w:fldChar w:fldCharType="end"/>
          </w:r>
        </w:p>
        <w:p>
          <w:pPr>
            <w:pStyle w:val="35"/>
            <w:tabs>
              <w:tab w:val="right" w:leader="dot" w:pos="8306"/>
            </w:tabs>
          </w:pPr>
          <w:r>
            <w:fldChar w:fldCharType="begin"/>
          </w:r>
          <w:r>
            <w:instrText xml:space="preserve"> HYPERLINK \l _Toc11739 </w:instrText>
          </w:r>
          <w:r>
            <w:fldChar w:fldCharType="separate"/>
          </w:r>
          <w:r>
            <w:rPr>
              <w:rFonts w:hint="eastAsia" w:ascii="黑体" w:hAnsi="黑体" w:eastAsia="黑体"/>
            </w:rPr>
            <w:t>十、 其他重要事项的情况说明</w:t>
          </w:r>
          <w:r>
            <w:tab/>
          </w:r>
          <w:r>
            <w:fldChar w:fldCharType="begin"/>
          </w:r>
          <w:r>
            <w:instrText xml:space="preserve"> PAGEREF _Toc11739 \h </w:instrText>
          </w:r>
          <w:r>
            <w:fldChar w:fldCharType="separate"/>
          </w:r>
          <w:r>
            <w:t>15</w:t>
          </w:r>
          <w:r>
            <w:fldChar w:fldCharType="end"/>
          </w:r>
          <w:r>
            <w:fldChar w:fldCharType="end"/>
          </w:r>
        </w:p>
        <w:p>
          <w:pPr>
            <w:pStyle w:val="34"/>
            <w:tabs>
              <w:tab w:val="right" w:leader="dot" w:pos="8306"/>
            </w:tabs>
            <w:rPr>
              <w:b/>
            </w:rPr>
          </w:pPr>
          <w:r>
            <w:rPr>
              <w:b/>
            </w:rPr>
            <w:fldChar w:fldCharType="begin"/>
          </w:r>
          <w:r>
            <w:rPr>
              <w:b/>
            </w:rPr>
            <w:instrText xml:space="preserve"> HYPERLINK \l _Toc24770 </w:instrText>
          </w:r>
          <w:r>
            <w:rPr>
              <w:b/>
            </w:rPr>
            <w:fldChar w:fldCharType="separate"/>
          </w:r>
          <w:r>
            <w:rPr>
              <w:rFonts w:hint="eastAsia" w:ascii="黑体" w:hAnsi="黑体" w:eastAsia="黑体" w:cs="黑体"/>
              <w:b/>
              <w:szCs w:val="44"/>
            </w:rPr>
            <w:t xml:space="preserve">第三部分 </w:t>
          </w:r>
          <w:r>
            <w:rPr>
              <w:rFonts w:hint="eastAsia" w:ascii="黑体" w:hAnsi="黑体" w:eastAsia="黑体"/>
              <w:b/>
              <w:szCs w:val="44"/>
            </w:rPr>
            <w:t>名</w:t>
          </w:r>
          <w:r>
            <w:rPr>
              <w:rFonts w:hint="eastAsia" w:ascii="黑体" w:hAnsi="黑体" w:eastAsia="黑体"/>
              <w:b/>
            </w:rPr>
            <w:t>词解释</w:t>
          </w:r>
          <w:r>
            <w:rPr>
              <w:b/>
            </w:rPr>
            <w:tab/>
          </w:r>
          <w:r>
            <w:rPr>
              <w:b/>
            </w:rPr>
            <w:fldChar w:fldCharType="begin"/>
          </w:r>
          <w:r>
            <w:rPr>
              <w:b/>
            </w:rPr>
            <w:instrText xml:space="preserve"> PAGEREF _Toc24770 \h </w:instrText>
          </w:r>
          <w:r>
            <w:rPr>
              <w:b/>
            </w:rPr>
            <w:fldChar w:fldCharType="separate"/>
          </w:r>
          <w:r>
            <w:rPr>
              <w:b/>
            </w:rPr>
            <w:t>18</w:t>
          </w:r>
          <w:r>
            <w:rPr>
              <w:b/>
            </w:rPr>
            <w:fldChar w:fldCharType="end"/>
          </w:r>
          <w:r>
            <w:rPr>
              <w:b/>
            </w:rPr>
            <w:fldChar w:fldCharType="end"/>
          </w:r>
        </w:p>
        <w:p>
          <w:pPr>
            <w:pStyle w:val="34"/>
            <w:tabs>
              <w:tab w:val="right" w:leader="dot" w:pos="8306"/>
            </w:tabs>
            <w:rPr>
              <w:b/>
            </w:rPr>
          </w:pPr>
          <w:r>
            <w:rPr>
              <w:b/>
            </w:rPr>
            <w:fldChar w:fldCharType="begin"/>
          </w:r>
          <w:r>
            <w:rPr>
              <w:b/>
            </w:rPr>
            <w:instrText xml:space="preserve"> HYPERLINK \l _Toc10788 </w:instrText>
          </w:r>
          <w:r>
            <w:rPr>
              <w:b/>
            </w:rPr>
            <w:fldChar w:fldCharType="separate"/>
          </w:r>
          <w:r>
            <w:rPr>
              <w:rFonts w:hint="eastAsia" w:ascii="黑体" w:hAnsi="黑体" w:eastAsia="黑体"/>
              <w:b/>
              <w:szCs w:val="44"/>
            </w:rPr>
            <w:t>第</w:t>
          </w:r>
          <w:r>
            <w:rPr>
              <w:rFonts w:hint="eastAsia" w:ascii="黑体" w:hAnsi="黑体" w:eastAsia="黑体"/>
              <w:b/>
            </w:rPr>
            <w:t>四部分 附件</w:t>
          </w:r>
          <w:r>
            <w:rPr>
              <w:b/>
            </w:rPr>
            <w:tab/>
          </w:r>
          <w:r>
            <w:rPr>
              <w:b/>
            </w:rPr>
            <w:fldChar w:fldCharType="begin"/>
          </w:r>
          <w:r>
            <w:rPr>
              <w:b/>
            </w:rPr>
            <w:instrText xml:space="preserve"> PAGEREF _Toc10788 \h </w:instrText>
          </w:r>
          <w:r>
            <w:rPr>
              <w:b/>
            </w:rPr>
            <w:fldChar w:fldCharType="separate"/>
          </w:r>
          <w:r>
            <w:rPr>
              <w:b/>
            </w:rPr>
            <w:t>22</w:t>
          </w:r>
          <w:r>
            <w:rPr>
              <w:b/>
            </w:rPr>
            <w:fldChar w:fldCharType="end"/>
          </w:r>
          <w:r>
            <w:rPr>
              <w:b/>
            </w:rPr>
            <w:fldChar w:fldCharType="end"/>
          </w:r>
        </w:p>
        <w:p>
          <w:pPr>
            <w:pStyle w:val="34"/>
            <w:tabs>
              <w:tab w:val="right" w:leader="dot" w:pos="8306"/>
            </w:tabs>
            <w:rPr>
              <w:b/>
            </w:rPr>
          </w:pPr>
          <w:r>
            <w:rPr>
              <w:b/>
            </w:rPr>
            <w:fldChar w:fldCharType="begin"/>
          </w:r>
          <w:r>
            <w:rPr>
              <w:b/>
            </w:rPr>
            <w:instrText xml:space="preserve"> HYPERLINK \l _Toc24683 </w:instrText>
          </w:r>
          <w:r>
            <w:rPr>
              <w:b/>
            </w:rPr>
            <w:fldChar w:fldCharType="separate"/>
          </w:r>
          <w:r>
            <w:rPr>
              <w:rFonts w:hint="eastAsia" w:ascii="仿宋_GB2312" w:hAnsi="仿宋_GB2312" w:eastAsia="仿宋_GB2312" w:cs="仿宋_GB2312"/>
              <w:b/>
              <w:kern w:val="0"/>
              <w:szCs w:val="32"/>
            </w:rPr>
            <w:t>部门预算项目支出绩效自评表（202</w:t>
          </w:r>
          <w:r>
            <w:rPr>
              <w:rFonts w:hint="eastAsia" w:ascii="仿宋_GB2312" w:hAnsi="仿宋_GB2312" w:eastAsia="仿宋_GB2312" w:cs="仿宋_GB2312"/>
              <w:b/>
              <w:kern w:val="0"/>
              <w:szCs w:val="32"/>
              <w:lang w:val="en-US" w:eastAsia="zh-CN"/>
            </w:rPr>
            <w:t>4</w:t>
          </w:r>
          <w:r>
            <w:rPr>
              <w:rFonts w:hint="eastAsia" w:ascii="仿宋_GB2312" w:hAnsi="仿宋_GB2312" w:eastAsia="仿宋_GB2312" w:cs="仿宋_GB2312"/>
              <w:b/>
              <w:kern w:val="0"/>
              <w:szCs w:val="32"/>
            </w:rPr>
            <w:t>年度）</w:t>
          </w:r>
          <w:r>
            <w:rPr>
              <w:b/>
            </w:rPr>
            <w:tab/>
          </w:r>
          <w:r>
            <w:rPr>
              <w:b/>
            </w:rPr>
            <w:fldChar w:fldCharType="begin"/>
          </w:r>
          <w:r>
            <w:rPr>
              <w:b/>
            </w:rPr>
            <w:instrText xml:space="preserve"> PAGEREF _Toc24683 \h </w:instrText>
          </w:r>
          <w:r>
            <w:rPr>
              <w:b/>
            </w:rPr>
            <w:fldChar w:fldCharType="separate"/>
          </w:r>
          <w:r>
            <w:rPr>
              <w:b/>
            </w:rPr>
            <w:t>22</w:t>
          </w:r>
          <w:r>
            <w:rPr>
              <w:b/>
            </w:rPr>
            <w:fldChar w:fldCharType="end"/>
          </w:r>
          <w:r>
            <w:rPr>
              <w:b/>
            </w:rPr>
            <w:fldChar w:fldCharType="end"/>
          </w:r>
        </w:p>
        <w:p>
          <w:pPr>
            <w:pStyle w:val="34"/>
            <w:tabs>
              <w:tab w:val="right" w:leader="dot" w:pos="8306"/>
            </w:tabs>
            <w:rPr>
              <w:b/>
            </w:rPr>
          </w:pPr>
          <w:r>
            <w:rPr>
              <w:b/>
            </w:rPr>
            <w:fldChar w:fldCharType="begin"/>
          </w:r>
          <w:r>
            <w:rPr>
              <w:b/>
            </w:rPr>
            <w:instrText xml:space="preserve"> HYPERLINK \l _Toc7232 </w:instrText>
          </w:r>
          <w:r>
            <w:rPr>
              <w:b/>
            </w:rPr>
            <w:fldChar w:fldCharType="separate"/>
          </w:r>
          <w:r>
            <w:rPr>
              <w:rFonts w:hint="eastAsia" w:ascii="黑体" w:hAnsi="黑体" w:eastAsia="黑体"/>
              <w:b/>
              <w:szCs w:val="44"/>
            </w:rPr>
            <w:t>第</w:t>
          </w:r>
          <w:r>
            <w:rPr>
              <w:rFonts w:hint="eastAsia" w:ascii="黑体" w:hAnsi="黑体" w:eastAsia="黑体"/>
              <w:b/>
            </w:rPr>
            <w:t>五部分 附表</w:t>
          </w:r>
          <w:r>
            <w:rPr>
              <w:b/>
            </w:rPr>
            <w:tab/>
          </w:r>
          <w:r>
            <w:rPr>
              <w:b/>
            </w:rPr>
            <w:fldChar w:fldCharType="begin"/>
          </w:r>
          <w:r>
            <w:rPr>
              <w:b/>
            </w:rPr>
            <w:instrText xml:space="preserve"> PAGEREF _Toc7232 \h </w:instrText>
          </w:r>
          <w:r>
            <w:rPr>
              <w:b/>
            </w:rPr>
            <w:fldChar w:fldCharType="separate"/>
          </w:r>
          <w:r>
            <w:rPr>
              <w:b/>
            </w:rPr>
            <w:t>22</w:t>
          </w:r>
          <w:r>
            <w:rPr>
              <w:b/>
            </w:rPr>
            <w:fldChar w:fldCharType="end"/>
          </w:r>
          <w:r>
            <w:rPr>
              <w:b/>
            </w:rPr>
            <w:fldChar w:fldCharType="end"/>
          </w:r>
        </w:p>
        <w:p>
          <w:pPr>
            <w:pStyle w:val="35"/>
            <w:tabs>
              <w:tab w:val="right" w:leader="dot" w:pos="8306"/>
            </w:tabs>
          </w:pPr>
          <w:r>
            <w:fldChar w:fldCharType="begin"/>
          </w:r>
          <w:r>
            <w:instrText xml:space="preserve"> HYPERLINK \l _Toc19189 </w:instrText>
          </w:r>
          <w:r>
            <w:fldChar w:fldCharType="separate"/>
          </w:r>
          <w:r>
            <w:rPr>
              <w:rFonts w:hint="eastAsia" w:ascii="仿宋" w:hAnsi="仿宋" w:eastAsia="仿宋"/>
            </w:rPr>
            <w:t>一、收</w:t>
          </w:r>
          <w:r>
            <w:rPr>
              <w:rFonts w:hint="eastAsia" w:ascii="仿宋" w:hAnsi="仿宋" w:eastAsia="仿宋"/>
              <w:bCs w:val="0"/>
            </w:rPr>
            <w:t>入支出决算总表</w:t>
          </w:r>
          <w:r>
            <w:tab/>
          </w:r>
          <w:r>
            <w:fldChar w:fldCharType="begin"/>
          </w:r>
          <w:r>
            <w:instrText xml:space="preserve"> PAGEREF _Toc19189 \h </w:instrText>
          </w:r>
          <w:r>
            <w:fldChar w:fldCharType="separate"/>
          </w:r>
          <w:r>
            <w:t>22</w:t>
          </w:r>
          <w:r>
            <w:fldChar w:fldCharType="end"/>
          </w:r>
          <w:r>
            <w:fldChar w:fldCharType="end"/>
          </w:r>
        </w:p>
        <w:p>
          <w:pPr>
            <w:pStyle w:val="35"/>
            <w:tabs>
              <w:tab w:val="right" w:leader="dot" w:pos="8306"/>
            </w:tabs>
          </w:pPr>
          <w:r>
            <w:fldChar w:fldCharType="begin"/>
          </w:r>
          <w:r>
            <w:instrText xml:space="preserve"> HYPERLINK \l _Toc23980 </w:instrText>
          </w:r>
          <w:r>
            <w:fldChar w:fldCharType="separate"/>
          </w:r>
          <w:r>
            <w:rPr>
              <w:rFonts w:hint="eastAsia" w:ascii="仿宋" w:hAnsi="仿宋" w:eastAsia="仿宋"/>
            </w:rPr>
            <w:t>二、收</w:t>
          </w:r>
          <w:r>
            <w:rPr>
              <w:rFonts w:hint="eastAsia" w:ascii="仿宋" w:hAnsi="仿宋" w:eastAsia="仿宋"/>
              <w:bCs w:val="0"/>
            </w:rPr>
            <w:t>入决算表</w:t>
          </w:r>
          <w:r>
            <w:tab/>
          </w:r>
          <w:r>
            <w:fldChar w:fldCharType="begin"/>
          </w:r>
          <w:r>
            <w:instrText xml:space="preserve"> PAGEREF _Toc23980 \h </w:instrText>
          </w:r>
          <w:r>
            <w:fldChar w:fldCharType="separate"/>
          </w:r>
          <w:r>
            <w:t>22</w:t>
          </w:r>
          <w:r>
            <w:fldChar w:fldCharType="end"/>
          </w:r>
          <w:r>
            <w:fldChar w:fldCharType="end"/>
          </w:r>
        </w:p>
        <w:p>
          <w:pPr>
            <w:pStyle w:val="35"/>
            <w:tabs>
              <w:tab w:val="right" w:leader="dot" w:pos="8306"/>
            </w:tabs>
          </w:pPr>
          <w:r>
            <w:fldChar w:fldCharType="begin"/>
          </w:r>
          <w:r>
            <w:instrText xml:space="preserve"> HYPERLINK \l _Toc14510 </w:instrText>
          </w:r>
          <w:r>
            <w:fldChar w:fldCharType="separate"/>
          </w:r>
          <w:r>
            <w:rPr>
              <w:rFonts w:hint="eastAsia" w:ascii="仿宋" w:hAnsi="仿宋" w:eastAsia="仿宋"/>
              <w:bCs w:val="0"/>
            </w:rPr>
            <w:t>三、</w:t>
          </w:r>
          <w:r>
            <w:rPr>
              <w:rFonts w:hint="eastAsia" w:ascii="仿宋" w:hAnsi="仿宋" w:eastAsia="仿宋"/>
            </w:rPr>
            <w:t>支</w:t>
          </w:r>
          <w:r>
            <w:rPr>
              <w:rFonts w:hint="eastAsia" w:ascii="仿宋" w:hAnsi="仿宋" w:eastAsia="仿宋"/>
              <w:bCs w:val="0"/>
            </w:rPr>
            <w:t>出决算表</w:t>
          </w:r>
          <w:r>
            <w:tab/>
          </w:r>
          <w:r>
            <w:fldChar w:fldCharType="begin"/>
          </w:r>
          <w:r>
            <w:instrText xml:space="preserve"> PAGEREF _Toc14510 \h </w:instrText>
          </w:r>
          <w:r>
            <w:fldChar w:fldCharType="separate"/>
          </w:r>
          <w:r>
            <w:t>22</w:t>
          </w:r>
          <w:r>
            <w:fldChar w:fldCharType="end"/>
          </w:r>
          <w:r>
            <w:fldChar w:fldCharType="end"/>
          </w:r>
        </w:p>
        <w:p>
          <w:pPr>
            <w:pStyle w:val="35"/>
            <w:tabs>
              <w:tab w:val="right" w:leader="dot" w:pos="8306"/>
            </w:tabs>
          </w:pPr>
          <w:r>
            <w:fldChar w:fldCharType="begin"/>
          </w:r>
          <w:r>
            <w:instrText xml:space="preserve"> HYPERLINK \l _Toc24355 </w:instrText>
          </w:r>
          <w:r>
            <w:fldChar w:fldCharType="separate"/>
          </w:r>
          <w:r>
            <w:rPr>
              <w:rFonts w:hint="eastAsia" w:ascii="仿宋" w:hAnsi="仿宋" w:eastAsia="仿宋"/>
              <w:bCs w:val="0"/>
            </w:rPr>
            <w:t>四、</w:t>
          </w:r>
          <w:r>
            <w:rPr>
              <w:rFonts w:hint="eastAsia" w:ascii="仿宋" w:hAnsi="仿宋" w:eastAsia="仿宋"/>
            </w:rPr>
            <w:t>财</w:t>
          </w:r>
          <w:r>
            <w:rPr>
              <w:rFonts w:hint="eastAsia" w:ascii="仿宋" w:hAnsi="仿宋" w:eastAsia="仿宋"/>
              <w:bCs w:val="0"/>
            </w:rPr>
            <w:t>政拨款收入支出决算总表</w:t>
          </w:r>
          <w:r>
            <w:tab/>
          </w:r>
          <w:r>
            <w:fldChar w:fldCharType="begin"/>
          </w:r>
          <w:r>
            <w:instrText xml:space="preserve"> PAGEREF _Toc24355 \h </w:instrText>
          </w:r>
          <w:r>
            <w:fldChar w:fldCharType="separate"/>
          </w:r>
          <w:r>
            <w:t>22</w:t>
          </w:r>
          <w:r>
            <w:fldChar w:fldCharType="end"/>
          </w:r>
          <w:r>
            <w:fldChar w:fldCharType="end"/>
          </w:r>
        </w:p>
        <w:p>
          <w:pPr>
            <w:pStyle w:val="35"/>
            <w:tabs>
              <w:tab w:val="right" w:leader="dot" w:pos="8306"/>
            </w:tabs>
          </w:pPr>
          <w:r>
            <w:fldChar w:fldCharType="begin"/>
          </w:r>
          <w:r>
            <w:instrText xml:space="preserve"> HYPERLINK \l _Toc12936 </w:instrText>
          </w:r>
          <w:r>
            <w:fldChar w:fldCharType="separate"/>
          </w:r>
          <w:r>
            <w:rPr>
              <w:rFonts w:hint="eastAsia" w:ascii="仿宋" w:hAnsi="仿宋" w:eastAsia="仿宋"/>
              <w:bCs w:val="0"/>
            </w:rPr>
            <w:t>五、</w:t>
          </w:r>
          <w:r>
            <w:rPr>
              <w:rFonts w:hint="eastAsia" w:ascii="仿宋" w:hAnsi="仿宋" w:eastAsia="仿宋"/>
            </w:rPr>
            <w:t>财</w:t>
          </w:r>
          <w:r>
            <w:rPr>
              <w:rFonts w:hint="eastAsia" w:ascii="仿宋" w:hAnsi="仿宋" w:eastAsia="仿宋"/>
              <w:bCs w:val="0"/>
            </w:rPr>
            <w:t>政拨款支出决算明细表</w:t>
          </w:r>
          <w:r>
            <w:tab/>
          </w:r>
          <w:r>
            <w:fldChar w:fldCharType="begin"/>
          </w:r>
          <w:r>
            <w:instrText xml:space="preserve"> PAGEREF _Toc12936 \h </w:instrText>
          </w:r>
          <w:r>
            <w:fldChar w:fldCharType="separate"/>
          </w:r>
          <w:r>
            <w:t>22</w:t>
          </w:r>
          <w:r>
            <w:fldChar w:fldCharType="end"/>
          </w:r>
          <w:r>
            <w:fldChar w:fldCharType="end"/>
          </w:r>
        </w:p>
        <w:p>
          <w:pPr>
            <w:pStyle w:val="35"/>
            <w:tabs>
              <w:tab w:val="right" w:leader="dot" w:pos="8306"/>
            </w:tabs>
          </w:pPr>
          <w:r>
            <w:fldChar w:fldCharType="begin"/>
          </w:r>
          <w:r>
            <w:instrText xml:space="preserve"> HYPERLINK \l _Toc23679 </w:instrText>
          </w:r>
          <w:r>
            <w:fldChar w:fldCharType="separate"/>
          </w:r>
          <w:r>
            <w:rPr>
              <w:rFonts w:hint="eastAsia" w:ascii="仿宋" w:hAnsi="仿宋" w:eastAsia="仿宋"/>
              <w:bCs w:val="0"/>
            </w:rPr>
            <w:t>六、</w:t>
          </w:r>
          <w:r>
            <w:rPr>
              <w:rFonts w:hint="eastAsia" w:ascii="仿宋" w:hAnsi="仿宋" w:eastAsia="仿宋"/>
            </w:rPr>
            <w:t>一</w:t>
          </w:r>
          <w:r>
            <w:rPr>
              <w:rFonts w:hint="eastAsia" w:ascii="仿宋" w:hAnsi="仿宋" w:eastAsia="仿宋"/>
              <w:bCs w:val="0"/>
            </w:rPr>
            <w:t>般公共预算财政拨款支出决算表</w:t>
          </w:r>
          <w:r>
            <w:tab/>
          </w:r>
          <w:r>
            <w:fldChar w:fldCharType="begin"/>
          </w:r>
          <w:r>
            <w:instrText xml:space="preserve"> PAGEREF _Toc23679 \h </w:instrText>
          </w:r>
          <w:r>
            <w:fldChar w:fldCharType="separate"/>
          </w:r>
          <w:r>
            <w:t>22</w:t>
          </w:r>
          <w:r>
            <w:fldChar w:fldCharType="end"/>
          </w:r>
          <w:r>
            <w:fldChar w:fldCharType="end"/>
          </w:r>
        </w:p>
        <w:p>
          <w:pPr>
            <w:pStyle w:val="35"/>
            <w:tabs>
              <w:tab w:val="right" w:leader="dot" w:pos="8306"/>
            </w:tabs>
          </w:pPr>
          <w:r>
            <w:fldChar w:fldCharType="begin"/>
          </w:r>
          <w:r>
            <w:instrText xml:space="preserve"> HYPERLINK \l _Toc18649 </w:instrText>
          </w:r>
          <w:r>
            <w:fldChar w:fldCharType="separate"/>
          </w:r>
          <w:r>
            <w:rPr>
              <w:rFonts w:hint="eastAsia" w:ascii="仿宋" w:hAnsi="仿宋" w:eastAsia="仿宋"/>
              <w:bCs w:val="0"/>
            </w:rPr>
            <w:t>七、</w:t>
          </w:r>
          <w:r>
            <w:rPr>
              <w:rFonts w:hint="eastAsia" w:ascii="仿宋" w:hAnsi="仿宋" w:eastAsia="仿宋"/>
            </w:rPr>
            <w:t>一</w:t>
          </w:r>
          <w:r>
            <w:rPr>
              <w:rFonts w:hint="eastAsia" w:ascii="仿宋" w:hAnsi="仿宋" w:eastAsia="仿宋"/>
              <w:bCs w:val="0"/>
            </w:rPr>
            <w:t>般公共预算财政拨款支出决算明细表</w:t>
          </w:r>
          <w:r>
            <w:tab/>
          </w:r>
          <w:r>
            <w:fldChar w:fldCharType="begin"/>
          </w:r>
          <w:r>
            <w:instrText xml:space="preserve"> PAGEREF _Toc18649 \h </w:instrText>
          </w:r>
          <w:r>
            <w:fldChar w:fldCharType="separate"/>
          </w:r>
          <w:r>
            <w:t>22</w:t>
          </w:r>
          <w:r>
            <w:fldChar w:fldCharType="end"/>
          </w:r>
          <w:r>
            <w:fldChar w:fldCharType="end"/>
          </w:r>
        </w:p>
        <w:p>
          <w:pPr>
            <w:pStyle w:val="35"/>
            <w:tabs>
              <w:tab w:val="right" w:leader="dot" w:pos="8306"/>
            </w:tabs>
          </w:pPr>
          <w:r>
            <w:fldChar w:fldCharType="begin"/>
          </w:r>
          <w:r>
            <w:instrText xml:space="preserve"> HYPERLINK \l _Toc255 </w:instrText>
          </w:r>
          <w:r>
            <w:fldChar w:fldCharType="separate"/>
          </w:r>
          <w:r>
            <w:rPr>
              <w:rFonts w:hint="eastAsia" w:ascii="仿宋" w:hAnsi="仿宋" w:eastAsia="仿宋"/>
              <w:bCs w:val="0"/>
            </w:rPr>
            <w:t>八、</w:t>
          </w:r>
          <w:r>
            <w:rPr>
              <w:rFonts w:hint="eastAsia" w:ascii="仿宋" w:hAnsi="仿宋" w:eastAsia="仿宋"/>
            </w:rPr>
            <w:t>一</w:t>
          </w:r>
          <w:r>
            <w:rPr>
              <w:rFonts w:hint="eastAsia" w:ascii="仿宋" w:hAnsi="仿宋" w:eastAsia="仿宋"/>
              <w:bCs w:val="0"/>
            </w:rPr>
            <w:t>般公共预算财政拨款基本支出决算表</w:t>
          </w:r>
          <w:r>
            <w:tab/>
          </w:r>
          <w:r>
            <w:fldChar w:fldCharType="begin"/>
          </w:r>
          <w:r>
            <w:instrText xml:space="preserve"> PAGEREF _Toc255 \h </w:instrText>
          </w:r>
          <w:r>
            <w:fldChar w:fldCharType="separate"/>
          </w:r>
          <w:r>
            <w:t>22</w:t>
          </w:r>
          <w:r>
            <w:fldChar w:fldCharType="end"/>
          </w:r>
          <w:r>
            <w:fldChar w:fldCharType="end"/>
          </w:r>
        </w:p>
        <w:p>
          <w:pPr>
            <w:pStyle w:val="35"/>
            <w:tabs>
              <w:tab w:val="right" w:leader="dot" w:pos="8306"/>
            </w:tabs>
          </w:pPr>
          <w:r>
            <w:fldChar w:fldCharType="begin"/>
          </w:r>
          <w:r>
            <w:instrText xml:space="preserve"> HYPERLINK \l _Toc27932 </w:instrText>
          </w:r>
          <w:r>
            <w:fldChar w:fldCharType="separate"/>
          </w:r>
          <w:r>
            <w:rPr>
              <w:rFonts w:hint="eastAsia" w:ascii="仿宋" w:hAnsi="仿宋" w:eastAsia="仿宋"/>
              <w:bCs w:val="0"/>
            </w:rPr>
            <w:t>九、</w:t>
          </w:r>
          <w:r>
            <w:rPr>
              <w:rFonts w:hint="eastAsia" w:ascii="仿宋" w:hAnsi="仿宋" w:eastAsia="仿宋"/>
            </w:rPr>
            <w:t>一</w:t>
          </w:r>
          <w:r>
            <w:rPr>
              <w:rFonts w:hint="eastAsia" w:ascii="仿宋" w:hAnsi="仿宋" w:eastAsia="仿宋"/>
              <w:bCs w:val="0"/>
            </w:rPr>
            <w:t>般公共预算财政拨款项目支出决算表</w:t>
          </w:r>
          <w:r>
            <w:tab/>
          </w:r>
          <w:r>
            <w:fldChar w:fldCharType="begin"/>
          </w:r>
          <w:r>
            <w:instrText xml:space="preserve"> PAGEREF _Toc27932 \h </w:instrText>
          </w:r>
          <w:r>
            <w:fldChar w:fldCharType="separate"/>
          </w:r>
          <w:r>
            <w:t>22</w:t>
          </w:r>
          <w:r>
            <w:fldChar w:fldCharType="end"/>
          </w:r>
          <w:r>
            <w:fldChar w:fldCharType="end"/>
          </w:r>
        </w:p>
        <w:p>
          <w:pPr>
            <w:pStyle w:val="35"/>
            <w:tabs>
              <w:tab w:val="right" w:leader="dot" w:pos="8306"/>
            </w:tabs>
          </w:pPr>
          <w:r>
            <w:fldChar w:fldCharType="begin"/>
          </w:r>
          <w:r>
            <w:instrText xml:space="preserve"> HYPERLINK \l _Toc1668 </w:instrText>
          </w:r>
          <w:r>
            <w:fldChar w:fldCharType="separate"/>
          </w:r>
          <w:r>
            <w:rPr>
              <w:rFonts w:hint="eastAsia" w:ascii="仿宋" w:hAnsi="仿宋" w:eastAsia="仿宋"/>
              <w:bCs w:val="0"/>
            </w:rPr>
            <w:t>十、</w:t>
          </w:r>
          <w:r>
            <w:rPr>
              <w:rFonts w:hint="eastAsia" w:ascii="仿宋" w:hAnsi="仿宋" w:eastAsia="仿宋"/>
            </w:rPr>
            <w:t>政</w:t>
          </w:r>
          <w:r>
            <w:rPr>
              <w:rFonts w:hint="eastAsia" w:ascii="仿宋" w:hAnsi="仿宋" w:eastAsia="仿宋"/>
              <w:bCs w:val="0"/>
            </w:rPr>
            <w:t>府性基金预算财政拨款收入支出决算表</w:t>
          </w:r>
          <w:r>
            <w:tab/>
          </w:r>
          <w:r>
            <w:fldChar w:fldCharType="begin"/>
          </w:r>
          <w:r>
            <w:instrText xml:space="preserve"> PAGEREF _Toc1668 \h </w:instrText>
          </w:r>
          <w:r>
            <w:fldChar w:fldCharType="separate"/>
          </w:r>
          <w:r>
            <w:t>22</w:t>
          </w:r>
          <w:r>
            <w:fldChar w:fldCharType="end"/>
          </w:r>
          <w:r>
            <w:fldChar w:fldCharType="end"/>
          </w:r>
        </w:p>
        <w:p>
          <w:pPr>
            <w:pStyle w:val="35"/>
            <w:tabs>
              <w:tab w:val="right" w:leader="dot" w:pos="8306"/>
            </w:tabs>
          </w:pPr>
          <w:r>
            <w:fldChar w:fldCharType="begin"/>
          </w:r>
          <w:r>
            <w:instrText xml:space="preserve"> HYPERLINK \l _Toc3773 </w:instrText>
          </w:r>
          <w:r>
            <w:fldChar w:fldCharType="separate"/>
          </w:r>
          <w:r>
            <w:rPr>
              <w:rFonts w:hint="eastAsia" w:ascii="仿宋" w:hAnsi="仿宋" w:eastAsia="仿宋"/>
              <w:bCs w:val="0"/>
            </w:rPr>
            <w:t>十一、</w:t>
          </w:r>
          <w:r>
            <w:rPr>
              <w:rFonts w:hint="eastAsia" w:ascii="仿宋" w:hAnsi="仿宋" w:eastAsia="仿宋"/>
            </w:rPr>
            <w:t>国</w:t>
          </w:r>
          <w:r>
            <w:rPr>
              <w:rFonts w:hint="eastAsia" w:ascii="仿宋" w:hAnsi="仿宋" w:eastAsia="仿宋"/>
              <w:bCs w:val="0"/>
            </w:rPr>
            <w:t>有资本经营预算财政拨款收入支出决算表</w:t>
          </w:r>
          <w:r>
            <w:rPr>
              <w:rFonts w:hint="eastAsia" w:ascii="仿宋" w:hAnsi="仿宋" w:eastAsia="仿宋"/>
              <w:bCs w:val="0"/>
              <w:lang w:eastAsia="zh-CN"/>
            </w:rPr>
            <w:t>（此表无数据）</w:t>
          </w:r>
          <w:r>
            <w:tab/>
          </w:r>
          <w:r>
            <w:fldChar w:fldCharType="begin"/>
          </w:r>
          <w:r>
            <w:instrText xml:space="preserve"> PAGEREF _Toc3773 \h </w:instrText>
          </w:r>
          <w:r>
            <w:fldChar w:fldCharType="separate"/>
          </w:r>
          <w:r>
            <w:t>22</w:t>
          </w:r>
          <w:r>
            <w:fldChar w:fldCharType="end"/>
          </w:r>
          <w:r>
            <w:fldChar w:fldCharType="end"/>
          </w:r>
        </w:p>
        <w:p>
          <w:pPr>
            <w:pStyle w:val="35"/>
            <w:tabs>
              <w:tab w:val="right" w:leader="dot" w:pos="8306"/>
            </w:tabs>
          </w:pPr>
          <w:r>
            <w:fldChar w:fldCharType="begin"/>
          </w:r>
          <w:r>
            <w:instrText xml:space="preserve"> HYPERLINK \l _Toc28592 </w:instrText>
          </w:r>
          <w:r>
            <w:fldChar w:fldCharType="separate"/>
          </w:r>
          <w:r>
            <w:rPr>
              <w:rFonts w:hint="eastAsia" w:ascii="仿宋" w:hAnsi="仿宋" w:eastAsia="仿宋"/>
              <w:bCs w:val="0"/>
            </w:rPr>
            <w:t>十二、国有资本经营预算财政拨款支出决算表</w:t>
          </w:r>
          <w:r>
            <w:rPr>
              <w:rFonts w:hint="eastAsia" w:ascii="仿宋" w:hAnsi="仿宋" w:eastAsia="仿宋"/>
              <w:bCs w:val="0"/>
              <w:lang w:eastAsia="zh-CN"/>
            </w:rPr>
            <w:t>（此表无数据）</w:t>
          </w:r>
          <w:r>
            <w:tab/>
          </w:r>
          <w:r>
            <w:fldChar w:fldCharType="begin"/>
          </w:r>
          <w:r>
            <w:instrText xml:space="preserve"> PAGEREF _Toc28592 \h </w:instrText>
          </w:r>
          <w:r>
            <w:fldChar w:fldCharType="separate"/>
          </w:r>
          <w:r>
            <w:t>22</w:t>
          </w:r>
          <w:r>
            <w:fldChar w:fldCharType="end"/>
          </w:r>
          <w:r>
            <w:fldChar w:fldCharType="end"/>
          </w:r>
        </w:p>
        <w:p>
          <w:pPr>
            <w:pStyle w:val="35"/>
            <w:tabs>
              <w:tab w:val="right" w:leader="dot" w:pos="8306"/>
            </w:tabs>
          </w:pPr>
          <w:r>
            <w:fldChar w:fldCharType="begin"/>
          </w:r>
          <w:r>
            <w:instrText xml:space="preserve"> HYPERLINK \l _Toc15153 </w:instrText>
          </w:r>
          <w:r>
            <w:fldChar w:fldCharType="separate"/>
          </w:r>
          <w:r>
            <w:rPr>
              <w:rFonts w:hint="eastAsia" w:ascii="仿宋" w:hAnsi="仿宋" w:eastAsia="仿宋"/>
              <w:bCs w:val="0"/>
            </w:rPr>
            <w:t>十三、财政拨款“三公”经费支出决算表</w:t>
          </w:r>
          <w:r>
            <w:tab/>
          </w:r>
          <w:r>
            <w:fldChar w:fldCharType="begin"/>
          </w:r>
          <w:r>
            <w:instrText xml:space="preserve"> PAGEREF _Toc15153 \h </w:instrText>
          </w:r>
          <w:r>
            <w:fldChar w:fldCharType="separate"/>
          </w:r>
          <w:r>
            <w:t>22</w:t>
          </w:r>
          <w:r>
            <w:fldChar w:fldCharType="end"/>
          </w:r>
          <w:r>
            <w:fldChar w:fldCharType="end"/>
          </w:r>
        </w:p>
        <w:p>
          <w:r>
            <w:rPr>
              <w:b/>
            </w:rPr>
            <w:fldChar w:fldCharType="end"/>
          </w:r>
        </w:p>
      </w:sdtContent>
    </w:sdt>
    <w:p>
      <w:pPr>
        <w:pStyle w:val="5"/>
        <w:jc w:val="center"/>
        <w:rPr>
          <w:rStyle w:val="27"/>
          <w:rFonts w:ascii="黑体" w:hAnsi="黑体" w:eastAsia="黑体"/>
          <w:b/>
          <w:bCs w:val="0"/>
        </w:rPr>
      </w:pPr>
      <w:bookmarkStart w:id="16" w:name="_Toc14282"/>
      <w:r>
        <w:rPr>
          <w:rFonts w:hint="eastAsia" w:ascii="黑体" w:hAnsi="黑体" w:eastAsia="黑体"/>
          <w:b w:val="0"/>
        </w:rPr>
        <w:t>第一部分 单位</w:t>
      </w:r>
      <w:r>
        <w:rPr>
          <w:rStyle w:val="27"/>
          <w:rFonts w:hint="eastAsia" w:ascii="黑体" w:hAnsi="黑体" w:eastAsia="黑体"/>
          <w:b w:val="0"/>
          <w:bCs w:val="0"/>
        </w:rPr>
        <w:t>概况</w:t>
      </w:r>
      <w:bookmarkEnd w:id="14"/>
      <w:bookmarkEnd w:id="15"/>
      <w:bookmarkEnd w:id="16"/>
    </w:p>
    <w:p>
      <w:pPr>
        <w:pStyle w:val="6"/>
        <w:numPr>
          <w:ilvl w:val="0"/>
          <w:numId w:val="1"/>
        </w:numPr>
        <w:rPr>
          <w:rStyle w:val="28"/>
          <w:rFonts w:ascii="黑体" w:hAnsi="黑体" w:eastAsia="黑体"/>
          <w:b w:val="0"/>
          <w:bCs w:val="0"/>
        </w:rPr>
      </w:pPr>
      <w:bookmarkStart w:id="17" w:name="_Toc20834"/>
      <w:bookmarkStart w:id="18" w:name="_Toc15377197"/>
      <w:bookmarkStart w:id="19" w:name="_Toc15396600"/>
      <w:r>
        <w:rPr>
          <w:rStyle w:val="28"/>
          <w:rFonts w:hint="eastAsia" w:ascii="黑体" w:hAnsi="黑体" w:eastAsia="黑体"/>
          <w:b w:val="0"/>
          <w:bCs w:val="0"/>
        </w:rPr>
        <w:t>主要职责</w:t>
      </w:r>
      <w:bookmarkEnd w:id="17"/>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贯彻执行国家有关交通运输行业的方针、政策和法律、法规，贯彻执行省地方性法规、规章、交通运输行业规划、政策和规范性文件。组织拟订并监督实施公路、水路等行业发展战略、政策，会同有关部门组织编制综合运输体系规划。</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（2）负责本系统、本部门依法行政工作，落实行政执法责任制；指导公路、水路行业有关体制改革和机制转换工作；参与拟定物流业发展战略和规划。</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（3）承担道路、水路交通运输市场监管责任，组织实施并监督执行道路、水路运输有关政策、技术标准和运营规范；指导城乡客运管理工作，指导出租车行业管理工作；会同有关部门制定运价。</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承担水上交通安全监管责任。负责水上交通管制、运输船舶及相关水上设施检验、登记和防止污染、救助打捞、通讯导航、危险品运输的监督管理工作；负责船员管理相关工作；指导水上交通安全事故、船舶及相关水上设施污染事故的应急处置，依法组织和参与事故调查处理工作。</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（5）负责提出公路、水路固定资产投资规模和方向、市财政资金安排建议，按照程序报批国家、省、市规划内和年度计划规模内固定资产投资项目。指导交通运输行业审计工作。</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承担公路、水路建设市场监管工作。组织实施并监督执行公路、水路工程建设相关政策、制度、技术标准，组织协调公路、水路有关重点工程建设，负责工程质量、安全生产监督管理工作；负责对交通行业和产业项目的招投标活动进行监督、指导；指导交通运输基础设施管理和维护，承担有关重要设施的管理和维护；按规定负责港口规划和港口岸线管理工作，指导交通运输行业特许经营管理，会同有关部门组织实施交通运输行业职业资格管理工作。</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指导公路、水路行业安全生产和应急管理工作。按规定组织协调国家、省、市重点物资、危险货物运输和紧急客货运输，负责全市干线路网运行监测和协调；组织协调地方交通战备工作，承担国防动员有关工作。</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承担交通运输科技项目开发和研究的组织实施工作，负责交通运输科研成果的推广、应用工作。指导全市交通运输信息化建设，监测分析运行情况，开展相关统计工作，发布有关信息。指导公路、水路行业环境保护和节能减排工作。</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（9）负责公路、水路有关涉外工作，开展经济技术交流和合作，指导全市交通运输行业招商引资和利用外部资金工作。</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（10）承担市政府公布的有关行政审批事项。</w:t>
      </w:r>
    </w:p>
    <w:p>
      <w:pPr>
        <w:ind w:firstLine="640" w:firstLineChars="200"/>
      </w:pPr>
      <w:r>
        <w:rPr>
          <w:rFonts w:hint="eastAsia" w:ascii="仿宋_GB2312" w:hAnsi="仿宋_GB2312" w:eastAsia="仿宋_GB2312" w:cs="仿宋_GB2312"/>
          <w:sz w:val="32"/>
          <w:szCs w:val="32"/>
        </w:rPr>
        <w:t>（11）承办市政府交办的其他事项</w:t>
      </w:r>
    </w:p>
    <w:p>
      <w:pPr>
        <w:pStyle w:val="6"/>
        <w:rPr>
          <w:rFonts w:ascii="黑体" w:hAnsi="黑体" w:eastAsia="黑体"/>
          <w:b w:val="0"/>
        </w:rPr>
      </w:pPr>
      <w:bookmarkStart w:id="20" w:name="_Toc10419"/>
      <w:r>
        <w:rPr>
          <w:rFonts w:hint="eastAsia" w:ascii="黑体" w:hAnsi="黑体" w:eastAsia="黑体"/>
          <w:b w:val="0"/>
        </w:rPr>
        <w:t>二、机构设置</w:t>
      </w:r>
      <w:bookmarkEnd w:id="20"/>
    </w:p>
    <w:bookmarkEnd w:id="18"/>
    <w:bookmarkEnd w:id="19"/>
    <w:p>
      <w:pPr>
        <w:widowControl/>
        <w:ind w:firstLine="640" w:firstLineChars="200"/>
        <w:jc w:val="left"/>
        <w:rPr>
          <w:rFonts w:ascii="仿宋" w:hAnsi="仿宋" w:eastAsia="仿宋"/>
          <w:kern w:val="0"/>
          <w:sz w:val="32"/>
          <w:szCs w:val="32"/>
        </w:rPr>
      </w:pPr>
      <w:r>
        <w:rPr>
          <w:rFonts w:hint="eastAsia" w:ascii="仿宋_GB2312" w:hAnsi="仿宋_GB2312" w:eastAsia="仿宋_GB2312" w:cs="仿宋_GB2312"/>
          <w:sz w:val="32"/>
          <w:szCs w:val="32"/>
          <w:lang w:eastAsia="zh-CN"/>
        </w:rPr>
        <w:t>内设科室</w:t>
      </w:r>
      <w:r>
        <w:rPr>
          <w:rFonts w:hint="eastAsia" w:ascii="仿宋_GB2312" w:hAnsi="仿宋_GB2312" w:eastAsia="仿宋_GB2312" w:cs="仿宋_GB2312"/>
          <w:sz w:val="32"/>
          <w:szCs w:val="32"/>
          <w:lang w:val="en-US" w:eastAsia="zh-CN"/>
        </w:rPr>
        <w:t>16个，包括办公室、政策研究室、综合规划科、发展促进科、建设管理科、公路管理科、农村公路建设指导科、道路运输管理科、水运管理科、安全与环保监督科、科技和信息化科、法规科、行政审批科、财务审计科、干部人事科、组织宣传科。</w:t>
      </w:r>
      <w:r>
        <w:rPr>
          <w:rFonts w:ascii="仿宋" w:hAnsi="仿宋" w:eastAsia="仿宋"/>
          <w:sz w:val="32"/>
          <w:szCs w:val="32"/>
        </w:rPr>
        <w:br w:type="page"/>
      </w:r>
    </w:p>
    <w:p>
      <w:pPr>
        <w:pStyle w:val="5"/>
        <w:ind w:right="440"/>
        <w:jc w:val="center"/>
        <w:rPr>
          <w:rStyle w:val="27"/>
          <w:rFonts w:ascii="黑体" w:hAnsi="黑体" w:eastAsia="黑体"/>
          <w:b w:val="0"/>
          <w:bCs/>
        </w:rPr>
      </w:pPr>
      <w:bookmarkStart w:id="21" w:name="_Toc15396602"/>
      <w:bookmarkStart w:id="22" w:name="_Toc15377204"/>
      <w:bookmarkStart w:id="23" w:name="_Toc16484"/>
      <w:r>
        <w:rPr>
          <w:rFonts w:hint="eastAsia" w:ascii="黑体" w:hAnsi="黑体" w:eastAsia="黑体"/>
          <w:b w:val="0"/>
        </w:rPr>
        <w:t>第二部分 202</w:t>
      </w:r>
      <w:r>
        <w:rPr>
          <w:rFonts w:hint="eastAsia" w:ascii="黑体" w:hAnsi="黑体" w:eastAsia="黑体"/>
          <w:b w:val="0"/>
          <w:lang w:val="en-US" w:eastAsia="zh-CN"/>
        </w:rPr>
        <w:t>4</w:t>
      </w:r>
      <w:r>
        <w:rPr>
          <w:rFonts w:hint="eastAsia" w:ascii="黑体" w:hAnsi="黑体" w:eastAsia="黑体"/>
          <w:b w:val="0"/>
        </w:rPr>
        <w:t>年度</w:t>
      </w:r>
      <w:r>
        <w:rPr>
          <w:rStyle w:val="27"/>
          <w:rFonts w:hint="eastAsia" w:ascii="黑体" w:hAnsi="黑体" w:eastAsia="黑体"/>
          <w:b w:val="0"/>
          <w:bCs/>
        </w:rPr>
        <w:t>单位决算情况说明</w:t>
      </w:r>
      <w:bookmarkEnd w:id="21"/>
      <w:bookmarkEnd w:id="22"/>
      <w:bookmarkEnd w:id="23"/>
    </w:p>
    <w:p/>
    <w:p>
      <w:pPr>
        <w:pStyle w:val="26"/>
        <w:numPr>
          <w:ilvl w:val="0"/>
          <w:numId w:val="2"/>
        </w:numPr>
        <w:spacing w:line="600" w:lineRule="exact"/>
        <w:ind w:firstLineChars="0"/>
        <w:outlineLvl w:val="1"/>
        <w:rPr>
          <w:rStyle w:val="28"/>
          <w:rFonts w:ascii="黑体" w:hAnsi="黑体" w:eastAsia="黑体"/>
          <w:b w:val="0"/>
        </w:rPr>
      </w:pPr>
      <w:bookmarkStart w:id="24" w:name="_Toc17048"/>
      <w:bookmarkStart w:id="25" w:name="_Toc15377205"/>
      <w:bookmarkStart w:id="26" w:name="_Toc15396603"/>
      <w:r>
        <w:rPr>
          <w:rFonts w:hint="eastAsia" w:ascii="黑体" w:hAnsi="黑体" w:eastAsia="黑体"/>
          <w:sz w:val="32"/>
          <w:szCs w:val="32"/>
        </w:rPr>
        <w:t>收</w:t>
      </w:r>
      <w:r>
        <w:rPr>
          <w:rStyle w:val="28"/>
          <w:rFonts w:hint="eastAsia" w:ascii="黑体" w:hAnsi="黑体" w:eastAsia="黑体"/>
          <w:b w:val="0"/>
        </w:rPr>
        <w:t>入支出决算总体情况说明</w:t>
      </w:r>
      <w:bookmarkEnd w:id="24"/>
      <w:bookmarkEnd w:id="25"/>
      <w:bookmarkEnd w:id="26"/>
    </w:p>
    <w:p>
      <w:pPr>
        <w:spacing w:line="600" w:lineRule="exact"/>
        <w:ind w:firstLine="640" w:firstLineChars="200"/>
        <w:rPr>
          <w:rFonts w:hint="eastAsia" w:ascii="仿宋" w:hAnsi="仿宋" w:eastAsia="仿宋"/>
          <w:sz w:val="32"/>
          <w:szCs w:val="32"/>
          <w:lang w:eastAsia="zh-CN"/>
        </w:rPr>
      </w:pPr>
      <w:r>
        <w:rPr>
          <w:rFonts w:hint="eastAsia" w:ascii="Times New Roman" w:hAnsi="Times New Roman" w:eastAsia="仿宋_GB2312" w:cs="仿宋_GB2312"/>
          <w:color w:val="auto"/>
          <w:sz w:val="32"/>
          <w:szCs w:val="32"/>
          <w:highlight w:val="none"/>
          <w:lang w:eastAsia="zh-CN"/>
        </w:rPr>
        <w:t>2024年度收入</w:t>
      </w:r>
      <w:r>
        <w:rPr>
          <w:rFonts w:hint="eastAsia" w:ascii="Times New Roman" w:hAnsi="Times New Roman" w:eastAsia="仿宋_GB2312" w:cs="仿宋_GB2312"/>
          <w:color w:val="auto"/>
          <w:sz w:val="32"/>
          <w:szCs w:val="32"/>
          <w:highlight w:val="none"/>
        </w:rPr>
        <w:t>、</w:t>
      </w:r>
      <w:r>
        <w:rPr>
          <w:rFonts w:hint="eastAsia" w:ascii="Times New Roman" w:hAnsi="Times New Roman" w:eastAsia="仿宋_GB2312" w:cs="仿宋_GB2312"/>
          <w:color w:val="auto"/>
          <w:sz w:val="32"/>
          <w:szCs w:val="32"/>
          <w:highlight w:val="none"/>
          <w:lang w:eastAsia="zh-CN"/>
        </w:rPr>
        <w:t>支出</w:t>
      </w:r>
      <w:r>
        <w:rPr>
          <w:rFonts w:hint="eastAsia" w:ascii="Times New Roman" w:hAnsi="Times New Roman" w:eastAsia="仿宋_GB2312" w:cs="仿宋_GB2312"/>
          <w:color w:val="auto"/>
          <w:sz w:val="32"/>
          <w:szCs w:val="32"/>
          <w:highlight w:val="none"/>
        </w:rPr>
        <w:t>总计</w:t>
      </w:r>
      <w:r>
        <w:rPr>
          <w:rFonts w:hint="eastAsia" w:ascii="Times New Roman" w:hAnsi="Times New Roman" w:eastAsia="仿宋_GB2312" w:cs="仿宋_GB2312"/>
          <w:color w:val="auto"/>
          <w:sz w:val="32"/>
          <w:szCs w:val="32"/>
          <w:highlight w:val="none"/>
          <w:lang w:eastAsia="zh-CN"/>
        </w:rPr>
        <w:t>均为</w:t>
      </w:r>
      <w:r>
        <w:rPr>
          <w:rFonts w:hint="eastAsia" w:ascii="仿宋_GB2312" w:hAnsi="仿宋_GB2312" w:eastAsia="仿宋_GB2312" w:cs="仿宋_GB2312"/>
          <w:sz w:val="32"/>
          <w:szCs w:val="32"/>
        </w:rPr>
        <w:t>27840.96</w:t>
      </w:r>
      <w:r>
        <w:rPr>
          <w:rFonts w:hint="eastAsia" w:ascii="Times New Roman" w:hAnsi="Times New Roman" w:eastAsia="仿宋_GB2312" w:cs="仿宋_GB2312"/>
          <w:color w:val="auto"/>
          <w:sz w:val="32"/>
          <w:szCs w:val="32"/>
          <w:highlight w:val="none"/>
        </w:rPr>
        <w:t>万元。与</w:t>
      </w:r>
      <w:r>
        <w:rPr>
          <w:rFonts w:hint="eastAsia" w:ascii="Times New Roman" w:hAnsi="Times New Roman" w:eastAsia="仿宋_GB2312" w:cs="仿宋_GB2312"/>
          <w:color w:val="auto"/>
          <w:sz w:val="32"/>
          <w:szCs w:val="32"/>
          <w:highlight w:val="none"/>
          <w:lang w:eastAsia="zh-CN"/>
        </w:rPr>
        <w:t>202</w:t>
      </w:r>
      <w:r>
        <w:rPr>
          <w:rFonts w:hint="eastAsia" w:ascii="Times New Roman" w:hAnsi="Times New Roman" w:eastAsia="仿宋_GB2312" w:cs="仿宋_GB2312"/>
          <w:color w:val="auto"/>
          <w:sz w:val="32"/>
          <w:szCs w:val="32"/>
          <w:highlight w:val="none"/>
          <w:lang w:val="en-US" w:eastAsia="zh-CN"/>
        </w:rPr>
        <w:t>3</w:t>
      </w:r>
      <w:r>
        <w:rPr>
          <w:rFonts w:hint="eastAsia" w:ascii="Times New Roman" w:hAnsi="Times New Roman" w:eastAsia="仿宋_GB2312" w:cs="仿宋_GB2312"/>
          <w:color w:val="auto"/>
          <w:sz w:val="32"/>
          <w:szCs w:val="32"/>
          <w:highlight w:val="none"/>
        </w:rPr>
        <w:t>年</w:t>
      </w:r>
      <w:r>
        <w:rPr>
          <w:rFonts w:hint="eastAsia" w:ascii="Times New Roman" w:hAnsi="Times New Roman" w:eastAsia="仿宋_GB2312" w:cs="仿宋_GB2312"/>
          <w:color w:val="auto"/>
          <w:sz w:val="32"/>
          <w:szCs w:val="32"/>
          <w:highlight w:val="none"/>
          <w:lang w:eastAsia="zh-CN"/>
        </w:rPr>
        <w:t>度</w:t>
      </w:r>
      <w:r>
        <w:rPr>
          <w:rFonts w:hint="eastAsia" w:ascii="Times New Roman" w:hAnsi="Times New Roman" w:eastAsia="仿宋_GB2312" w:cs="仿宋_GB2312"/>
          <w:color w:val="auto"/>
          <w:sz w:val="32"/>
          <w:szCs w:val="32"/>
          <w:highlight w:val="none"/>
        </w:rPr>
        <w:t>相比</w:t>
      </w:r>
      <w:r>
        <w:rPr>
          <w:rFonts w:hint="eastAsia" w:ascii="仿宋" w:hAnsi="仿宋" w:eastAsia="仿宋"/>
          <w:sz w:val="32"/>
          <w:szCs w:val="32"/>
        </w:rPr>
        <w:t>，收、支总计各</w:t>
      </w:r>
      <w:r>
        <w:rPr>
          <w:rFonts w:hint="eastAsia" w:ascii="仿宋" w:hAnsi="仿宋" w:eastAsia="仿宋"/>
          <w:sz w:val="32"/>
          <w:szCs w:val="32"/>
          <w:lang w:eastAsia="zh-CN"/>
        </w:rPr>
        <w:t>减少</w:t>
      </w:r>
      <w:r>
        <w:rPr>
          <w:rFonts w:hint="eastAsia" w:ascii="仿宋" w:hAnsi="仿宋" w:eastAsia="仿宋"/>
          <w:sz w:val="32"/>
          <w:szCs w:val="32"/>
          <w:lang w:val="en-US" w:eastAsia="zh-CN"/>
        </w:rPr>
        <w:t>987.33</w:t>
      </w:r>
      <w:r>
        <w:rPr>
          <w:rFonts w:hint="eastAsia" w:ascii="仿宋" w:hAnsi="仿宋" w:eastAsia="仿宋"/>
          <w:sz w:val="32"/>
          <w:szCs w:val="32"/>
        </w:rPr>
        <w:t>万元，</w:t>
      </w:r>
      <w:r>
        <w:rPr>
          <w:rFonts w:hint="eastAsia" w:ascii="仿宋" w:hAnsi="仿宋" w:eastAsia="仿宋"/>
          <w:sz w:val="32"/>
          <w:szCs w:val="32"/>
          <w:lang w:eastAsia="zh-CN"/>
        </w:rPr>
        <w:t>下降</w:t>
      </w:r>
      <w:r>
        <w:rPr>
          <w:rFonts w:hint="eastAsia" w:ascii="仿宋" w:hAnsi="仿宋" w:eastAsia="仿宋"/>
          <w:sz w:val="32"/>
          <w:szCs w:val="32"/>
          <w:lang w:val="en-US" w:eastAsia="zh-CN"/>
        </w:rPr>
        <w:t>3.32</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sz w:val="32"/>
          <w:szCs w:val="32"/>
          <w:lang w:eastAsia="zh-CN"/>
        </w:rPr>
        <w:t>项目支出减少。</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（图1：收、支决算总计变动情况图）</w:t>
      </w:r>
    </w:p>
    <w:p>
      <w:pPr>
        <w:spacing w:line="600" w:lineRule="exact"/>
        <w:ind w:firstLine="640" w:firstLineChars="200"/>
        <w:jc w:val="left"/>
        <w:rPr>
          <w:rFonts w:ascii="仿宋_GB2312" w:eastAsia="仿宋_GB2312"/>
          <w:sz w:val="32"/>
          <w:szCs w:val="32"/>
        </w:rPr>
      </w:pPr>
      <w:r>
        <w:rPr>
          <w:rFonts w:hint="eastAsia" w:ascii="仿宋_GB2312" w:hAnsi="仿宋_GB2312" w:eastAsia="仿宋_GB2312" w:cs="仿宋_GB2312"/>
          <w:sz w:val="32"/>
          <w:szCs w:val="32"/>
        </w:rPr>
        <w:drawing>
          <wp:anchor distT="0" distB="0" distL="114300" distR="114300" simplePos="0" relativeHeight="251659264" behindDoc="1" locked="0" layoutInCell="1" allowOverlap="1">
            <wp:simplePos x="0" y="0"/>
            <wp:positionH relativeFrom="column">
              <wp:posOffset>226695</wp:posOffset>
            </wp:positionH>
            <wp:positionV relativeFrom="paragraph">
              <wp:posOffset>114300</wp:posOffset>
            </wp:positionV>
            <wp:extent cx="4480560" cy="3066415"/>
            <wp:effectExtent l="4445" t="5080" r="10795" b="14605"/>
            <wp:wrapTight wrapText="bothSides">
              <wp:wrapPolygon>
                <wp:start x="-21" y="-36"/>
                <wp:lineTo x="-21" y="21434"/>
                <wp:lineTo x="21560" y="21434"/>
                <wp:lineTo x="21560" y="-36"/>
                <wp:lineTo x="-21" y="-36"/>
              </wp:wrapPolygon>
            </wp:wrapTight>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pPr>
        <w:pStyle w:val="26"/>
        <w:numPr>
          <w:ilvl w:val="0"/>
          <w:numId w:val="2"/>
        </w:numPr>
        <w:spacing w:line="600" w:lineRule="exact"/>
        <w:ind w:firstLineChars="0"/>
        <w:outlineLvl w:val="1"/>
        <w:rPr>
          <w:rStyle w:val="28"/>
          <w:rFonts w:ascii="黑体" w:hAnsi="黑体" w:eastAsia="黑体"/>
          <w:b w:val="0"/>
        </w:rPr>
      </w:pPr>
      <w:bookmarkStart w:id="27" w:name="_Toc15396604"/>
      <w:bookmarkStart w:id="28" w:name="_Toc15377206"/>
      <w:bookmarkStart w:id="29" w:name="_Toc14740"/>
      <w:r>
        <w:rPr>
          <w:rFonts w:hint="eastAsia" w:ascii="黑体" w:hAnsi="黑体" w:eastAsia="黑体"/>
          <w:sz w:val="32"/>
          <w:szCs w:val="32"/>
        </w:rPr>
        <w:t>收</w:t>
      </w:r>
      <w:r>
        <w:rPr>
          <w:rStyle w:val="28"/>
          <w:rFonts w:hint="eastAsia" w:ascii="黑体" w:hAnsi="黑体" w:eastAsia="黑体"/>
          <w:b w:val="0"/>
        </w:rPr>
        <w:t>入决算情况说明</w:t>
      </w:r>
      <w:bookmarkEnd w:id="27"/>
      <w:bookmarkEnd w:id="28"/>
      <w:bookmarkEnd w:id="29"/>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highlight w:val="none"/>
          <w:lang w:eastAsia="zh-CN"/>
        </w:rPr>
        <w:t>2024年度本年收入合计</w:t>
      </w:r>
      <w:r>
        <w:rPr>
          <w:rFonts w:hint="eastAsia" w:ascii="仿宋_GB2312" w:hAnsi="仿宋_GB2312" w:eastAsia="仿宋_GB2312" w:cs="仿宋_GB2312"/>
          <w:sz w:val="32"/>
          <w:szCs w:val="32"/>
        </w:rPr>
        <w:t>27840.96万元，其中：一般公共预算财政拨款收入10724.47</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38.52</w:t>
      </w:r>
      <w:r>
        <w:rPr>
          <w:rFonts w:hint="eastAsia" w:ascii="仿宋_GB2312" w:hAnsi="仿宋_GB2312" w:eastAsia="仿宋_GB2312" w:cs="仿宋_GB2312"/>
          <w:color w:val="auto"/>
          <w:sz w:val="32"/>
          <w:szCs w:val="32"/>
          <w:highlight w:val="none"/>
          <w:lang w:eastAsia="zh-CN"/>
        </w:rPr>
        <w:t>%；政府性基金预算财政拨款收入</w:t>
      </w:r>
      <w:r>
        <w:rPr>
          <w:rFonts w:hint="eastAsia" w:ascii="仿宋_GB2312" w:hAnsi="仿宋_GB2312" w:eastAsia="仿宋_GB2312" w:cs="仿宋_GB2312"/>
          <w:sz w:val="32"/>
          <w:szCs w:val="32"/>
        </w:rPr>
        <w:t>17116.49</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61.47%</w:t>
      </w:r>
      <w:r>
        <w:rPr>
          <w:rFonts w:hint="eastAsia" w:ascii="仿宋_GB2312" w:hAnsi="仿宋_GB2312" w:eastAsia="仿宋_GB2312" w:cs="仿宋_GB2312"/>
          <w:color w:val="auto"/>
          <w:sz w:val="32"/>
          <w:szCs w:val="32"/>
          <w:highlight w:val="none"/>
          <w:lang w:eastAsia="zh-CN"/>
        </w:rPr>
        <w:t>%；国有资本经营预算财政拨款收入</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%；上级补助收入</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%；事业收入</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%；经营收入</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%；附属单位上缴收入</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%；其他收入</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sz w:val="32"/>
          <w:szCs w:val="32"/>
        </w:rPr>
        <w:t>（图2：收入决算结构图）</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drawing>
          <wp:anchor distT="0" distB="0" distL="114300" distR="114300" simplePos="0" relativeHeight="251660288" behindDoc="1" locked="0" layoutInCell="1" allowOverlap="1">
            <wp:simplePos x="0" y="0"/>
            <wp:positionH relativeFrom="column">
              <wp:posOffset>480060</wp:posOffset>
            </wp:positionH>
            <wp:positionV relativeFrom="paragraph">
              <wp:posOffset>128905</wp:posOffset>
            </wp:positionV>
            <wp:extent cx="3970655" cy="3219450"/>
            <wp:effectExtent l="4445" t="5080" r="6350" b="13970"/>
            <wp:wrapTight wrapText="bothSides">
              <wp:wrapPolygon>
                <wp:start x="-24" y="-34"/>
                <wp:lineTo x="-24" y="21566"/>
                <wp:lineTo x="21531" y="21566"/>
                <wp:lineTo x="21531" y="-34"/>
                <wp:lineTo x="-24" y="-34"/>
              </wp:wrapPolygon>
            </wp:wrapTight>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pStyle w:val="26"/>
        <w:numPr>
          <w:ilvl w:val="0"/>
          <w:numId w:val="2"/>
        </w:numPr>
        <w:spacing w:line="600" w:lineRule="exact"/>
        <w:ind w:firstLineChars="0"/>
        <w:outlineLvl w:val="1"/>
        <w:rPr>
          <w:rStyle w:val="28"/>
          <w:rFonts w:ascii="黑体" w:hAnsi="黑体" w:eastAsia="黑体"/>
          <w:b w:val="0"/>
        </w:rPr>
      </w:pPr>
      <w:bookmarkStart w:id="30" w:name="_Toc502"/>
      <w:bookmarkStart w:id="31" w:name="_Toc15377207"/>
      <w:bookmarkStart w:id="32" w:name="_Toc15396605"/>
      <w:r>
        <w:rPr>
          <w:rFonts w:hint="eastAsia" w:ascii="黑体" w:hAnsi="黑体" w:eastAsia="黑体"/>
          <w:sz w:val="32"/>
          <w:szCs w:val="32"/>
        </w:rPr>
        <w:t>支</w:t>
      </w:r>
      <w:r>
        <w:rPr>
          <w:rStyle w:val="28"/>
          <w:rFonts w:hint="eastAsia" w:ascii="黑体" w:hAnsi="黑体" w:eastAsia="黑体"/>
          <w:b w:val="0"/>
        </w:rPr>
        <w:t>出决算情况说明</w:t>
      </w:r>
      <w:bookmarkEnd w:id="30"/>
      <w:bookmarkEnd w:id="31"/>
      <w:bookmarkEnd w:id="32"/>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highlight w:val="none"/>
          <w:lang w:eastAsia="zh-CN"/>
        </w:rPr>
        <w:t>2024年度本年支出合计</w:t>
      </w:r>
      <w:r>
        <w:rPr>
          <w:rFonts w:hint="eastAsia" w:ascii="仿宋_GB2312" w:hAnsi="仿宋_GB2312" w:eastAsia="仿宋_GB2312" w:cs="仿宋_GB2312"/>
          <w:sz w:val="32"/>
          <w:szCs w:val="32"/>
        </w:rPr>
        <w:t>27840.96</w:t>
      </w:r>
      <w:r>
        <w:rPr>
          <w:rFonts w:hint="eastAsia" w:ascii="仿宋_GB2312" w:hAnsi="仿宋_GB2312" w:eastAsia="仿宋_GB2312" w:cs="仿宋_GB2312"/>
          <w:color w:val="auto"/>
          <w:sz w:val="32"/>
          <w:szCs w:val="32"/>
          <w:highlight w:val="none"/>
          <w:lang w:eastAsia="zh-CN"/>
        </w:rPr>
        <w:t>万元，其中：基本支出</w:t>
      </w:r>
      <w:r>
        <w:rPr>
          <w:rFonts w:hint="eastAsia" w:ascii="仿宋_GB2312" w:hAnsi="仿宋_GB2312" w:eastAsia="仿宋_GB2312" w:cs="仿宋_GB2312"/>
          <w:sz w:val="32"/>
          <w:szCs w:val="32"/>
        </w:rPr>
        <w:t>1452.23</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5.21</w:t>
      </w:r>
      <w:r>
        <w:rPr>
          <w:rFonts w:hint="eastAsia" w:ascii="仿宋_GB2312" w:hAnsi="仿宋_GB2312" w:eastAsia="仿宋_GB2312" w:cs="仿宋_GB2312"/>
          <w:color w:val="auto"/>
          <w:sz w:val="32"/>
          <w:szCs w:val="32"/>
          <w:highlight w:val="none"/>
          <w:lang w:eastAsia="zh-CN"/>
        </w:rPr>
        <w:t>%；项目支出</w:t>
      </w:r>
      <w:r>
        <w:rPr>
          <w:rFonts w:hint="eastAsia" w:ascii="仿宋_GB2312" w:hAnsi="仿宋_GB2312" w:eastAsia="仿宋_GB2312" w:cs="仿宋_GB2312"/>
          <w:sz w:val="32"/>
          <w:szCs w:val="32"/>
        </w:rPr>
        <w:t>26388.72</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94.78</w:t>
      </w:r>
      <w:r>
        <w:rPr>
          <w:rFonts w:hint="eastAsia" w:ascii="仿宋_GB2312" w:hAnsi="仿宋_GB2312" w:eastAsia="仿宋_GB2312" w:cs="仿宋_GB2312"/>
          <w:color w:val="auto"/>
          <w:sz w:val="32"/>
          <w:szCs w:val="32"/>
          <w:highlight w:val="none"/>
          <w:lang w:eastAsia="zh-CN"/>
        </w:rPr>
        <w:t>%；上缴上级支出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%；经营支出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%；对附属单位补助支出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sz w:val="32"/>
          <w:szCs w:val="32"/>
        </w:rPr>
        <w:t>（图3：支出决算结构图）</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drawing>
          <wp:anchor distT="0" distB="0" distL="114300" distR="114300" simplePos="0" relativeHeight="251661312" behindDoc="1" locked="0" layoutInCell="1" allowOverlap="1">
            <wp:simplePos x="0" y="0"/>
            <wp:positionH relativeFrom="column">
              <wp:posOffset>537845</wp:posOffset>
            </wp:positionH>
            <wp:positionV relativeFrom="paragraph">
              <wp:posOffset>108585</wp:posOffset>
            </wp:positionV>
            <wp:extent cx="3964940" cy="2721610"/>
            <wp:effectExtent l="4445" t="4445" r="12065" b="74295"/>
            <wp:wrapTight wrapText="bothSides">
              <wp:wrapPolygon>
                <wp:start x="-24" y="-35"/>
                <wp:lineTo x="-24" y="21434"/>
                <wp:lineTo x="21562" y="21434"/>
                <wp:lineTo x="21562" y="-35"/>
                <wp:lineTo x="-24" y="-35"/>
              </wp:wrapPolygon>
            </wp:wrapTight>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spacing w:line="600" w:lineRule="exact"/>
        <w:ind w:firstLine="640" w:firstLineChars="200"/>
        <w:outlineLvl w:val="9"/>
        <w:rPr>
          <w:rFonts w:hint="eastAsia" w:ascii="仿宋_GB2312" w:hAnsi="仿宋_GB2312" w:eastAsia="仿宋_GB2312" w:cs="仿宋_GB2312"/>
          <w:sz w:val="32"/>
          <w:szCs w:val="32"/>
        </w:rPr>
      </w:pPr>
      <w:bookmarkStart w:id="33" w:name="_Toc15377208"/>
      <w:bookmarkStart w:id="34" w:name="_Toc15396606"/>
    </w:p>
    <w:p>
      <w:pPr>
        <w:spacing w:line="600" w:lineRule="exact"/>
        <w:ind w:firstLine="640" w:firstLineChars="200"/>
        <w:outlineLvl w:val="9"/>
        <w:rPr>
          <w:rFonts w:hint="eastAsia" w:ascii="黑体" w:hAnsi="黑体" w:eastAsia="黑体"/>
          <w:sz w:val="32"/>
          <w:szCs w:val="32"/>
        </w:rPr>
      </w:pPr>
    </w:p>
    <w:p>
      <w:pPr>
        <w:spacing w:line="600" w:lineRule="exact"/>
        <w:ind w:firstLine="640" w:firstLineChars="200"/>
        <w:outlineLvl w:val="9"/>
        <w:rPr>
          <w:rFonts w:hint="eastAsia" w:ascii="黑体" w:hAnsi="黑体" w:eastAsia="黑体"/>
          <w:sz w:val="32"/>
          <w:szCs w:val="32"/>
        </w:rPr>
      </w:pPr>
    </w:p>
    <w:p>
      <w:pPr>
        <w:spacing w:line="600" w:lineRule="exact"/>
        <w:ind w:firstLine="640" w:firstLineChars="200"/>
        <w:outlineLvl w:val="9"/>
        <w:rPr>
          <w:rFonts w:hint="eastAsia" w:ascii="黑体" w:hAnsi="黑体" w:eastAsia="黑体"/>
          <w:sz w:val="32"/>
          <w:szCs w:val="32"/>
        </w:rPr>
      </w:pPr>
    </w:p>
    <w:p>
      <w:pPr>
        <w:spacing w:line="600" w:lineRule="exact"/>
        <w:ind w:firstLine="640" w:firstLineChars="200"/>
        <w:outlineLvl w:val="9"/>
        <w:rPr>
          <w:rFonts w:hint="eastAsia" w:ascii="黑体" w:hAnsi="黑体" w:eastAsia="黑体"/>
          <w:sz w:val="32"/>
          <w:szCs w:val="32"/>
        </w:rPr>
      </w:pPr>
    </w:p>
    <w:p>
      <w:pPr>
        <w:spacing w:line="600" w:lineRule="exact"/>
        <w:ind w:firstLine="640" w:firstLineChars="200"/>
        <w:outlineLvl w:val="9"/>
        <w:rPr>
          <w:rFonts w:hint="eastAsia" w:ascii="黑体" w:hAnsi="黑体" w:eastAsia="黑体"/>
          <w:sz w:val="32"/>
          <w:szCs w:val="32"/>
        </w:rPr>
      </w:pPr>
    </w:p>
    <w:p>
      <w:pPr>
        <w:spacing w:line="600" w:lineRule="exact"/>
        <w:ind w:firstLine="640" w:firstLineChars="200"/>
        <w:outlineLvl w:val="9"/>
        <w:rPr>
          <w:rFonts w:hint="eastAsia" w:ascii="黑体" w:hAnsi="黑体" w:eastAsia="黑体"/>
          <w:sz w:val="32"/>
          <w:szCs w:val="32"/>
        </w:rPr>
      </w:pPr>
    </w:p>
    <w:p>
      <w:pPr>
        <w:spacing w:line="600" w:lineRule="exact"/>
        <w:ind w:firstLine="640" w:firstLineChars="200"/>
        <w:outlineLvl w:val="1"/>
        <w:rPr>
          <w:rStyle w:val="28"/>
          <w:rFonts w:ascii="黑体" w:hAnsi="黑体" w:eastAsia="黑体"/>
          <w:b w:val="0"/>
        </w:rPr>
      </w:pPr>
      <w:bookmarkStart w:id="35" w:name="_Toc14088"/>
      <w:r>
        <w:rPr>
          <w:rFonts w:hint="eastAsia" w:ascii="黑体" w:hAnsi="黑体" w:eastAsia="黑体"/>
          <w:sz w:val="32"/>
          <w:szCs w:val="32"/>
        </w:rPr>
        <w:t>四、财</w:t>
      </w:r>
      <w:r>
        <w:rPr>
          <w:rStyle w:val="28"/>
          <w:rFonts w:hint="eastAsia" w:ascii="黑体" w:hAnsi="黑体" w:eastAsia="黑体"/>
          <w:b w:val="0"/>
        </w:rPr>
        <w:t>政拨款收入支出决算总体情况说明</w:t>
      </w:r>
      <w:bookmarkEnd w:id="33"/>
      <w:bookmarkEnd w:id="34"/>
      <w:bookmarkEnd w:id="35"/>
    </w:p>
    <w:p>
      <w:pPr>
        <w:spacing w:line="600" w:lineRule="exact"/>
        <w:ind w:firstLine="640"/>
        <w:rPr>
          <w:rFonts w:hint="default"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2024年度财政拨款收入、支出总计均为</w:t>
      </w:r>
      <w:r>
        <w:rPr>
          <w:rFonts w:hint="eastAsia" w:ascii="仿宋_GB2312" w:hAnsi="仿宋_GB2312" w:eastAsia="仿宋_GB2312" w:cs="仿宋_GB2312"/>
          <w:sz w:val="32"/>
          <w:szCs w:val="32"/>
        </w:rPr>
        <w:t>27840.96</w:t>
      </w:r>
      <w:r>
        <w:rPr>
          <w:rFonts w:hint="eastAsia" w:ascii="Times New Roman" w:hAnsi="Times New Roman" w:eastAsia="仿宋_GB2312" w:cs="仿宋_GB2312"/>
          <w:color w:val="auto"/>
          <w:kern w:val="2"/>
          <w:sz w:val="32"/>
          <w:szCs w:val="32"/>
          <w:highlight w:val="none"/>
          <w:lang w:val="en-US" w:eastAsia="zh-CN" w:bidi="ar-SA"/>
        </w:rPr>
        <w:t>万元。与2023年度相比，财政拨款收入总计、支出总计各增加310.11万元，增长1.13%。主要变动原因是财政保障能力增加。</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drawing>
          <wp:anchor distT="0" distB="0" distL="114300" distR="114300" simplePos="0" relativeHeight="251662336" behindDoc="1" locked="0" layoutInCell="1" allowOverlap="1">
            <wp:simplePos x="0" y="0"/>
            <wp:positionH relativeFrom="column">
              <wp:posOffset>220345</wp:posOffset>
            </wp:positionH>
            <wp:positionV relativeFrom="paragraph">
              <wp:posOffset>550545</wp:posOffset>
            </wp:positionV>
            <wp:extent cx="4994910" cy="3343910"/>
            <wp:effectExtent l="4445" t="4445" r="10795" b="23495"/>
            <wp:wrapTight wrapText="bothSides">
              <wp:wrapPolygon>
                <wp:start x="-19" y="-29"/>
                <wp:lineTo x="-19" y="21506"/>
                <wp:lineTo x="21564" y="21506"/>
                <wp:lineTo x="21564" y="-29"/>
                <wp:lineTo x="-19" y="-29"/>
              </wp:wrapPolygon>
            </wp:wrapTight>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Pr>
          <w:rFonts w:hint="eastAsia" w:ascii="仿宋_GB2312" w:hAnsi="仿宋_GB2312" w:eastAsia="仿宋_GB2312" w:cs="仿宋_GB2312"/>
          <w:sz w:val="32"/>
          <w:szCs w:val="32"/>
        </w:rPr>
        <w:t>（图4：财政拨款收、支决算总计变动情况）</w:t>
      </w:r>
    </w:p>
    <w:p>
      <w:pPr>
        <w:spacing w:line="600" w:lineRule="exact"/>
        <w:ind w:firstLine="640"/>
        <w:rPr>
          <w:rFonts w:ascii="仿宋" w:hAnsi="仿宋" w:eastAsia="仿宋"/>
          <w:b/>
          <w:sz w:val="32"/>
          <w:szCs w:val="32"/>
        </w:rPr>
      </w:pPr>
    </w:p>
    <w:p>
      <w:pPr>
        <w:spacing w:line="600" w:lineRule="exact"/>
        <w:ind w:firstLine="640" w:firstLineChars="200"/>
        <w:outlineLvl w:val="1"/>
        <w:rPr>
          <w:rStyle w:val="28"/>
          <w:rFonts w:ascii="黑体" w:hAnsi="黑体" w:eastAsia="黑体"/>
          <w:b w:val="0"/>
        </w:rPr>
      </w:pPr>
      <w:bookmarkStart w:id="36" w:name="_Toc31766"/>
      <w:bookmarkStart w:id="37" w:name="_Toc15396607"/>
      <w:bookmarkStart w:id="38" w:name="_Toc15377209"/>
      <w:r>
        <w:rPr>
          <w:rFonts w:hint="eastAsia" w:ascii="黑体" w:hAnsi="黑体" w:eastAsia="黑体"/>
          <w:sz w:val="32"/>
          <w:szCs w:val="32"/>
        </w:rPr>
        <w:t>五、</w:t>
      </w:r>
      <w:r>
        <w:rPr>
          <w:rFonts w:hint="eastAsia" w:ascii="黑体" w:hAnsi="黑体" w:eastAsia="黑体"/>
          <w:b/>
          <w:sz w:val="32"/>
          <w:szCs w:val="32"/>
        </w:rPr>
        <w:t>一</w:t>
      </w:r>
      <w:r>
        <w:rPr>
          <w:rStyle w:val="28"/>
          <w:rFonts w:hint="eastAsia" w:ascii="黑体" w:hAnsi="黑体" w:eastAsia="黑体"/>
          <w:b w:val="0"/>
        </w:rPr>
        <w:t>般公共预算财政拨款支出决算情况说明</w:t>
      </w:r>
      <w:bookmarkEnd w:id="36"/>
      <w:bookmarkEnd w:id="37"/>
      <w:bookmarkEnd w:id="38"/>
    </w:p>
    <w:p>
      <w:pPr>
        <w:spacing w:line="600" w:lineRule="exact"/>
        <w:ind w:firstLine="643" w:firstLineChars="200"/>
        <w:outlineLvl w:val="2"/>
        <w:rPr>
          <w:rFonts w:ascii="仿宋" w:hAnsi="仿宋" w:eastAsia="仿宋"/>
          <w:b/>
          <w:sz w:val="32"/>
          <w:szCs w:val="32"/>
        </w:rPr>
      </w:pPr>
      <w:bookmarkStart w:id="39" w:name="_Toc15377210"/>
      <w:r>
        <w:rPr>
          <w:rFonts w:hint="eastAsia" w:ascii="仿宋" w:hAnsi="仿宋" w:eastAsia="仿宋"/>
          <w:b/>
          <w:sz w:val="32"/>
          <w:szCs w:val="32"/>
        </w:rPr>
        <w:t>（一）一般公共预算财政拨款支出决算总体情况</w:t>
      </w:r>
      <w:bookmarkEnd w:id="39"/>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2024年度一般公共预算财政拨款支出</w:t>
      </w:r>
      <w:r>
        <w:rPr>
          <w:rFonts w:hint="eastAsia" w:ascii="仿宋_GB2312" w:hAnsi="仿宋_GB2312" w:eastAsia="仿宋_GB2312" w:cs="仿宋_GB2312"/>
          <w:sz w:val="32"/>
          <w:szCs w:val="32"/>
        </w:rPr>
        <w:t>10724.47</w:t>
      </w:r>
      <w:r>
        <w:rPr>
          <w:rFonts w:hint="eastAsia" w:ascii="仿宋_GB2312" w:hAnsi="仿宋_GB2312" w:eastAsia="仿宋_GB2312" w:cs="仿宋_GB2312"/>
          <w:color w:val="auto"/>
          <w:kern w:val="2"/>
          <w:sz w:val="32"/>
          <w:szCs w:val="32"/>
          <w:highlight w:val="none"/>
          <w:lang w:val="en-US" w:eastAsia="zh-CN" w:bidi="ar-SA"/>
        </w:rPr>
        <w:t>万元，占本年支出合计的</w:t>
      </w:r>
      <w:r>
        <w:rPr>
          <w:rFonts w:hint="eastAsia" w:ascii="仿宋_GB2312" w:hAnsi="仿宋_GB2312" w:eastAsia="仿宋_GB2312" w:cs="仿宋_GB2312"/>
          <w:sz w:val="32"/>
          <w:szCs w:val="32"/>
        </w:rPr>
        <w:t>38.52</w:t>
      </w:r>
      <w:r>
        <w:rPr>
          <w:rFonts w:hint="eastAsia" w:ascii="仿宋_GB2312" w:hAnsi="仿宋_GB2312" w:eastAsia="仿宋_GB2312" w:cs="仿宋_GB2312"/>
          <w:color w:val="auto"/>
          <w:kern w:val="2"/>
          <w:sz w:val="32"/>
          <w:szCs w:val="32"/>
          <w:highlight w:val="none"/>
          <w:lang w:val="en-US" w:eastAsia="zh-CN" w:bidi="ar-SA"/>
        </w:rPr>
        <w:t>%。与2023年度相比，一般公共预算财政拨款支出减少16787.43万元，下降61.02%。主要变动原因是市公路养护总段独立核算，其基本支出不再体现在局基本支出中。</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（图5：一般公共预算财政拨款支出决算变动情况）</w:t>
      </w:r>
    </w:p>
    <w:p>
      <w:pPr>
        <w:spacing w:line="600" w:lineRule="exact"/>
        <w:ind w:firstLine="640" w:firstLineChars="200"/>
        <w:outlineLvl w:val="9"/>
        <w:rPr>
          <w:rFonts w:hint="eastAsia" w:ascii="仿宋" w:hAnsi="仿宋" w:eastAsia="仿宋"/>
          <w:b/>
          <w:sz w:val="32"/>
          <w:szCs w:val="32"/>
        </w:rPr>
      </w:pPr>
      <w:bookmarkStart w:id="40" w:name="_Toc15377211"/>
      <w:r>
        <w:rPr>
          <w:rFonts w:hint="eastAsia" w:ascii="仿宋_GB2312" w:hAnsi="仿宋_GB2312" w:eastAsia="仿宋_GB2312" w:cs="仿宋_GB2312"/>
          <w:sz w:val="32"/>
          <w:szCs w:val="32"/>
        </w:rPr>
        <w:drawing>
          <wp:anchor distT="0" distB="0" distL="114300" distR="114300" simplePos="0" relativeHeight="251663360" behindDoc="1" locked="0" layoutInCell="1" allowOverlap="1">
            <wp:simplePos x="0" y="0"/>
            <wp:positionH relativeFrom="column">
              <wp:posOffset>8255</wp:posOffset>
            </wp:positionH>
            <wp:positionV relativeFrom="paragraph">
              <wp:posOffset>215900</wp:posOffset>
            </wp:positionV>
            <wp:extent cx="4907915" cy="3597275"/>
            <wp:effectExtent l="5080" t="4445" r="20955" b="17780"/>
            <wp:wrapTight wrapText="bothSides">
              <wp:wrapPolygon>
                <wp:start x="-22" y="-27"/>
                <wp:lineTo x="-22" y="21478"/>
                <wp:lineTo x="21525" y="21478"/>
                <wp:lineTo x="21525" y="-27"/>
                <wp:lineTo x="-22" y="-27"/>
              </wp:wrapPolygon>
            </wp:wrapTight>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pPr>
        <w:spacing w:line="600" w:lineRule="exact"/>
        <w:ind w:firstLine="643" w:firstLineChars="200"/>
        <w:outlineLvl w:val="2"/>
        <w:rPr>
          <w:rFonts w:ascii="仿宋" w:hAnsi="仿宋" w:eastAsia="仿宋"/>
          <w:b/>
          <w:sz w:val="32"/>
          <w:szCs w:val="32"/>
        </w:rPr>
      </w:pPr>
      <w:r>
        <w:rPr>
          <w:rFonts w:hint="eastAsia" w:ascii="仿宋" w:hAnsi="仿宋" w:eastAsia="仿宋"/>
          <w:b/>
          <w:sz w:val="32"/>
          <w:szCs w:val="32"/>
        </w:rPr>
        <w:t>（二）一般公共预算财政拨款支出决算结构情况</w:t>
      </w:r>
      <w:bookmarkEnd w:id="40"/>
    </w:p>
    <w:p>
      <w:pPr>
        <w:spacing w:line="600" w:lineRule="exact"/>
        <w:ind w:firstLine="640"/>
        <w:rPr>
          <w:rFonts w:ascii="仿宋" w:hAnsi="仿宋" w:eastAsia="仿宋"/>
          <w:b/>
          <w:sz w:val="32"/>
          <w:szCs w:val="32"/>
        </w:rPr>
      </w:pPr>
      <w:r>
        <w:rPr>
          <w:rFonts w:hint="eastAsia" w:ascii="Times New Roman" w:hAnsi="Times New Roman" w:eastAsia="仿宋_GB2312" w:cs="仿宋_GB2312"/>
          <w:color w:val="auto"/>
          <w:kern w:val="2"/>
          <w:sz w:val="32"/>
          <w:szCs w:val="32"/>
          <w:highlight w:val="none"/>
          <w:lang w:val="en-US" w:eastAsia="zh-CN" w:bidi="ar-SA"/>
        </w:rPr>
        <w:t>2024年度一般公共预算财政拨款支出</w:t>
      </w:r>
      <w:r>
        <w:rPr>
          <w:rFonts w:hint="eastAsia" w:ascii="仿宋_GB2312" w:hAnsi="仿宋_GB2312" w:eastAsia="仿宋_GB2312" w:cs="仿宋_GB2312"/>
          <w:sz w:val="32"/>
          <w:szCs w:val="32"/>
        </w:rPr>
        <w:t>10724.47</w:t>
      </w:r>
      <w:r>
        <w:rPr>
          <w:rFonts w:hint="eastAsia" w:ascii="仿宋_GB2312" w:hAnsi="仿宋_GB2312" w:eastAsia="仿宋_GB2312" w:cs="仿宋_GB2312"/>
          <w:color w:val="auto"/>
          <w:kern w:val="2"/>
          <w:sz w:val="32"/>
          <w:szCs w:val="32"/>
          <w:highlight w:val="none"/>
          <w:lang w:val="en-US" w:eastAsia="zh-CN" w:bidi="ar-SA"/>
        </w:rPr>
        <w:t>万元</w:t>
      </w:r>
      <w:r>
        <w:rPr>
          <w:rFonts w:hint="eastAsia" w:ascii="Times New Roman" w:hAnsi="Times New Roman" w:eastAsia="仿宋_GB2312" w:cs="仿宋_GB2312"/>
          <w:color w:val="auto"/>
          <w:kern w:val="2"/>
          <w:sz w:val="32"/>
          <w:szCs w:val="32"/>
          <w:highlight w:val="none"/>
          <w:lang w:val="en-US" w:eastAsia="zh-CN" w:bidi="ar-SA"/>
        </w:rPr>
        <w:t>，</w:t>
      </w:r>
      <w:r>
        <w:rPr>
          <w:rFonts w:hint="eastAsia" w:ascii="仿宋" w:hAnsi="仿宋" w:eastAsia="仿宋"/>
          <w:sz w:val="32"/>
          <w:szCs w:val="32"/>
        </w:rPr>
        <w:t>主要用于以下方面</w:t>
      </w:r>
      <w:r>
        <w:rPr>
          <w:rFonts w:ascii="仿宋" w:hAnsi="仿宋" w:eastAsia="仿宋"/>
          <w:sz w:val="32"/>
          <w:szCs w:val="32"/>
        </w:rPr>
        <w:t>:</w:t>
      </w:r>
      <w:r>
        <w:rPr>
          <w:rFonts w:hint="eastAsia" w:ascii="仿宋" w:hAnsi="仿宋" w:eastAsia="仿宋"/>
          <w:b/>
          <w:sz w:val="32"/>
          <w:szCs w:val="32"/>
        </w:rPr>
        <w:t>一般公共服务</w:t>
      </w:r>
      <w:r>
        <w:rPr>
          <w:rFonts w:hint="eastAsia" w:ascii="仿宋" w:hAnsi="仿宋" w:eastAsia="仿宋"/>
          <w:b/>
          <w:bCs/>
          <w:sz w:val="32"/>
          <w:szCs w:val="32"/>
        </w:rPr>
        <w:t>支出</w:t>
      </w:r>
      <w:r>
        <w:rPr>
          <w:rFonts w:hint="eastAsia" w:ascii="仿宋" w:hAnsi="仿宋" w:eastAsia="仿宋"/>
          <w:sz w:val="32"/>
          <w:szCs w:val="32"/>
          <w:lang w:val="en-US" w:eastAsia="zh-CN"/>
        </w:rPr>
        <w:t>8.93</w:t>
      </w:r>
      <w:r>
        <w:rPr>
          <w:rFonts w:hint="eastAsia" w:ascii="仿宋" w:hAnsi="仿宋" w:eastAsia="仿宋"/>
          <w:sz w:val="32"/>
          <w:szCs w:val="32"/>
        </w:rPr>
        <w:t>万元，占</w:t>
      </w:r>
      <w:r>
        <w:rPr>
          <w:rFonts w:hint="eastAsia" w:ascii="仿宋" w:hAnsi="仿宋" w:eastAsia="仿宋"/>
          <w:sz w:val="32"/>
          <w:szCs w:val="32"/>
          <w:lang w:val="en-US" w:eastAsia="zh-CN"/>
        </w:rPr>
        <w:t>0.08</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社会保障和就业</w:t>
      </w:r>
      <w:r>
        <w:rPr>
          <w:rFonts w:hint="eastAsia" w:ascii="仿宋" w:hAnsi="仿宋" w:eastAsia="仿宋"/>
          <w:b/>
          <w:bCs/>
          <w:sz w:val="32"/>
          <w:szCs w:val="32"/>
        </w:rPr>
        <w:t>支出</w:t>
      </w:r>
      <w:r>
        <w:rPr>
          <w:rFonts w:hint="eastAsia" w:ascii="仿宋" w:hAnsi="仿宋" w:eastAsia="仿宋"/>
          <w:sz w:val="32"/>
          <w:szCs w:val="32"/>
          <w:lang w:val="en-US" w:eastAsia="zh-CN"/>
        </w:rPr>
        <w:t>303.88</w:t>
      </w:r>
      <w:r>
        <w:rPr>
          <w:rFonts w:hint="eastAsia" w:ascii="仿宋" w:hAnsi="仿宋" w:eastAsia="仿宋"/>
          <w:sz w:val="32"/>
          <w:szCs w:val="32"/>
        </w:rPr>
        <w:t>万元，占</w:t>
      </w:r>
      <w:r>
        <w:rPr>
          <w:rFonts w:hint="eastAsia" w:ascii="仿宋" w:hAnsi="仿宋" w:eastAsia="仿宋"/>
          <w:sz w:val="32"/>
          <w:szCs w:val="32"/>
          <w:lang w:val="en-US" w:eastAsia="zh-CN"/>
        </w:rPr>
        <w:t>2.83</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卫生健康支出</w:t>
      </w:r>
      <w:r>
        <w:rPr>
          <w:rFonts w:hint="eastAsia" w:ascii="仿宋" w:hAnsi="仿宋" w:eastAsia="仿宋"/>
          <w:sz w:val="32"/>
          <w:szCs w:val="32"/>
          <w:lang w:val="en-US" w:eastAsia="zh-CN"/>
        </w:rPr>
        <w:t>64.41</w:t>
      </w:r>
      <w:r>
        <w:rPr>
          <w:rFonts w:hint="eastAsia" w:ascii="仿宋" w:hAnsi="仿宋" w:eastAsia="仿宋"/>
          <w:sz w:val="32"/>
          <w:szCs w:val="32"/>
        </w:rPr>
        <w:t>万元，占</w:t>
      </w:r>
      <w:r>
        <w:rPr>
          <w:rFonts w:hint="eastAsia" w:ascii="仿宋" w:hAnsi="仿宋" w:eastAsia="仿宋"/>
          <w:sz w:val="32"/>
          <w:szCs w:val="32"/>
          <w:lang w:val="en-US" w:eastAsia="zh-CN"/>
        </w:rPr>
        <w:t>0.6</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lang w:eastAsia="zh-CN"/>
        </w:rPr>
        <w:t>农林水支出</w:t>
      </w:r>
      <w:r>
        <w:rPr>
          <w:rFonts w:hint="eastAsia" w:ascii="仿宋" w:hAnsi="仿宋" w:eastAsia="仿宋"/>
          <w:sz w:val="32"/>
          <w:szCs w:val="32"/>
          <w:lang w:val="en-US" w:eastAsia="zh-CN"/>
        </w:rPr>
        <w:t>1634.03</w:t>
      </w:r>
      <w:r>
        <w:rPr>
          <w:rFonts w:hint="eastAsia" w:ascii="仿宋" w:hAnsi="仿宋" w:eastAsia="仿宋"/>
          <w:sz w:val="32"/>
          <w:szCs w:val="32"/>
        </w:rPr>
        <w:t>万元，占</w:t>
      </w:r>
      <w:r>
        <w:rPr>
          <w:rFonts w:hint="eastAsia" w:ascii="仿宋" w:hAnsi="仿宋" w:eastAsia="仿宋"/>
          <w:sz w:val="32"/>
          <w:szCs w:val="32"/>
          <w:lang w:val="en-US" w:eastAsia="zh-CN"/>
        </w:rPr>
        <w:t>15.24</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lang w:eastAsia="zh-CN"/>
        </w:rPr>
        <w:t>交通运输支出</w:t>
      </w:r>
      <w:r>
        <w:rPr>
          <w:rFonts w:hint="eastAsia" w:ascii="仿宋" w:hAnsi="仿宋" w:eastAsia="仿宋"/>
          <w:sz w:val="32"/>
          <w:szCs w:val="32"/>
          <w:lang w:val="en-US" w:eastAsia="zh-CN"/>
        </w:rPr>
        <w:t>8517.81万元，占79.42%；</w:t>
      </w:r>
      <w:r>
        <w:rPr>
          <w:rFonts w:hint="eastAsia" w:ascii="仿宋" w:hAnsi="仿宋" w:eastAsia="仿宋"/>
          <w:b/>
          <w:bCs/>
          <w:sz w:val="32"/>
          <w:szCs w:val="32"/>
          <w:lang w:val="en-US" w:eastAsia="zh-CN"/>
        </w:rPr>
        <w:t>住房保障支出</w:t>
      </w:r>
      <w:r>
        <w:rPr>
          <w:rFonts w:hint="eastAsia" w:ascii="仿宋" w:hAnsi="仿宋" w:eastAsia="仿宋"/>
          <w:sz w:val="32"/>
          <w:szCs w:val="32"/>
          <w:lang w:val="en-US" w:eastAsia="zh-CN"/>
        </w:rPr>
        <w:t>89.04万元，占0.83%；</w:t>
      </w:r>
      <w:r>
        <w:rPr>
          <w:rFonts w:hint="eastAsia" w:ascii="仿宋" w:hAnsi="仿宋" w:eastAsia="仿宋"/>
          <w:b/>
          <w:bCs/>
          <w:sz w:val="32"/>
          <w:szCs w:val="32"/>
          <w:lang w:val="en-US" w:eastAsia="zh-CN"/>
        </w:rPr>
        <w:t>其他支出</w:t>
      </w:r>
      <w:r>
        <w:rPr>
          <w:rFonts w:hint="eastAsia" w:ascii="仿宋" w:hAnsi="仿宋" w:eastAsia="仿宋"/>
          <w:b w:val="0"/>
          <w:bCs w:val="0"/>
          <w:sz w:val="32"/>
          <w:szCs w:val="32"/>
          <w:lang w:val="en-US" w:eastAsia="zh-CN"/>
        </w:rPr>
        <w:t>106.36</w:t>
      </w:r>
      <w:r>
        <w:rPr>
          <w:rFonts w:hint="eastAsia" w:ascii="仿宋" w:hAnsi="仿宋" w:eastAsia="仿宋"/>
          <w:sz w:val="32"/>
          <w:szCs w:val="32"/>
          <w:lang w:val="en-US" w:eastAsia="zh-CN"/>
        </w:rPr>
        <w:t>万元，占1%</w:t>
      </w:r>
      <w:r>
        <w:rPr>
          <w:rFonts w:hint="eastAsia" w:ascii="仿宋" w:hAnsi="仿宋" w:eastAsia="仿宋"/>
          <w:sz w:val="32"/>
          <w:szCs w:val="32"/>
        </w:rPr>
        <w:t>。</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（图6：一般公共预算财政拨款支出决算结构）</w:t>
      </w:r>
    </w:p>
    <w:p>
      <w:pPr>
        <w:spacing w:line="600" w:lineRule="exact"/>
        <w:ind w:firstLine="640" w:firstLineChars="200"/>
        <w:rPr>
          <w:rFonts w:ascii="仿宋" w:hAnsi="仿宋" w:eastAsia="仿宋"/>
          <w:sz w:val="32"/>
          <w:szCs w:val="32"/>
        </w:rPr>
      </w:pPr>
      <w:r>
        <w:rPr>
          <w:rFonts w:hint="eastAsia" w:ascii="仿宋_GB2312" w:hAnsi="仿宋_GB2312" w:eastAsia="仿宋_GB2312" w:cs="仿宋_GB2312"/>
          <w:sz w:val="32"/>
          <w:szCs w:val="32"/>
        </w:rPr>
        <w:drawing>
          <wp:anchor distT="0" distB="0" distL="114300" distR="114300" simplePos="0" relativeHeight="251664384" behindDoc="0" locked="0" layoutInCell="1" allowOverlap="1">
            <wp:simplePos x="0" y="0"/>
            <wp:positionH relativeFrom="column">
              <wp:posOffset>168275</wp:posOffset>
            </wp:positionH>
            <wp:positionV relativeFrom="paragraph">
              <wp:posOffset>145415</wp:posOffset>
            </wp:positionV>
            <wp:extent cx="4965065" cy="3444875"/>
            <wp:effectExtent l="4445" t="4445" r="21590" b="17780"/>
            <wp:wrapTopAndBottom/>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pPr>
        <w:spacing w:line="600" w:lineRule="exact"/>
        <w:ind w:firstLine="643" w:firstLineChars="200"/>
        <w:outlineLvl w:val="2"/>
        <w:rPr>
          <w:rFonts w:ascii="仿宋" w:hAnsi="仿宋" w:eastAsia="仿宋"/>
          <w:b/>
          <w:sz w:val="32"/>
          <w:szCs w:val="32"/>
        </w:rPr>
      </w:pPr>
      <w:bookmarkStart w:id="41" w:name="_Toc15377212"/>
      <w:r>
        <w:rPr>
          <w:rFonts w:hint="eastAsia" w:ascii="仿宋" w:hAnsi="仿宋" w:eastAsia="仿宋"/>
          <w:b/>
          <w:sz w:val="32"/>
          <w:szCs w:val="32"/>
        </w:rPr>
        <w:t>（三）一般公共预算财政拨款支出决算具体情况</w:t>
      </w:r>
      <w:bookmarkEnd w:id="41"/>
    </w:p>
    <w:p>
      <w:pPr>
        <w:numPr>
          <w:ilvl w:val="0"/>
          <w:numId w:val="0"/>
        </w:numPr>
        <w:ind w:firstLine="640" w:firstLineChars="200"/>
        <w:rPr>
          <w:rStyle w:val="17"/>
          <w:rFonts w:hint="eastAsia" w:ascii="仿宋" w:hAnsi="仿宋" w:eastAsia="仿宋"/>
          <w:bCs/>
          <w:sz w:val="32"/>
          <w:szCs w:val="32"/>
        </w:rPr>
      </w:pPr>
      <w:bookmarkStart w:id="42" w:name="_Toc15378460"/>
      <w:bookmarkStart w:id="43" w:name="_Toc15377444"/>
      <w:bookmarkStart w:id="44" w:name="_Toc15377213"/>
      <w:r>
        <w:rPr>
          <w:rFonts w:hint="eastAsia" w:ascii="Times New Roman" w:hAnsi="Times New Roman" w:eastAsia="仿宋_GB2312" w:cs="仿宋_GB2312"/>
          <w:color w:val="auto"/>
          <w:kern w:val="2"/>
          <w:sz w:val="32"/>
          <w:szCs w:val="32"/>
          <w:highlight w:val="none"/>
          <w:lang w:val="en-US" w:eastAsia="zh-CN" w:bidi="ar-SA"/>
        </w:rPr>
        <w:t>2024年度一般公共预算财政拨款支出决算数为</w:t>
      </w:r>
      <w:r>
        <w:rPr>
          <w:rFonts w:hint="eastAsia" w:ascii="仿宋_GB2312" w:hAnsi="仿宋_GB2312" w:eastAsia="仿宋_GB2312" w:cs="仿宋_GB2312"/>
          <w:sz w:val="32"/>
          <w:szCs w:val="32"/>
        </w:rPr>
        <w:t>10724.47</w:t>
      </w:r>
      <w:r>
        <w:rPr>
          <w:rFonts w:hint="eastAsia" w:ascii="仿宋" w:hAnsi="仿宋" w:eastAsia="仿宋"/>
          <w:b w:val="0"/>
          <w:bCs w:val="0"/>
          <w:sz w:val="32"/>
          <w:szCs w:val="32"/>
        </w:rPr>
        <w:t>，</w:t>
      </w:r>
      <w:r>
        <w:rPr>
          <w:rStyle w:val="17"/>
          <w:rFonts w:hint="eastAsia" w:ascii="仿宋" w:hAnsi="仿宋" w:eastAsia="仿宋"/>
          <w:b w:val="0"/>
          <w:bCs w:val="0"/>
          <w:sz w:val="32"/>
          <w:szCs w:val="32"/>
        </w:rPr>
        <w:t>完成预算</w:t>
      </w:r>
      <w:r>
        <w:rPr>
          <w:rStyle w:val="17"/>
          <w:rFonts w:hint="eastAsia" w:ascii="仿宋" w:hAnsi="仿宋" w:eastAsia="仿宋"/>
          <w:b w:val="0"/>
          <w:bCs w:val="0"/>
          <w:sz w:val="32"/>
          <w:szCs w:val="32"/>
          <w:lang w:val="en-US" w:eastAsia="zh-CN"/>
        </w:rPr>
        <w:t>100</w:t>
      </w:r>
      <w:r>
        <w:rPr>
          <w:rStyle w:val="17"/>
          <w:rFonts w:ascii="仿宋" w:hAnsi="仿宋" w:eastAsia="仿宋"/>
          <w:b w:val="0"/>
          <w:bCs w:val="0"/>
          <w:sz w:val="32"/>
          <w:szCs w:val="32"/>
        </w:rPr>
        <w:t>%</w:t>
      </w:r>
      <w:r>
        <w:rPr>
          <w:rStyle w:val="17"/>
          <w:rFonts w:hint="eastAsia" w:ascii="仿宋" w:hAnsi="仿宋" w:eastAsia="仿宋"/>
          <w:b w:val="0"/>
          <w:bCs w:val="0"/>
          <w:sz w:val="32"/>
          <w:szCs w:val="32"/>
        </w:rPr>
        <w:t>。其中</w:t>
      </w:r>
      <w:r>
        <w:rPr>
          <w:rStyle w:val="17"/>
          <w:rFonts w:hint="eastAsia" w:ascii="仿宋" w:hAnsi="仿宋" w:eastAsia="仿宋"/>
          <w:bCs/>
          <w:sz w:val="32"/>
          <w:szCs w:val="32"/>
        </w:rPr>
        <w:t>：</w:t>
      </w:r>
      <w:bookmarkEnd w:id="42"/>
      <w:bookmarkEnd w:id="43"/>
      <w:bookmarkEnd w:id="44"/>
    </w:p>
    <w:p>
      <w:pPr>
        <w:numPr>
          <w:ilvl w:val="0"/>
          <w:numId w:val="0"/>
        </w:numPr>
        <w:ind w:firstLine="640"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1.一般公共服务支出（类）组织事务（款）其他组织事务支出（项）：</w:t>
      </w:r>
      <w:r>
        <w:rPr>
          <w:rFonts w:hint="eastAsia" w:ascii="仿宋_GB2312" w:hAnsi="仿宋_GB2312" w:eastAsia="仿宋_GB2312" w:cs="仿宋_GB2312"/>
          <w:b w:val="0"/>
          <w:bCs/>
          <w:sz w:val="32"/>
          <w:szCs w:val="32"/>
        </w:rPr>
        <w:t>支出决算为</w:t>
      </w:r>
      <w:r>
        <w:rPr>
          <w:rFonts w:hint="eastAsia" w:ascii="仿宋_GB2312" w:hAnsi="仿宋_GB2312" w:eastAsia="仿宋_GB2312" w:cs="仿宋_GB2312"/>
          <w:b w:val="0"/>
          <w:bCs/>
          <w:sz w:val="32"/>
          <w:szCs w:val="32"/>
          <w:lang w:val="en-US" w:eastAsia="zh-CN"/>
        </w:rPr>
        <w:t>8.93</w:t>
      </w:r>
      <w:r>
        <w:rPr>
          <w:rFonts w:hint="eastAsia" w:ascii="仿宋_GB2312" w:hAnsi="仿宋_GB2312" w:eastAsia="仿宋_GB2312" w:cs="仿宋_GB2312"/>
          <w:b w:val="0"/>
          <w:bCs/>
          <w:sz w:val="32"/>
          <w:szCs w:val="32"/>
        </w:rPr>
        <w:t>万元，完成预算100%。</w:t>
      </w:r>
    </w:p>
    <w:p>
      <w:pPr>
        <w:pStyle w:val="8"/>
        <w:ind w:firstLine="640" w:firstLineChars="200"/>
        <w:rPr>
          <w:rFonts w:hint="eastAsia" w:ascii="仿宋_GB2312" w:hAnsi="仿宋_GB2312" w:eastAsia="仿宋_GB2312" w:cs="仿宋_GB2312"/>
          <w:b w:val="0"/>
          <w:bCs/>
          <w:sz w:val="32"/>
          <w:szCs w:val="32"/>
        </w:rPr>
      </w:pPr>
      <w:r>
        <w:rPr>
          <w:rFonts w:hint="eastAsia" w:hAnsi="仿宋_GB2312" w:cs="仿宋_GB2312"/>
          <w:b w:val="0"/>
          <w:bCs/>
          <w:sz w:val="32"/>
          <w:szCs w:val="32"/>
          <w:lang w:val="en-US" w:eastAsia="zh-CN"/>
        </w:rPr>
        <w:t>2.</w:t>
      </w:r>
      <w:r>
        <w:rPr>
          <w:rFonts w:hint="eastAsia" w:ascii="仿宋_GB2312" w:hAnsi="仿宋_GB2312" w:eastAsia="仿宋_GB2312" w:cs="仿宋_GB2312"/>
          <w:b w:val="0"/>
          <w:bCs/>
          <w:sz w:val="32"/>
          <w:szCs w:val="32"/>
        </w:rPr>
        <w:t>社会保障和就业支出（类）人力资源和社会保障管理事务（款）其他人力资源和社会保障管理事务支出（项）:支出决算为</w:t>
      </w:r>
      <w:r>
        <w:rPr>
          <w:rFonts w:hint="eastAsia" w:hAnsi="仿宋_GB2312" w:cs="仿宋_GB2312"/>
          <w:b w:val="0"/>
          <w:bCs/>
          <w:sz w:val="32"/>
          <w:szCs w:val="32"/>
          <w:lang w:val="en-US" w:eastAsia="zh-CN"/>
        </w:rPr>
        <w:t>4.27</w:t>
      </w:r>
      <w:r>
        <w:rPr>
          <w:rFonts w:hint="eastAsia" w:ascii="仿宋_GB2312" w:hAnsi="仿宋_GB2312" w:eastAsia="仿宋_GB2312" w:cs="仿宋_GB2312"/>
          <w:b w:val="0"/>
          <w:bCs/>
          <w:sz w:val="32"/>
          <w:szCs w:val="32"/>
        </w:rPr>
        <w:t>万元，完成预算100%。</w:t>
      </w:r>
    </w:p>
    <w:p>
      <w:pPr>
        <w:pStyle w:val="8"/>
        <w:ind w:firstLine="640" w:firstLineChars="200"/>
        <w:rPr>
          <w:rFonts w:hint="default" w:ascii="仿宋_GB2312" w:hAnsi="仿宋_GB2312" w:eastAsia="仿宋_GB2312" w:cs="仿宋_GB2312"/>
          <w:b w:val="0"/>
          <w:bCs/>
          <w:sz w:val="32"/>
          <w:szCs w:val="32"/>
          <w:lang w:val="en-US" w:eastAsia="zh-CN"/>
        </w:rPr>
      </w:pPr>
      <w:r>
        <w:rPr>
          <w:rFonts w:hint="eastAsia" w:hAnsi="仿宋_GB2312" w:cs="仿宋_GB2312"/>
          <w:b w:val="0"/>
          <w:bCs/>
          <w:sz w:val="32"/>
          <w:szCs w:val="32"/>
          <w:lang w:val="en-US" w:eastAsia="zh-CN"/>
        </w:rPr>
        <w:t>3.</w:t>
      </w:r>
      <w:r>
        <w:rPr>
          <w:rFonts w:hint="eastAsia" w:ascii="仿宋_GB2312" w:hAnsi="仿宋_GB2312" w:eastAsia="仿宋_GB2312" w:cs="仿宋_GB2312"/>
          <w:b w:val="0"/>
          <w:bCs/>
          <w:sz w:val="32"/>
          <w:szCs w:val="32"/>
        </w:rPr>
        <w:t>社会保障和就业支出（类）行政事业单位养老支出（款）</w:t>
      </w:r>
      <w:r>
        <w:rPr>
          <w:rFonts w:hint="eastAsia" w:hAnsi="仿宋_GB2312" w:cs="仿宋_GB2312"/>
          <w:b w:val="0"/>
          <w:bCs/>
          <w:sz w:val="32"/>
          <w:szCs w:val="32"/>
          <w:lang w:eastAsia="zh-CN"/>
        </w:rPr>
        <w:t>行政</w:t>
      </w:r>
      <w:r>
        <w:rPr>
          <w:rFonts w:hint="eastAsia" w:ascii="仿宋_GB2312" w:hAnsi="仿宋_GB2312" w:eastAsia="仿宋_GB2312" w:cs="仿宋_GB2312"/>
          <w:b w:val="0"/>
          <w:bCs/>
          <w:sz w:val="32"/>
          <w:szCs w:val="32"/>
        </w:rPr>
        <w:t>单位离退休（项）:支出决算为</w:t>
      </w:r>
      <w:r>
        <w:rPr>
          <w:rFonts w:hint="eastAsia" w:hAnsi="仿宋_GB2312" w:cs="仿宋_GB2312"/>
          <w:b w:val="0"/>
          <w:bCs/>
          <w:sz w:val="32"/>
          <w:szCs w:val="32"/>
          <w:lang w:val="en-US" w:eastAsia="zh-CN"/>
        </w:rPr>
        <w:t>181.89</w:t>
      </w:r>
      <w:r>
        <w:rPr>
          <w:rFonts w:hint="eastAsia" w:ascii="仿宋_GB2312" w:hAnsi="仿宋_GB2312" w:eastAsia="仿宋_GB2312" w:cs="仿宋_GB2312"/>
          <w:b w:val="0"/>
          <w:bCs/>
          <w:sz w:val="32"/>
          <w:szCs w:val="32"/>
        </w:rPr>
        <w:t>万元，完成预算100%。</w:t>
      </w:r>
    </w:p>
    <w:p>
      <w:pPr>
        <w:numPr>
          <w:ilvl w:val="0"/>
          <w:numId w:val="0"/>
        </w:numPr>
        <w:ind w:firstLine="640"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4.</w:t>
      </w:r>
      <w:r>
        <w:rPr>
          <w:rFonts w:hint="eastAsia" w:ascii="仿宋_GB2312" w:hAnsi="仿宋_GB2312" w:eastAsia="仿宋_GB2312" w:cs="仿宋_GB2312"/>
          <w:b w:val="0"/>
          <w:bCs/>
          <w:sz w:val="32"/>
          <w:szCs w:val="32"/>
        </w:rPr>
        <w:t>社会保障和就业支出（类）行政事业单位养老支出（款）机关事业单位基本养老保险缴费支出（项）:支出决算为</w:t>
      </w:r>
      <w:r>
        <w:rPr>
          <w:rFonts w:hint="eastAsia" w:ascii="仿宋_GB2312" w:hAnsi="仿宋_GB2312" w:eastAsia="仿宋_GB2312" w:cs="仿宋_GB2312"/>
          <w:b w:val="0"/>
          <w:bCs/>
          <w:sz w:val="32"/>
          <w:szCs w:val="32"/>
          <w:lang w:val="en-US" w:eastAsia="zh-CN"/>
        </w:rPr>
        <w:t>105.73</w:t>
      </w:r>
      <w:r>
        <w:rPr>
          <w:rFonts w:hint="eastAsia" w:ascii="仿宋_GB2312" w:hAnsi="仿宋_GB2312" w:eastAsia="仿宋_GB2312" w:cs="仿宋_GB2312"/>
          <w:b w:val="0"/>
          <w:bCs/>
          <w:sz w:val="32"/>
          <w:szCs w:val="32"/>
        </w:rPr>
        <w:t>万元，完成预算100%。</w:t>
      </w:r>
    </w:p>
    <w:p>
      <w:pPr>
        <w:ind w:firstLine="640" w:firstLineChars="200"/>
        <w:rPr>
          <w:rFonts w:hint="default" w:eastAsia="仿宋_GB2312"/>
          <w:lang w:val="en-US" w:eastAsia="zh-CN"/>
        </w:rPr>
      </w:pPr>
      <w:r>
        <w:rPr>
          <w:rFonts w:hint="eastAsia" w:hAnsi="仿宋_GB2312" w:cs="仿宋_GB2312"/>
          <w:b w:val="0"/>
          <w:bCs/>
          <w:sz w:val="32"/>
          <w:szCs w:val="32"/>
          <w:lang w:val="en-US" w:eastAsia="zh-CN"/>
        </w:rPr>
        <w:t>5.</w:t>
      </w:r>
      <w:r>
        <w:rPr>
          <w:rFonts w:hint="eastAsia" w:ascii="仿宋_GB2312" w:hAnsi="仿宋_GB2312" w:eastAsia="仿宋_GB2312" w:cs="仿宋_GB2312"/>
          <w:b w:val="0"/>
          <w:bCs/>
          <w:sz w:val="32"/>
          <w:szCs w:val="32"/>
        </w:rPr>
        <w:t>社会保障和就业支出（类）行政事业单位养老支出（款）机关事业单位职业年金缴费支出（项）:支出决算为</w:t>
      </w:r>
      <w:r>
        <w:rPr>
          <w:rFonts w:hint="eastAsia" w:ascii="仿宋_GB2312" w:hAnsi="仿宋_GB2312" w:eastAsia="仿宋_GB2312" w:cs="仿宋_GB2312"/>
          <w:b w:val="0"/>
          <w:bCs/>
          <w:sz w:val="32"/>
          <w:szCs w:val="32"/>
          <w:lang w:val="en-US" w:eastAsia="zh-CN"/>
        </w:rPr>
        <w:t>11.37</w:t>
      </w:r>
      <w:r>
        <w:rPr>
          <w:rFonts w:hint="eastAsia" w:ascii="仿宋_GB2312" w:hAnsi="仿宋_GB2312" w:eastAsia="仿宋_GB2312" w:cs="仿宋_GB2312"/>
          <w:b w:val="0"/>
          <w:bCs/>
          <w:sz w:val="32"/>
          <w:szCs w:val="32"/>
        </w:rPr>
        <w:t>万元，完成预算100%。</w:t>
      </w:r>
    </w:p>
    <w:p>
      <w:pPr>
        <w:pStyle w:val="8"/>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 xml:space="preserve">    </w:t>
      </w:r>
      <w:r>
        <w:rPr>
          <w:rFonts w:hint="eastAsia" w:hAnsi="仿宋_GB2312" w:cs="仿宋_GB2312"/>
          <w:b w:val="0"/>
          <w:bCs/>
          <w:sz w:val="32"/>
          <w:szCs w:val="32"/>
          <w:lang w:val="en-US" w:eastAsia="zh-CN"/>
        </w:rPr>
        <w:t>6</w:t>
      </w:r>
      <w:r>
        <w:rPr>
          <w:rFonts w:hint="eastAsia" w:ascii="仿宋_GB2312" w:hAnsi="仿宋_GB2312" w:eastAsia="仿宋_GB2312" w:cs="仿宋_GB2312"/>
          <w:b w:val="0"/>
          <w:bCs/>
          <w:sz w:val="32"/>
          <w:szCs w:val="32"/>
          <w:lang w:val="en-US" w:eastAsia="zh-CN"/>
        </w:rPr>
        <w:t>.</w:t>
      </w:r>
      <w:r>
        <w:rPr>
          <w:rFonts w:hint="eastAsia" w:ascii="仿宋_GB2312" w:hAnsi="仿宋_GB2312" w:eastAsia="仿宋_GB2312" w:cs="仿宋_GB2312"/>
          <w:b w:val="0"/>
          <w:bCs/>
          <w:sz w:val="32"/>
          <w:szCs w:val="32"/>
        </w:rPr>
        <w:t>社会保障和就业支出（类）</w:t>
      </w:r>
      <w:r>
        <w:rPr>
          <w:rFonts w:hint="eastAsia" w:ascii="仿宋_GB2312" w:hAnsi="仿宋_GB2312" w:eastAsia="仿宋_GB2312" w:cs="仿宋_GB2312"/>
          <w:b w:val="0"/>
          <w:bCs/>
          <w:sz w:val="32"/>
          <w:szCs w:val="32"/>
          <w:lang w:val="en-US" w:eastAsia="zh-CN"/>
        </w:rPr>
        <w:t>社会福利（款）儿童福利（项）：支出决算为0.</w:t>
      </w:r>
      <w:r>
        <w:rPr>
          <w:rFonts w:hint="eastAsia" w:hAnsi="仿宋_GB2312" w:cs="仿宋_GB2312"/>
          <w:b w:val="0"/>
          <w:bCs/>
          <w:sz w:val="32"/>
          <w:szCs w:val="32"/>
          <w:lang w:val="en-US" w:eastAsia="zh-CN"/>
        </w:rPr>
        <w:t>63</w:t>
      </w:r>
      <w:r>
        <w:rPr>
          <w:rFonts w:hint="eastAsia" w:ascii="仿宋_GB2312" w:hAnsi="仿宋_GB2312" w:eastAsia="仿宋_GB2312" w:cs="仿宋_GB2312"/>
          <w:b w:val="0"/>
          <w:bCs/>
          <w:sz w:val="32"/>
          <w:szCs w:val="32"/>
          <w:lang w:val="en-US" w:eastAsia="zh-CN"/>
        </w:rPr>
        <w:t>万元，完成预算100%。</w:t>
      </w:r>
    </w:p>
    <w:p>
      <w:pPr>
        <w:ind w:firstLine="640"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7</w:t>
      </w:r>
      <w:r>
        <w:rPr>
          <w:rFonts w:hint="eastAsia" w:ascii="仿宋_GB2312" w:hAnsi="仿宋_GB2312" w:eastAsia="仿宋_GB2312" w:cs="仿宋_GB2312"/>
          <w:b w:val="0"/>
          <w:bCs/>
          <w:sz w:val="32"/>
          <w:szCs w:val="32"/>
        </w:rPr>
        <w:t>.</w:t>
      </w:r>
      <w:r>
        <w:rPr>
          <w:rFonts w:hint="eastAsia" w:ascii="仿宋_GB2312" w:hAnsi="仿宋_GB2312" w:eastAsia="仿宋_GB2312" w:cs="仿宋_GB2312"/>
          <w:b w:val="0"/>
          <w:bCs/>
          <w:sz w:val="32"/>
          <w:szCs w:val="32"/>
          <w:lang w:val="en-US" w:eastAsia="zh-CN"/>
        </w:rPr>
        <w:t>卫生健康支出</w:t>
      </w:r>
      <w:r>
        <w:rPr>
          <w:rFonts w:hint="eastAsia" w:ascii="仿宋_GB2312" w:hAnsi="仿宋_GB2312" w:eastAsia="仿宋_GB2312" w:cs="仿宋_GB2312"/>
          <w:b w:val="0"/>
          <w:bCs/>
          <w:sz w:val="32"/>
          <w:szCs w:val="32"/>
        </w:rPr>
        <w:t>（类）</w:t>
      </w:r>
      <w:r>
        <w:rPr>
          <w:rFonts w:hint="eastAsia" w:ascii="仿宋_GB2312" w:hAnsi="仿宋_GB2312" w:eastAsia="仿宋_GB2312" w:cs="仿宋_GB2312"/>
          <w:b w:val="0"/>
          <w:bCs/>
          <w:sz w:val="32"/>
          <w:szCs w:val="32"/>
          <w:lang w:val="en-US" w:eastAsia="zh-CN"/>
        </w:rPr>
        <w:t>行政事业单位医疗</w:t>
      </w:r>
      <w:r>
        <w:rPr>
          <w:rFonts w:hint="eastAsia" w:ascii="仿宋_GB2312" w:hAnsi="仿宋_GB2312" w:eastAsia="仿宋_GB2312" w:cs="仿宋_GB2312"/>
          <w:b w:val="0"/>
          <w:bCs/>
          <w:sz w:val="32"/>
          <w:szCs w:val="32"/>
        </w:rPr>
        <w:t>（款）</w:t>
      </w:r>
      <w:r>
        <w:rPr>
          <w:rFonts w:hint="eastAsia" w:ascii="仿宋_GB2312" w:hAnsi="仿宋_GB2312" w:eastAsia="仿宋_GB2312" w:cs="仿宋_GB2312"/>
          <w:b w:val="0"/>
          <w:bCs/>
          <w:sz w:val="32"/>
          <w:szCs w:val="32"/>
          <w:lang w:val="en-US" w:eastAsia="zh-CN"/>
        </w:rPr>
        <w:t>行政单位医疗</w:t>
      </w:r>
      <w:r>
        <w:rPr>
          <w:rFonts w:hint="eastAsia" w:ascii="仿宋_GB2312" w:hAnsi="仿宋_GB2312" w:eastAsia="仿宋_GB2312" w:cs="仿宋_GB2312"/>
          <w:b w:val="0"/>
          <w:bCs/>
          <w:sz w:val="32"/>
          <w:szCs w:val="32"/>
        </w:rPr>
        <w:t>（项）:支出决算为</w:t>
      </w:r>
      <w:r>
        <w:rPr>
          <w:rFonts w:hint="eastAsia" w:ascii="仿宋_GB2312" w:hAnsi="仿宋_GB2312" w:eastAsia="仿宋_GB2312" w:cs="仿宋_GB2312"/>
          <w:b w:val="0"/>
          <w:bCs/>
          <w:sz w:val="32"/>
          <w:szCs w:val="32"/>
          <w:lang w:val="en-US" w:eastAsia="zh-CN"/>
        </w:rPr>
        <w:t>57.24万</w:t>
      </w:r>
      <w:r>
        <w:rPr>
          <w:rFonts w:hint="eastAsia" w:ascii="仿宋_GB2312" w:hAnsi="仿宋_GB2312" w:eastAsia="仿宋_GB2312" w:cs="仿宋_GB2312"/>
          <w:b w:val="0"/>
          <w:bCs/>
          <w:sz w:val="32"/>
          <w:szCs w:val="32"/>
        </w:rPr>
        <w:t>元，完成预算100%。</w:t>
      </w:r>
    </w:p>
    <w:p>
      <w:pPr>
        <w:ind w:firstLine="640" w:firstLineChars="200"/>
        <w:rPr>
          <w:rFonts w:hint="eastAsia" w:ascii="仿宋_GB2312" w:hAnsi="仿宋_GB2312" w:eastAsia="仿宋_GB2312" w:cs="仿宋_GB2312"/>
          <w:b w:val="0"/>
          <w:bCs/>
          <w:sz w:val="32"/>
          <w:szCs w:val="32"/>
        </w:rPr>
      </w:pPr>
      <w:r>
        <w:rPr>
          <w:rFonts w:hint="eastAsia" w:hAnsi="仿宋_GB2312" w:cs="仿宋_GB2312"/>
          <w:b w:val="0"/>
          <w:bCs/>
          <w:sz w:val="32"/>
          <w:szCs w:val="32"/>
          <w:lang w:val="en-US" w:eastAsia="zh-CN"/>
        </w:rPr>
        <w:t>8.</w:t>
      </w:r>
      <w:r>
        <w:rPr>
          <w:rFonts w:hint="eastAsia" w:ascii="仿宋_GB2312" w:hAnsi="仿宋_GB2312" w:eastAsia="仿宋_GB2312" w:cs="仿宋_GB2312"/>
          <w:b w:val="0"/>
          <w:bCs/>
          <w:sz w:val="32"/>
          <w:szCs w:val="32"/>
          <w:lang w:val="en-US" w:eastAsia="zh-CN"/>
        </w:rPr>
        <w:t>卫生健康支出</w:t>
      </w:r>
      <w:r>
        <w:rPr>
          <w:rFonts w:hint="eastAsia" w:ascii="仿宋_GB2312" w:hAnsi="仿宋_GB2312" w:eastAsia="仿宋_GB2312" w:cs="仿宋_GB2312"/>
          <w:b w:val="0"/>
          <w:bCs/>
          <w:sz w:val="32"/>
          <w:szCs w:val="32"/>
        </w:rPr>
        <w:t>（类）</w:t>
      </w:r>
      <w:r>
        <w:rPr>
          <w:rFonts w:hint="eastAsia" w:ascii="仿宋_GB2312" w:hAnsi="仿宋_GB2312" w:eastAsia="仿宋_GB2312" w:cs="仿宋_GB2312"/>
          <w:b w:val="0"/>
          <w:bCs/>
          <w:sz w:val="32"/>
          <w:szCs w:val="32"/>
          <w:lang w:val="en-US" w:eastAsia="zh-CN"/>
        </w:rPr>
        <w:t>行政事业单位医疗</w:t>
      </w:r>
      <w:r>
        <w:rPr>
          <w:rFonts w:hint="eastAsia" w:ascii="仿宋_GB2312" w:hAnsi="仿宋_GB2312" w:eastAsia="仿宋_GB2312" w:cs="仿宋_GB2312"/>
          <w:b w:val="0"/>
          <w:bCs/>
          <w:sz w:val="32"/>
          <w:szCs w:val="32"/>
        </w:rPr>
        <w:t>（款）</w:t>
      </w:r>
      <w:r>
        <w:rPr>
          <w:rFonts w:hint="eastAsia" w:ascii="仿宋_GB2312" w:hAnsi="仿宋_GB2312" w:eastAsia="仿宋_GB2312" w:cs="仿宋_GB2312"/>
          <w:b w:val="0"/>
          <w:bCs/>
          <w:sz w:val="32"/>
          <w:szCs w:val="32"/>
          <w:lang w:val="en-US" w:eastAsia="zh-CN"/>
        </w:rPr>
        <w:t>公务员医疗补助</w:t>
      </w:r>
      <w:r>
        <w:rPr>
          <w:rFonts w:hint="eastAsia" w:ascii="仿宋_GB2312" w:hAnsi="仿宋_GB2312" w:eastAsia="仿宋_GB2312" w:cs="仿宋_GB2312"/>
          <w:b w:val="0"/>
          <w:bCs/>
          <w:sz w:val="32"/>
          <w:szCs w:val="32"/>
        </w:rPr>
        <w:t>（项）:支出决算为</w:t>
      </w:r>
      <w:r>
        <w:rPr>
          <w:rFonts w:hint="eastAsia" w:ascii="仿宋_GB2312" w:hAnsi="仿宋_GB2312" w:eastAsia="仿宋_GB2312" w:cs="仿宋_GB2312"/>
          <w:b w:val="0"/>
          <w:bCs/>
          <w:sz w:val="32"/>
          <w:szCs w:val="32"/>
          <w:lang w:val="en-US" w:eastAsia="zh-CN"/>
        </w:rPr>
        <w:t>6.03万</w:t>
      </w:r>
      <w:r>
        <w:rPr>
          <w:rFonts w:hint="eastAsia" w:ascii="仿宋_GB2312" w:hAnsi="仿宋_GB2312" w:eastAsia="仿宋_GB2312" w:cs="仿宋_GB2312"/>
          <w:b w:val="0"/>
          <w:bCs/>
          <w:sz w:val="32"/>
          <w:szCs w:val="32"/>
        </w:rPr>
        <w:t>元，完成预算100%。</w:t>
      </w:r>
    </w:p>
    <w:p>
      <w:pPr>
        <w:pStyle w:val="8"/>
        <w:ind w:firstLine="640"/>
        <w:rPr>
          <w:rFonts w:hint="eastAsia" w:ascii="仿宋_GB2312" w:hAnsi="仿宋_GB2312" w:eastAsia="仿宋_GB2312" w:cs="仿宋_GB2312"/>
          <w:b w:val="0"/>
          <w:bCs/>
          <w:sz w:val="32"/>
          <w:szCs w:val="32"/>
        </w:rPr>
      </w:pPr>
      <w:r>
        <w:rPr>
          <w:rFonts w:hint="eastAsia" w:hAnsi="仿宋_GB2312" w:cs="仿宋_GB2312"/>
          <w:b w:val="0"/>
          <w:bCs/>
          <w:sz w:val="32"/>
          <w:szCs w:val="32"/>
          <w:lang w:val="en-US" w:eastAsia="zh-CN"/>
        </w:rPr>
        <w:t>9.</w:t>
      </w:r>
      <w:r>
        <w:rPr>
          <w:rFonts w:hint="eastAsia" w:ascii="仿宋_GB2312" w:hAnsi="仿宋_GB2312" w:eastAsia="仿宋_GB2312" w:cs="仿宋_GB2312"/>
          <w:b w:val="0"/>
          <w:bCs/>
          <w:sz w:val="32"/>
          <w:szCs w:val="32"/>
          <w:lang w:val="en-US" w:eastAsia="zh-CN"/>
        </w:rPr>
        <w:t>卫生健康支出</w:t>
      </w:r>
      <w:r>
        <w:rPr>
          <w:rFonts w:hint="eastAsia" w:ascii="仿宋_GB2312" w:hAnsi="仿宋_GB2312" w:eastAsia="仿宋_GB2312" w:cs="仿宋_GB2312"/>
          <w:b w:val="0"/>
          <w:bCs/>
          <w:sz w:val="32"/>
          <w:szCs w:val="32"/>
        </w:rPr>
        <w:t>（类）</w:t>
      </w:r>
      <w:r>
        <w:rPr>
          <w:rFonts w:hint="eastAsia" w:ascii="仿宋_GB2312" w:hAnsi="仿宋_GB2312" w:eastAsia="仿宋_GB2312" w:cs="仿宋_GB2312"/>
          <w:b w:val="0"/>
          <w:bCs/>
          <w:sz w:val="32"/>
          <w:szCs w:val="32"/>
          <w:lang w:val="en-US" w:eastAsia="zh-CN"/>
        </w:rPr>
        <w:t>其他卫生健康支出</w:t>
      </w:r>
      <w:r>
        <w:rPr>
          <w:rFonts w:hint="eastAsia" w:ascii="仿宋_GB2312" w:hAnsi="仿宋_GB2312" w:eastAsia="仿宋_GB2312" w:cs="仿宋_GB2312"/>
          <w:b w:val="0"/>
          <w:bCs/>
          <w:sz w:val="32"/>
          <w:szCs w:val="32"/>
        </w:rPr>
        <w:t>（款）</w:t>
      </w:r>
      <w:r>
        <w:rPr>
          <w:rFonts w:hint="eastAsia" w:ascii="仿宋_GB2312" w:hAnsi="仿宋_GB2312" w:eastAsia="仿宋_GB2312" w:cs="仿宋_GB2312"/>
          <w:b w:val="0"/>
          <w:bCs/>
          <w:sz w:val="32"/>
          <w:szCs w:val="32"/>
          <w:lang w:val="en-US" w:eastAsia="zh-CN"/>
        </w:rPr>
        <w:t>其他卫生健康支出</w:t>
      </w:r>
      <w:r>
        <w:rPr>
          <w:rFonts w:hint="eastAsia" w:ascii="仿宋_GB2312" w:hAnsi="仿宋_GB2312" w:eastAsia="仿宋_GB2312" w:cs="仿宋_GB2312"/>
          <w:b w:val="0"/>
          <w:bCs/>
          <w:sz w:val="32"/>
          <w:szCs w:val="32"/>
        </w:rPr>
        <w:t>（项）:支出决算为</w:t>
      </w:r>
      <w:r>
        <w:rPr>
          <w:rFonts w:hint="eastAsia" w:hAnsi="仿宋_GB2312" w:cs="仿宋_GB2312"/>
          <w:b w:val="0"/>
          <w:bCs/>
          <w:sz w:val="32"/>
          <w:szCs w:val="32"/>
          <w:lang w:val="en-US" w:eastAsia="zh-CN"/>
        </w:rPr>
        <w:t>1.14</w:t>
      </w:r>
      <w:r>
        <w:rPr>
          <w:rFonts w:hint="eastAsia" w:ascii="仿宋_GB2312" w:hAnsi="仿宋_GB2312" w:eastAsia="仿宋_GB2312" w:cs="仿宋_GB2312"/>
          <w:b w:val="0"/>
          <w:bCs/>
          <w:sz w:val="32"/>
          <w:szCs w:val="32"/>
          <w:lang w:val="en-US" w:eastAsia="zh-CN"/>
        </w:rPr>
        <w:t>万</w:t>
      </w:r>
      <w:r>
        <w:rPr>
          <w:rFonts w:hint="eastAsia" w:ascii="仿宋_GB2312" w:hAnsi="仿宋_GB2312" w:eastAsia="仿宋_GB2312" w:cs="仿宋_GB2312"/>
          <w:b w:val="0"/>
          <w:bCs/>
          <w:sz w:val="32"/>
          <w:szCs w:val="32"/>
        </w:rPr>
        <w:t>元，完成预算100%。</w:t>
      </w:r>
    </w:p>
    <w:p>
      <w:pPr>
        <w:pStyle w:val="8"/>
        <w:ind w:firstLine="640"/>
        <w:rPr>
          <w:rFonts w:hint="eastAsia" w:ascii="仿宋_GB2312" w:hAnsi="仿宋_GB2312" w:eastAsia="仿宋_GB2312" w:cs="仿宋_GB2312"/>
          <w:b w:val="0"/>
          <w:bCs/>
          <w:sz w:val="32"/>
          <w:szCs w:val="32"/>
        </w:rPr>
      </w:pPr>
      <w:r>
        <w:rPr>
          <w:rFonts w:hint="eastAsia" w:hAnsi="仿宋_GB2312" w:cs="仿宋_GB2312"/>
          <w:b w:val="0"/>
          <w:bCs/>
          <w:sz w:val="32"/>
          <w:szCs w:val="32"/>
          <w:lang w:val="en-US" w:eastAsia="zh-CN"/>
        </w:rPr>
        <w:t>10.</w:t>
      </w:r>
      <w:r>
        <w:rPr>
          <w:rFonts w:hint="eastAsia" w:ascii="仿宋_GB2312" w:hAnsi="仿宋_GB2312" w:eastAsia="仿宋_GB2312" w:cs="仿宋_GB2312"/>
          <w:b w:val="0"/>
          <w:bCs/>
          <w:sz w:val="32"/>
          <w:szCs w:val="32"/>
          <w:lang w:val="en-US" w:eastAsia="zh-CN"/>
        </w:rPr>
        <w:t>农林水支出</w:t>
      </w:r>
      <w:r>
        <w:rPr>
          <w:rFonts w:hint="eastAsia" w:ascii="仿宋_GB2312" w:hAnsi="仿宋_GB2312" w:eastAsia="仿宋_GB2312" w:cs="仿宋_GB2312"/>
          <w:b w:val="0"/>
          <w:bCs/>
          <w:sz w:val="32"/>
          <w:szCs w:val="32"/>
        </w:rPr>
        <w:t>（类）</w:t>
      </w:r>
      <w:r>
        <w:rPr>
          <w:rFonts w:hint="eastAsia" w:ascii="仿宋_GB2312" w:hAnsi="仿宋_GB2312" w:eastAsia="仿宋_GB2312" w:cs="仿宋_GB2312"/>
          <w:b w:val="0"/>
          <w:bCs/>
          <w:sz w:val="32"/>
          <w:szCs w:val="32"/>
          <w:lang w:val="en-US" w:eastAsia="zh-CN"/>
        </w:rPr>
        <w:t>农业农村</w:t>
      </w:r>
      <w:r>
        <w:rPr>
          <w:rFonts w:hint="eastAsia" w:ascii="仿宋_GB2312" w:hAnsi="仿宋_GB2312" w:eastAsia="仿宋_GB2312" w:cs="仿宋_GB2312"/>
          <w:b w:val="0"/>
          <w:bCs/>
          <w:sz w:val="32"/>
          <w:szCs w:val="32"/>
        </w:rPr>
        <w:t>（款）</w:t>
      </w:r>
      <w:r>
        <w:rPr>
          <w:rFonts w:hint="eastAsia" w:ascii="仿宋_GB2312" w:hAnsi="仿宋_GB2312" w:eastAsia="仿宋_GB2312" w:cs="仿宋_GB2312"/>
          <w:b w:val="0"/>
          <w:bCs/>
          <w:sz w:val="32"/>
          <w:szCs w:val="32"/>
          <w:lang w:val="en-US" w:eastAsia="zh-CN"/>
        </w:rPr>
        <w:t>农村社会事业</w:t>
      </w:r>
      <w:r>
        <w:rPr>
          <w:rFonts w:hint="eastAsia" w:ascii="仿宋_GB2312" w:hAnsi="仿宋_GB2312" w:eastAsia="仿宋_GB2312" w:cs="仿宋_GB2312"/>
          <w:b w:val="0"/>
          <w:bCs/>
          <w:sz w:val="32"/>
          <w:szCs w:val="32"/>
        </w:rPr>
        <w:t>（项）:支出决算为</w:t>
      </w:r>
      <w:r>
        <w:rPr>
          <w:rFonts w:hint="eastAsia" w:hAnsi="仿宋_GB2312" w:cs="仿宋_GB2312"/>
          <w:b w:val="0"/>
          <w:bCs/>
          <w:sz w:val="32"/>
          <w:szCs w:val="32"/>
          <w:lang w:val="en-US" w:eastAsia="zh-CN"/>
        </w:rPr>
        <w:t>1634.03</w:t>
      </w:r>
      <w:r>
        <w:rPr>
          <w:rFonts w:hint="eastAsia" w:ascii="仿宋_GB2312" w:hAnsi="仿宋_GB2312" w:eastAsia="仿宋_GB2312" w:cs="仿宋_GB2312"/>
          <w:b w:val="0"/>
          <w:bCs/>
          <w:sz w:val="32"/>
          <w:szCs w:val="32"/>
          <w:lang w:val="en-US" w:eastAsia="zh-CN"/>
        </w:rPr>
        <w:t>万</w:t>
      </w:r>
      <w:r>
        <w:rPr>
          <w:rFonts w:hint="eastAsia" w:ascii="仿宋_GB2312" w:hAnsi="仿宋_GB2312" w:eastAsia="仿宋_GB2312" w:cs="仿宋_GB2312"/>
          <w:b w:val="0"/>
          <w:bCs/>
          <w:sz w:val="32"/>
          <w:szCs w:val="32"/>
        </w:rPr>
        <w:t>元，完成预算100%。</w:t>
      </w:r>
    </w:p>
    <w:p>
      <w:pPr>
        <w:pStyle w:val="8"/>
        <w:ind w:firstLine="640"/>
        <w:rPr>
          <w:rFonts w:hint="eastAsia" w:ascii="仿宋_GB2312" w:hAnsi="仿宋_GB2312" w:eastAsia="仿宋_GB2312" w:cs="仿宋_GB2312"/>
          <w:b w:val="0"/>
          <w:bCs/>
          <w:sz w:val="32"/>
          <w:szCs w:val="32"/>
        </w:rPr>
      </w:pPr>
      <w:r>
        <w:rPr>
          <w:rFonts w:hint="eastAsia" w:hAnsi="仿宋_GB2312" w:cs="仿宋_GB2312"/>
          <w:b w:val="0"/>
          <w:bCs/>
          <w:sz w:val="32"/>
          <w:szCs w:val="32"/>
          <w:lang w:val="en-US" w:eastAsia="zh-CN"/>
        </w:rPr>
        <w:t>11.</w:t>
      </w:r>
      <w:r>
        <w:rPr>
          <w:rFonts w:hint="eastAsia" w:ascii="仿宋_GB2312" w:hAnsi="仿宋_GB2312" w:eastAsia="仿宋_GB2312" w:cs="仿宋_GB2312"/>
          <w:b w:val="0"/>
          <w:bCs/>
          <w:sz w:val="32"/>
          <w:szCs w:val="32"/>
        </w:rPr>
        <w:t>交通运输支出（类）公路水路运输（款）行政运行（项）:支出决算为</w:t>
      </w:r>
      <w:r>
        <w:rPr>
          <w:rFonts w:hint="eastAsia" w:hAnsi="仿宋_GB2312" w:cs="仿宋_GB2312"/>
          <w:b w:val="0"/>
          <w:bCs/>
          <w:sz w:val="32"/>
          <w:szCs w:val="32"/>
          <w:lang w:val="en-US" w:eastAsia="zh-CN"/>
        </w:rPr>
        <w:t>986.59</w:t>
      </w:r>
      <w:r>
        <w:rPr>
          <w:rFonts w:hint="eastAsia" w:ascii="仿宋_GB2312" w:hAnsi="仿宋_GB2312" w:eastAsia="仿宋_GB2312" w:cs="仿宋_GB2312"/>
          <w:b w:val="0"/>
          <w:bCs/>
          <w:sz w:val="32"/>
          <w:szCs w:val="32"/>
        </w:rPr>
        <w:t>万元，完成预算</w:t>
      </w:r>
      <w:r>
        <w:rPr>
          <w:rFonts w:hint="eastAsia" w:ascii="仿宋_GB2312" w:hAnsi="仿宋_GB2312" w:eastAsia="仿宋_GB2312" w:cs="仿宋_GB2312"/>
          <w:b w:val="0"/>
          <w:bCs/>
          <w:sz w:val="32"/>
          <w:szCs w:val="32"/>
          <w:lang w:val="en-US" w:eastAsia="zh-CN"/>
        </w:rPr>
        <w:t>100</w:t>
      </w:r>
      <w:r>
        <w:rPr>
          <w:rFonts w:hint="eastAsia" w:ascii="仿宋_GB2312" w:hAnsi="仿宋_GB2312" w:eastAsia="仿宋_GB2312" w:cs="仿宋_GB2312"/>
          <w:b w:val="0"/>
          <w:bCs/>
          <w:sz w:val="32"/>
          <w:szCs w:val="32"/>
        </w:rPr>
        <w:t>%。</w:t>
      </w:r>
    </w:p>
    <w:p>
      <w:pPr>
        <w:ind w:firstLine="640"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12</w:t>
      </w:r>
      <w:r>
        <w:rPr>
          <w:rFonts w:hint="eastAsia" w:ascii="仿宋_GB2312" w:hAnsi="仿宋_GB2312" w:eastAsia="仿宋_GB2312" w:cs="仿宋_GB2312"/>
          <w:b w:val="0"/>
          <w:bCs/>
          <w:sz w:val="32"/>
          <w:szCs w:val="32"/>
        </w:rPr>
        <w:t>.交通运输支出（类）公路水路运输（款）公路养护（项）:支出决算为</w:t>
      </w:r>
      <w:r>
        <w:rPr>
          <w:rFonts w:hint="eastAsia" w:ascii="仿宋_GB2312" w:hAnsi="仿宋_GB2312" w:eastAsia="仿宋_GB2312" w:cs="仿宋_GB2312"/>
          <w:b w:val="0"/>
          <w:bCs/>
          <w:sz w:val="32"/>
          <w:szCs w:val="32"/>
          <w:lang w:val="en-US" w:eastAsia="zh-CN"/>
        </w:rPr>
        <w:t>662.41</w:t>
      </w:r>
      <w:r>
        <w:rPr>
          <w:rFonts w:hint="eastAsia" w:ascii="仿宋_GB2312" w:hAnsi="仿宋_GB2312" w:eastAsia="仿宋_GB2312" w:cs="仿宋_GB2312"/>
          <w:b w:val="0"/>
          <w:bCs/>
          <w:sz w:val="32"/>
          <w:szCs w:val="32"/>
        </w:rPr>
        <w:t>万元，完成预算</w:t>
      </w:r>
      <w:r>
        <w:rPr>
          <w:rFonts w:hint="eastAsia" w:ascii="仿宋_GB2312" w:hAnsi="仿宋_GB2312" w:eastAsia="仿宋_GB2312" w:cs="仿宋_GB2312"/>
          <w:b w:val="0"/>
          <w:bCs/>
          <w:sz w:val="32"/>
          <w:szCs w:val="32"/>
          <w:lang w:val="en-US" w:eastAsia="zh-CN"/>
        </w:rPr>
        <w:t>100</w:t>
      </w:r>
      <w:r>
        <w:rPr>
          <w:rFonts w:hint="eastAsia" w:ascii="仿宋_GB2312" w:hAnsi="仿宋_GB2312" w:eastAsia="仿宋_GB2312" w:cs="仿宋_GB2312"/>
          <w:b w:val="0"/>
          <w:bCs/>
          <w:sz w:val="32"/>
          <w:szCs w:val="32"/>
        </w:rPr>
        <w:t>%。</w:t>
      </w:r>
    </w:p>
    <w:p>
      <w:pPr>
        <w:ind w:firstLine="640"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13.</w:t>
      </w:r>
      <w:r>
        <w:rPr>
          <w:rFonts w:hint="eastAsia" w:ascii="仿宋_GB2312" w:hAnsi="仿宋_GB2312" w:eastAsia="仿宋_GB2312" w:cs="仿宋_GB2312"/>
          <w:b w:val="0"/>
          <w:bCs/>
          <w:sz w:val="32"/>
          <w:szCs w:val="32"/>
        </w:rPr>
        <w:t>交通运输支出（类）公路水路运输（款）公路运输管理（项）:支出决算为</w:t>
      </w:r>
      <w:r>
        <w:rPr>
          <w:rFonts w:hint="eastAsia" w:ascii="仿宋_GB2312" w:hAnsi="仿宋_GB2312" w:eastAsia="仿宋_GB2312" w:cs="仿宋_GB2312"/>
          <w:b w:val="0"/>
          <w:bCs/>
          <w:sz w:val="32"/>
          <w:szCs w:val="32"/>
          <w:lang w:val="en-US" w:eastAsia="zh-CN"/>
        </w:rPr>
        <w:t>28.19</w:t>
      </w:r>
      <w:r>
        <w:rPr>
          <w:rFonts w:hint="eastAsia" w:ascii="仿宋_GB2312" w:hAnsi="仿宋_GB2312" w:eastAsia="仿宋_GB2312" w:cs="仿宋_GB2312"/>
          <w:b w:val="0"/>
          <w:bCs/>
          <w:sz w:val="32"/>
          <w:szCs w:val="32"/>
        </w:rPr>
        <w:t>万元，完成预算</w:t>
      </w:r>
      <w:r>
        <w:rPr>
          <w:rFonts w:hint="eastAsia" w:ascii="仿宋_GB2312" w:hAnsi="仿宋_GB2312" w:eastAsia="仿宋_GB2312" w:cs="仿宋_GB2312"/>
          <w:b w:val="0"/>
          <w:bCs/>
          <w:sz w:val="32"/>
          <w:szCs w:val="32"/>
          <w:lang w:val="en-US" w:eastAsia="zh-CN"/>
        </w:rPr>
        <w:t>100</w:t>
      </w:r>
      <w:r>
        <w:rPr>
          <w:rFonts w:hint="eastAsia" w:ascii="仿宋_GB2312" w:hAnsi="仿宋_GB2312" w:eastAsia="仿宋_GB2312" w:cs="仿宋_GB2312"/>
          <w:b w:val="0"/>
          <w:bCs/>
          <w:sz w:val="32"/>
          <w:szCs w:val="32"/>
        </w:rPr>
        <w:t>%。</w:t>
      </w:r>
    </w:p>
    <w:p>
      <w:pPr>
        <w:ind w:firstLine="640"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14</w:t>
      </w:r>
      <w:r>
        <w:rPr>
          <w:rFonts w:hint="eastAsia" w:ascii="仿宋_GB2312" w:hAnsi="仿宋_GB2312" w:eastAsia="仿宋_GB2312" w:cs="仿宋_GB2312"/>
          <w:b w:val="0"/>
          <w:bCs/>
          <w:sz w:val="32"/>
          <w:szCs w:val="32"/>
        </w:rPr>
        <w:t>.交通运输支出（类）公路水路运输（款）其他公路水路运输支出（项）:支出决算为</w:t>
      </w:r>
      <w:r>
        <w:rPr>
          <w:rFonts w:hint="eastAsia" w:ascii="仿宋_GB2312" w:hAnsi="仿宋_GB2312" w:eastAsia="仿宋_GB2312" w:cs="仿宋_GB2312"/>
          <w:b w:val="0"/>
          <w:bCs/>
          <w:sz w:val="32"/>
          <w:szCs w:val="32"/>
          <w:lang w:val="en-US" w:eastAsia="zh-CN"/>
        </w:rPr>
        <w:t>1707.56</w:t>
      </w:r>
      <w:r>
        <w:rPr>
          <w:rFonts w:hint="eastAsia" w:ascii="仿宋_GB2312" w:hAnsi="仿宋_GB2312" w:eastAsia="仿宋_GB2312" w:cs="仿宋_GB2312"/>
          <w:b w:val="0"/>
          <w:bCs/>
          <w:sz w:val="32"/>
          <w:szCs w:val="32"/>
        </w:rPr>
        <w:t>万元，完成预算</w:t>
      </w:r>
      <w:r>
        <w:rPr>
          <w:rFonts w:hint="eastAsia" w:ascii="仿宋_GB2312" w:hAnsi="仿宋_GB2312" w:eastAsia="仿宋_GB2312" w:cs="仿宋_GB2312"/>
          <w:b w:val="0"/>
          <w:bCs/>
          <w:sz w:val="32"/>
          <w:szCs w:val="32"/>
          <w:lang w:val="en-US" w:eastAsia="zh-CN"/>
        </w:rPr>
        <w:t>100</w:t>
      </w:r>
      <w:r>
        <w:rPr>
          <w:rFonts w:hint="eastAsia" w:ascii="仿宋_GB2312" w:hAnsi="仿宋_GB2312" w:eastAsia="仿宋_GB2312" w:cs="仿宋_GB2312"/>
          <w:b w:val="0"/>
          <w:bCs/>
          <w:sz w:val="32"/>
          <w:szCs w:val="32"/>
        </w:rPr>
        <w:t>%。</w:t>
      </w:r>
    </w:p>
    <w:p>
      <w:pPr>
        <w:ind w:firstLine="640" w:firstLineChars="200"/>
        <w:rPr>
          <w:rFonts w:hint="eastAsia"/>
        </w:rPr>
      </w:pPr>
      <w:r>
        <w:rPr>
          <w:rFonts w:hint="eastAsia" w:ascii="仿宋_GB2312" w:hAnsi="仿宋_GB2312" w:eastAsia="仿宋_GB2312" w:cs="仿宋_GB2312"/>
          <w:b w:val="0"/>
          <w:bCs/>
          <w:sz w:val="32"/>
          <w:szCs w:val="32"/>
          <w:lang w:val="en-US" w:eastAsia="zh-CN"/>
        </w:rPr>
        <w:t>15.</w:t>
      </w:r>
      <w:r>
        <w:rPr>
          <w:rFonts w:hint="eastAsia" w:ascii="仿宋_GB2312" w:hAnsi="仿宋_GB2312" w:eastAsia="仿宋_GB2312" w:cs="仿宋_GB2312"/>
          <w:b w:val="0"/>
          <w:bCs/>
          <w:sz w:val="32"/>
          <w:szCs w:val="32"/>
        </w:rPr>
        <w:t>交通运输支出（类）</w:t>
      </w:r>
      <w:r>
        <w:rPr>
          <w:rFonts w:hint="eastAsia" w:ascii="仿宋_GB2312" w:hAnsi="仿宋_GB2312" w:eastAsia="仿宋_GB2312" w:cs="仿宋_GB2312"/>
          <w:b w:val="0"/>
          <w:bCs/>
          <w:sz w:val="32"/>
          <w:szCs w:val="32"/>
          <w:lang w:eastAsia="zh-CN"/>
        </w:rPr>
        <w:t>铁路</w:t>
      </w:r>
      <w:r>
        <w:rPr>
          <w:rFonts w:hint="eastAsia" w:ascii="仿宋_GB2312" w:hAnsi="仿宋_GB2312" w:eastAsia="仿宋_GB2312" w:cs="仿宋_GB2312"/>
          <w:b w:val="0"/>
          <w:bCs/>
          <w:sz w:val="32"/>
          <w:szCs w:val="32"/>
        </w:rPr>
        <w:t>运输（款）其他</w:t>
      </w:r>
      <w:r>
        <w:rPr>
          <w:rFonts w:hint="eastAsia" w:ascii="仿宋_GB2312" w:hAnsi="仿宋_GB2312" w:eastAsia="仿宋_GB2312" w:cs="仿宋_GB2312"/>
          <w:b w:val="0"/>
          <w:bCs/>
          <w:sz w:val="32"/>
          <w:szCs w:val="32"/>
          <w:lang w:eastAsia="zh-CN"/>
        </w:rPr>
        <w:t>铁路</w:t>
      </w:r>
      <w:r>
        <w:rPr>
          <w:rFonts w:hint="eastAsia" w:ascii="仿宋_GB2312" w:hAnsi="仿宋_GB2312" w:eastAsia="仿宋_GB2312" w:cs="仿宋_GB2312"/>
          <w:b w:val="0"/>
          <w:bCs/>
          <w:sz w:val="32"/>
          <w:szCs w:val="32"/>
        </w:rPr>
        <w:t>运输支出（项）:支出决算为</w:t>
      </w:r>
      <w:r>
        <w:rPr>
          <w:rFonts w:hint="eastAsia" w:ascii="仿宋_GB2312" w:hAnsi="仿宋_GB2312" w:eastAsia="仿宋_GB2312" w:cs="仿宋_GB2312"/>
          <w:b w:val="0"/>
          <w:bCs/>
          <w:sz w:val="32"/>
          <w:szCs w:val="32"/>
          <w:lang w:val="en-US" w:eastAsia="zh-CN"/>
        </w:rPr>
        <w:t>1600</w:t>
      </w:r>
      <w:r>
        <w:rPr>
          <w:rFonts w:hint="eastAsia" w:ascii="仿宋_GB2312" w:hAnsi="仿宋_GB2312" w:eastAsia="仿宋_GB2312" w:cs="仿宋_GB2312"/>
          <w:b w:val="0"/>
          <w:bCs/>
          <w:sz w:val="32"/>
          <w:szCs w:val="32"/>
        </w:rPr>
        <w:t>万元，完成预算</w:t>
      </w:r>
      <w:r>
        <w:rPr>
          <w:rFonts w:hint="eastAsia" w:ascii="仿宋_GB2312" w:hAnsi="仿宋_GB2312" w:eastAsia="仿宋_GB2312" w:cs="仿宋_GB2312"/>
          <w:b w:val="0"/>
          <w:bCs/>
          <w:sz w:val="32"/>
          <w:szCs w:val="32"/>
          <w:lang w:val="en-US" w:eastAsia="zh-CN"/>
        </w:rPr>
        <w:t>100</w:t>
      </w:r>
      <w:r>
        <w:rPr>
          <w:rFonts w:hint="eastAsia" w:ascii="仿宋_GB2312" w:hAnsi="仿宋_GB2312" w:eastAsia="仿宋_GB2312" w:cs="仿宋_GB2312"/>
          <w:b w:val="0"/>
          <w:bCs/>
          <w:sz w:val="32"/>
          <w:szCs w:val="32"/>
        </w:rPr>
        <w:t>%。</w:t>
      </w:r>
    </w:p>
    <w:p>
      <w:pPr>
        <w:ind w:firstLine="640"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16</w:t>
      </w:r>
      <w:r>
        <w:rPr>
          <w:rFonts w:hint="eastAsia" w:ascii="仿宋_GB2312" w:hAnsi="仿宋_GB2312" w:eastAsia="仿宋_GB2312" w:cs="仿宋_GB2312"/>
          <w:b w:val="0"/>
          <w:bCs/>
          <w:sz w:val="32"/>
          <w:szCs w:val="32"/>
        </w:rPr>
        <w:t>.交通运输支出（类）</w:t>
      </w:r>
      <w:r>
        <w:rPr>
          <w:rFonts w:hint="eastAsia" w:ascii="仿宋_GB2312" w:hAnsi="仿宋_GB2312" w:eastAsia="仿宋_GB2312" w:cs="仿宋_GB2312"/>
          <w:b w:val="0"/>
          <w:bCs/>
          <w:sz w:val="32"/>
          <w:szCs w:val="32"/>
          <w:lang w:eastAsia="zh-CN"/>
        </w:rPr>
        <w:t>民用航空运输</w:t>
      </w:r>
      <w:r>
        <w:rPr>
          <w:rFonts w:hint="eastAsia" w:ascii="仿宋_GB2312" w:hAnsi="仿宋_GB2312" w:eastAsia="仿宋_GB2312" w:cs="仿宋_GB2312"/>
          <w:b w:val="0"/>
          <w:bCs/>
          <w:sz w:val="32"/>
          <w:szCs w:val="32"/>
        </w:rPr>
        <w:t>（款）</w:t>
      </w:r>
      <w:r>
        <w:rPr>
          <w:rFonts w:hint="eastAsia" w:ascii="仿宋_GB2312" w:hAnsi="仿宋_GB2312" w:eastAsia="仿宋_GB2312" w:cs="仿宋_GB2312"/>
          <w:b w:val="0"/>
          <w:bCs/>
          <w:sz w:val="32"/>
          <w:szCs w:val="32"/>
          <w:lang w:eastAsia="zh-CN"/>
        </w:rPr>
        <w:t>其他民用航空运输支出</w:t>
      </w:r>
      <w:r>
        <w:rPr>
          <w:rFonts w:hint="eastAsia" w:ascii="仿宋_GB2312" w:hAnsi="仿宋_GB2312" w:eastAsia="仿宋_GB2312" w:cs="仿宋_GB2312"/>
          <w:b w:val="0"/>
          <w:bCs/>
          <w:sz w:val="32"/>
          <w:szCs w:val="32"/>
        </w:rPr>
        <w:t>（项）:支出决算为</w:t>
      </w:r>
      <w:r>
        <w:rPr>
          <w:rFonts w:hint="eastAsia" w:ascii="仿宋_GB2312" w:hAnsi="仿宋_GB2312" w:eastAsia="仿宋_GB2312" w:cs="仿宋_GB2312"/>
          <w:b w:val="0"/>
          <w:bCs/>
          <w:sz w:val="32"/>
          <w:szCs w:val="32"/>
          <w:lang w:val="en-US" w:eastAsia="zh-CN"/>
        </w:rPr>
        <w:t>3213.06</w:t>
      </w:r>
      <w:r>
        <w:rPr>
          <w:rFonts w:hint="eastAsia" w:ascii="仿宋_GB2312" w:hAnsi="仿宋_GB2312" w:eastAsia="仿宋_GB2312" w:cs="仿宋_GB2312"/>
          <w:b w:val="0"/>
          <w:bCs/>
          <w:sz w:val="32"/>
          <w:szCs w:val="32"/>
        </w:rPr>
        <w:t>万元，完成</w:t>
      </w:r>
      <w:r>
        <w:rPr>
          <w:rFonts w:hint="eastAsia" w:ascii="仿宋_GB2312" w:hAnsi="仿宋_GB2312" w:eastAsia="仿宋_GB2312" w:cs="仿宋_GB2312"/>
          <w:b w:val="0"/>
          <w:bCs/>
          <w:sz w:val="32"/>
          <w:szCs w:val="32"/>
          <w:lang w:val="en-US" w:eastAsia="zh-CN"/>
        </w:rPr>
        <w:t>预算100</w:t>
      </w:r>
      <w:r>
        <w:rPr>
          <w:rFonts w:hint="eastAsia" w:ascii="仿宋_GB2312" w:hAnsi="仿宋_GB2312" w:eastAsia="仿宋_GB2312" w:cs="仿宋_GB2312"/>
          <w:b w:val="0"/>
          <w:bCs/>
          <w:sz w:val="32"/>
          <w:szCs w:val="32"/>
        </w:rPr>
        <w:t>%。</w:t>
      </w:r>
    </w:p>
    <w:p>
      <w:pPr>
        <w:ind w:firstLine="640" w:firstLineChars="200"/>
        <w:rPr>
          <w:rFonts w:hint="eastAsia" w:ascii="仿宋_GB2312" w:hAnsi="仿宋_GB2312" w:eastAsia="仿宋_GB2312" w:cs="仿宋_GB2312"/>
          <w:b w:val="0"/>
          <w:bCs/>
          <w:sz w:val="32"/>
          <w:szCs w:val="32"/>
        </w:rPr>
      </w:pPr>
      <w:r>
        <w:rPr>
          <w:rFonts w:hint="eastAsia" w:hAnsi="仿宋_GB2312" w:cs="仿宋_GB2312"/>
          <w:b w:val="0"/>
          <w:bCs/>
          <w:sz w:val="32"/>
          <w:szCs w:val="32"/>
          <w:lang w:val="en-US" w:eastAsia="zh-CN"/>
        </w:rPr>
        <w:t>17.</w:t>
      </w:r>
      <w:r>
        <w:rPr>
          <w:rFonts w:hint="eastAsia" w:ascii="仿宋_GB2312" w:hAnsi="仿宋_GB2312" w:eastAsia="仿宋_GB2312" w:cs="仿宋_GB2312"/>
          <w:b w:val="0"/>
          <w:bCs/>
          <w:sz w:val="32"/>
          <w:szCs w:val="32"/>
        </w:rPr>
        <w:t>交通运输支出（类）</w:t>
      </w:r>
      <w:r>
        <w:rPr>
          <w:rFonts w:hint="eastAsia" w:ascii="仿宋_GB2312" w:hAnsi="仿宋_GB2312" w:eastAsia="仿宋_GB2312" w:cs="仿宋_GB2312"/>
          <w:b w:val="0"/>
          <w:bCs/>
          <w:sz w:val="32"/>
          <w:szCs w:val="32"/>
          <w:lang w:eastAsia="zh-CN"/>
        </w:rPr>
        <w:t>其他交通运输支出</w:t>
      </w:r>
      <w:r>
        <w:rPr>
          <w:rFonts w:hint="eastAsia" w:ascii="仿宋_GB2312" w:hAnsi="仿宋_GB2312" w:eastAsia="仿宋_GB2312" w:cs="仿宋_GB2312"/>
          <w:b w:val="0"/>
          <w:bCs/>
          <w:sz w:val="32"/>
          <w:szCs w:val="32"/>
        </w:rPr>
        <w:t>（款）</w:t>
      </w:r>
      <w:r>
        <w:rPr>
          <w:rFonts w:hint="eastAsia" w:ascii="仿宋_GB2312" w:hAnsi="仿宋_GB2312" w:eastAsia="仿宋_GB2312" w:cs="仿宋_GB2312"/>
          <w:b w:val="0"/>
          <w:bCs/>
          <w:sz w:val="32"/>
          <w:szCs w:val="32"/>
          <w:lang w:eastAsia="zh-CN"/>
        </w:rPr>
        <w:t>其他交通运输支出</w:t>
      </w:r>
      <w:r>
        <w:rPr>
          <w:rFonts w:hint="eastAsia" w:ascii="仿宋_GB2312" w:hAnsi="仿宋_GB2312" w:eastAsia="仿宋_GB2312" w:cs="仿宋_GB2312"/>
          <w:b w:val="0"/>
          <w:bCs/>
          <w:sz w:val="32"/>
          <w:szCs w:val="32"/>
        </w:rPr>
        <w:t>（项）:支出决算为</w:t>
      </w:r>
      <w:r>
        <w:rPr>
          <w:rFonts w:hint="eastAsia" w:ascii="仿宋_GB2312" w:hAnsi="仿宋_GB2312" w:eastAsia="仿宋_GB2312" w:cs="仿宋_GB2312"/>
          <w:b w:val="0"/>
          <w:bCs/>
          <w:sz w:val="32"/>
          <w:szCs w:val="32"/>
          <w:lang w:val="en-US" w:eastAsia="zh-CN"/>
        </w:rPr>
        <w:t>320</w:t>
      </w:r>
      <w:r>
        <w:rPr>
          <w:rFonts w:hint="eastAsia" w:ascii="仿宋_GB2312" w:hAnsi="仿宋_GB2312" w:eastAsia="仿宋_GB2312" w:cs="仿宋_GB2312"/>
          <w:b w:val="0"/>
          <w:bCs/>
          <w:sz w:val="32"/>
          <w:szCs w:val="32"/>
        </w:rPr>
        <w:t>万元，完成</w:t>
      </w:r>
      <w:r>
        <w:rPr>
          <w:rFonts w:hint="eastAsia" w:ascii="仿宋_GB2312" w:hAnsi="仿宋_GB2312" w:eastAsia="仿宋_GB2312" w:cs="仿宋_GB2312"/>
          <w:b w:val="0"/>
          <w:bCs/>
          <w:sz w:val="32"/>
          <w:szCs w:val="32"/>
          <w:lang w:val="en-US" w:eastAsia="zh-CN"/>
        </w:rPr>
        <w:t>预算100</w:t>
      </w:r>
      <w:r>
        <w:rPr>
          <w:rFonts w:hint="eastAsia" w:ascii="仿宋_GB2312" w:hAnsi="仿宋_GB2312" w:eastAsia="仿宋_GB2312" w:cs="仿宋_GB2312"/>
          <w:b w:val="0"/>
          <w:bCs/>
          <w:sz w:val="32"/>
          <w:szCs w:val="32"/>
        </w:rPr>
        <w:t>%。</w:t>
      </w:r>
    </w:p>
    <w:p>
      <w:pPr>
        <w:ind w:firstLine="640"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18</w:t>
      </w:r>
      <w:r>
        <w:rPr>
          <w:rFonts w:hint="eastAsia" w:ascii="仿宋_GB2312" w:hAnsi="仿宋_GB2312" w:eastAsia="仿宋_GB2312" w:cs="仿宋_GB2312"/>
          <w:b w:val="0"/>
          <w:bCs/>
          <w:sz w:val="32"/>
          <w:szCs w:val="32"/>
        </w:rPr>
        <w:t>.住房保障支出（类）住房改革支出（款）住房公积金（项）:支出决算为</w:t>
      </w:r>
      <w:r>
        <w:rPr>
          <w:rFonts w:hint="eastAsia" w:ascii="仿宋_GB2312" w:hAnsi="仿宋_GB2312" w:eastAsia="仿宋_GB2312" w:cs="仿宋_GB2312"/>
          <w:b w:val="0"/>
          <w:bCs/>
          <w:sz w:val="32"/>
          <w:szCs w:val="32"/>
          <w:lang w:val="en-US" w:eastAsia="zh-CN"/>
        </w:rPr>
        <w:t>89.04</w:t>
      </w:r>
      <w:r>
        <w:rPr>
          <w:rFonts w:hint="eastAsia" w:ascii="仿宋_GB2312" w:hAnsi="仿宋_GB2312" w:eastAsia="仿宋_GB2312" w:cs="仿宋_GB2312"/>
          <w:b w:val="0"/>
          <w:bCs/>
          <w:sz w:val="32"/>
          <w:szCs w:val="32"/>
        </w:rPr>
        <w:t>万元，完成预算100%。</w:t>
      </w:r>
    </w:p>
    <w:p>
      <w:pPr>
        <w:pStyle w:val="8"/>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 xml:space="preserve">   </w:t>
      </w:r>
      <w:r>
        <w:rPr>
          <w:rFonts w:hint="eastAsia" w:hAnsi="仿宋_GB2312" w:cs="仿宋_GB2312"/>
          <w:b w:val="0"/>
          <w:bCs/>
          <w:sz w:val="32"/>
          <w:szCs w:val="32"/>
          <w:lang w:val="en-US" w:eastAsia="zh-CN"/>
        </w:rPr>
        <w:t>19</w:t>
      </w:r>
      <w:r>
        <w:rPr>
          <w:rFonts w:hint="eastAsia" w:ascii="仿宋_GB2312" w:hAnsi="仿宋_GB2312" w:eastAsia="仿宋_GB2312" w:cs="仿宋_GB2312"/>
          <w:b w:val="0"/>
          <w:bCs/>
          <w:sz w:val="32"/>
          <w:szCs w:val="32"/>
          <w:lang w:val="en-US" w:eastAsia="zh-CN"/>
        </w:rPr>
        <w:t>.</w:t>
      </w:r>
      <w:r>
        <w:rPr>
          <w:rFonts w:hint="eastAsia" w:hAnsi="仿宋_GB2312" w:cs="仿宋_GB2312"/>
          <w:b w:val="0"/>
          <w:bCs/>
          <w:sz w:val="32"/>
          <w:szCs w:val="32"/>
          <w:lang w:val="en-US" w:eastAsia="zh-CN"/>
        </w:rPr>
        <w:t>其他支出</w:t>
      </w:r>
      <w:r>
        <w:rPr>
          <w:rFonts w:hint="eastAsia" w:ascii="仿宋_GB2312" w:hAnsi="仿宋_GB2312" w:eastAsia="仿宋_GB2312" w:cs="仿宋_GB2312"/>
          <w:b w:val="0"/>
          <w:bCs/>
          <w:sz w:val="32"/>
          <w:szCs w:val="32"/>
          <w:lang w:val="en-US" w:eastAsia="zh-CN"/>
        </w:rPr>
        <w:t>（类）</w:t>
      </w:r>
      <w:r>
        <w:rPr>
          <w:rFonts w:hint="eastAsia" w:hAnsi="仿宋_GB2312" w:cs="仿宋_GB2312"/>
          <w:b w:val="0"/>
          <w:bCs/>
          <w:sz w:val="32"/>
          <w:szCs w:val="32"/>
          <w:lang w:val="en-US" w:eastAsia="zh-CN"/>
        </w:rPr>
        <w:t>其他支出</w:t>
      </w:r>
      <w:r>
        <w:rPr>
          <w:rFonts w:hint="eastAsia" w:ascii="仿宋_GB2312" w:hAnsi="仿宋_GB2312" w:eastAsia="仿宋_GB2312" w:cs="仿宋_GB2312"/>
          <w:b w:val="0"/>
          <w:bCs/>
          <w:sz w:val="32"/>
          <w:szCs w:val="32"/>
          <w:lang w:val="en-US" w:eastAsia="zh-CN"/>
        </w:rPr>
        <w:t>（款）</w:t>
      </w:r>
      <w:r>
        <w:rPr>
          <w:rFonts w:hint="eastAsia" w:hAnsi="仿宋_GB2312" w:cs="仿宋_GB2312"/>
          <w:b w:val="0"/>
          <w:bCs/>
          <w:sz w:val="32"/>
          <w:szCs w:val="32"/>
          <w:lang w:val="en-US" w:eastAsia="zh-CN"/>
        </w:rPr>
        <w:t>其他支出</w:t>
      </w:r>
      <w:r>
        <w:rPr>
          <w:rFonts w:hint="eastAsia" w:ascii="仿宋_GB2312" w:hAnsi="仿宋_GB2312" w:eastAsia="仿宋_GB2312" w:cs="仿宋_GB2312"/>
          <w:b w:val="0"/>
          <w:bCs/>
          <w:sz w:val="32"/>
          <w:szCs w:val="32"/>
          <w:lang w:val="en-US" w:eastAsia="zh-CN"/>
        </w:rPr>
        <w:t>（项）：支出决算</w:t>
      </w:r>
      <w:r>
        <w:rPr>
          <w:rFonts w:hint="eastAsia" w:hAnsi="仿宋_GB2312" w:cs="仿宋_GB2312"/>
          <w:b w:val="0"/>
          <w:bCs/>
          <w:sz w:val="32"/>
          <w:szCs w:val="32"/>
          <w:lang w:val="en-US" w:eastAsia="zh-CN"/>
        </w:rPr>
        <w:t>106.36</w:t>
      </w:r>
      <w:r>
        <w:rPr>
          <w:rFonts w:hint="eastAsia" w:ascii="仿宋_GB2312" w:hAnsi="仿宋_GB2312" w:eastAsia="仿宋_GB2312" w:cs="仿宋_GB2312"/>
          <w:b w:val="0"/>
          <w:bCs/>
          <w:sz w:val="32"/>
          <w:szCs w:val="32"/>
          <w:lang w:val="en-US" w:eastAsia="zh-CN"/>
        </w:rPr>
        <w:t>万元，</w:t>
      </w:r>
      <w:r>
        <w:rPr>
          <w:rFonts w:hint="eastAsia" w:ascii="仿宋_GB2312" w:hAnsi="仿宋_GB2312" w:eastAsia="仿宋_GB2312" w:cs="仿宋_GB2312"/>
          <w:b w:val="0"/>
          <w:bCs/>
          <w:sz w:val="32"/>
          <w:szCs w:val="32"/>
        </w:rPr>
        <w:t>完成预算100%</w:t>
      </w:r>
      <w:r>
        <w:rPr>
          <w:rFonts w:hint="eastAsia" w:ascii="仿宋_GB2312" w:hAnsi="仿宋_GB2312" w:eastAsia="仿宋_GB2312" w:cs="仿宋_GB2312"/>
          <w:b w:val="0"/>
          <w:bCs/>
          <w:sz w:val="32"/>
          <w:szCs w:val="32"/>
          <w:lang w:eastAsia="zh-CN"/>
        </w:rPr>
        <w:t>。</w:t>
      </w:r>
    </w:p>
    <w:p>
      <w:pPr>
        <w:tabs>
          <w:tab w:val="right" w:pos="8306"/>
        </w:tabs>
        <w:spacing w:line="600" w:lineRule="exact"/>
        <w:ind w:firstLine="640"/>
        <w:outlineLvl w:val="1"/>
        <w:rPr>
          <w:rStyle w:val="28"/>
        </w:rPr>
      </w:pPr>
      <w:bookmarkStart w:id="45" w:name="_Toc15377214"/>
      <w:bookmarkStart w:id="46" w:name="_Toc15396608"/>
      <w:bookmarkStart w:id="47" w:name="_Toc13753"/>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8"/>
          <w:rFonts w:hint="eastAsia" w:ascii="黑体" w:hAnsi="黑体" w:eastAsia="黑体"/>
          <w:b w:val="0"/>
        </w:rPr>
        <w:t>般公共预算财政拨款基本支出决算情况说明</w:t>
      </w:r>
      <w:bookmarkEnd w:id="45"/>
      <w:bookmarkEnd w:id="46"/>
      <w:bookmarkEnd w:id="47"/>
      <w:r>
        <w:rPr>
          <w:rStyle w:val="28"/>
          <w:rFonts w:ascii="黑体" w:hAnsi="黑体" w:eastAsia="黑体"/>
          <w:b w:val="0"/>
        </w:rPr>
        <w:tab/>
      </w:r>
    </w:p>
    <w:p>
      <w:pPr>
        <w:spacing w:line="600" w:lineRule="exact"/>
        <w:ind w:firstLine="645"/>
        <w:rPr>
          <w:rFonts w:hint="eastAsia" w:ascii="仿宋_GB2312" w:hAnsi="仿宋_GB2312" w:eastAsia="仿宋_GB2312" w:cs="仿宋_GB2312"/>
          <w:sz w:val="32"/>
          <w:szCs w:val="32"/>
        </w:rPr>
      </w:pPr>
      <w:r>
        <w:rPr>
          <w:rFonts w:hint="eastAsia" w:ascii="Times New Roman" w:hAnsi="Times New Roman" w:eastAsia="仿宋_GB2312" w:cs="仿宋_GB2312"/>
          <w:color w:val="auto"/>
          <w:kern w:val="2"/>
          <w:sz w:val="32"/>
          <w:szCs w:val="32"/>
          <w:highlight w:val="none"/>
          <w:lang w:val="en-US" w:eastAsia="zh-CN" w:bidi="ar-SA"/>
        </w:rPr>
        <w:t>2024年度一般公共预算财政拨款基本支出</w:t>
      </w:r>
      <w:r>
        <w:rPr>
          <w:rFonts w:hint="eastAsia" w:ascii="仿宋_GB2312" w:hAnsi="仿宋_GB2312" w:eastAsia="仿宋_GB2312" w:cs="仿宋_GB2312"/>
          <w:sz w:val="32"/>
          <w:szCs w:val="32"/>
        </w:rPr>
        <w:t>1452.23</w:t>
      </w:r>
      <w:r>
        <w:rPr>
          <w:rFonts w:hint="eastAsia" w:ascii="仿宋_GB2312" w:hAnsi="仿宋_GB2312" w:eastAsia="仿宋_GB2312" w:cs="仿宋_GB2312"/>
          <w:color w:val="auto"/>
          <w:kern w:val="2"/>
          <w:sz w:val="32"/>
          <w:szCs w:val="32"/>
          <w:highlight w:val="none"/>
          <w:lang w:val="en-US" w:eastAsia="zh-CN" w:bidi="ar-SA"/>
        </w:rPr>
        <w:t>万</w:t>
      </w:r>
      <w:r>
        <w:rPr>
          <w:rFonts w:hint="eastAsia" w:ascii="Times New Roman" w:hAnsi="Times New Roman" w:eastAsia="仿宋_GB2312" w:cs="仿宋_GB2312"/>
          <w:color w:val="auto"/>
          <w:kern w:val="2"/>
          <w:sz w:val="32"/>
          <w:szCs w:val="32"/>
          <w:highlight w:val="none"/>
          <w:lang w:val="en-US" w:eastAsia="zh-CN" w:bidi="ar-SA"/>
        </w:rPr>
        <w:t>元</w:t>
      </w:r>
      <w:r>
        <w:rPr>
          <w:rFonts w:hint="eastAsia" w:ascii="仿宋" w:hAnsi="仿宋" w:eastAsia="仿宋"/>
          <w:sz w:val="32"/>
          <w:szCs w:val="32"/>
          <w:lang w:eastAsia="zh-CN"/>
        </w:rPr>
        <w:t>，</w:t>
      </w:r>
      <w:r>
        <w:rPr>
          <w:rFonts w:hint="eastAsia" w:ascii="仿宋_GB2312" w:hAnsi="仿宋_GB2312" w:eastAsia="仿宋_GB2312" w:cs="仿宋_GB2312"/>
          <w:sz w:val="32"/>
          <w:szCs w:val="32"/>
        </w:rPr>
        <w:t>其中：</w:t>
      </w:r>
    </w:p>
    <w:p>
      <w:pPr>
        <w:spacing w:line="600" w:lineRule="exact"/>
        <w:ind w:firstLine="645"/>
        <w:rPr>
          <w:rFonts w:hint="eastAsia" w:ascii="仿宋_GB2312" w:hAnsi="仿宋_GB2312" w:eastAsia="仿宋_GB2312" w:cs="仿宋_GB2312"/>
          <w:sz w:val="32"/>
          <w:szCs w:val="32"/>
        </w:rPr>
      </w:pPr>
      <w:r>
        <w:rPr>
          <w:rFonts w:hint="eastAsia" w:ascii="Times New Roman" w:hAnsi="Times New Roman" w:eastAsia="仿宋_GB2312" w:cs="仿宋_GB2312"/>
          <w:color w:val="auto"/>
          <w:kern w:val="2"/>
          <w:sz w:val="32"/>
          <w:szCs w:val="32"/>
          <w:highlight w:val="none"/>
          <w:lang w:val="en-US" w:eastAsia="zh-CN" w:bidi="ar-SA"/>
        </w:rPr>
        <w:t>人员经费</w:t>
      </w:r>
      <w:r>
        <w:rPr>
          <w:rFonts w:hint="eastAsia" w:ascii="仿宋_GB2312" w:hAnsi="仿宋_GB2312" w:eastAsia="仿宋_GB2312" w:cs="仿宋_GB2312"/>
          <w:sz w:val="32"/>
          <w:szCs w:val="32"/>
        </w:rPr>
        <w:t>1226.85</w:t>
      </w:r>
      <w:r>
        <w:rPr>
          <w:rFonts w:hint="eastAsia" w:ascii="仿宋_GB2312" w:hAnsi="仿宋_GB2312" w:eastAsia="仿宋_GB2312" w:cs="仿宋_GB2312"/>
          <w:color w:val="auto"/>
          <w:kern w:val="2"/>
          <w:sz w:val="32"/>
          <w:szCs w:val="32"/>
          <w:highlight w:val="none"/>
          <w:lang w:val="en-US" w:eastAsia="zh-CN" w:bidi="ar-SA"/>
        </w:rPr>
        <w:t>万</w:t>
      </w:r>
      <w:r>
        <w:rPr>
          <w:rFonts w:hint="eastAsia" w:ascii="Times New Roman" w:hAnsi="Times New Roman" w:eastAsia="仿宋_GB2312" w:cs="仿宋_GB2312"/>
          <w:color w:val="auto"/>
          <w:kern w:val="2"/>
          <w:sz w:val="32"/>
          <w:szCs w:val="32"/>
          <w:highlight w:val="none"/>
          <w:lang w:val="en-US" w:eastAsia="zh-CN" w:bidi="ar-SA"/>
        </w:rPr>
        <w:t>元</w:t>
      </w:r>
      <w:r>
        <w:rPr>
          <w:rFonts w:hint="eastAsia" w:ascii="仿宋_GB2312" w:hAnsi="仿宋_GB2312" w:eastAsia="仿宋_GB2312" w:cs="仿宋_GB2312"/>
          <w:sz w:val="32"/>
          <w:szCs w:val="32"/>
        </w:rPr>
        <w:t>，主要包括：基本工资、津贴补贴、奖金、机关事业单位基本养老保险缴费、</w:t>
      </w:r>
      <w:r>
        <w:rPr>
          <w:rFonts w:hint="eastAsia" w:ascii="仿宋_GB2312" w:hAnsi="仿宋_GB2312" w:eastAsia="仿宋_GB2312" w:cs="仿宋_GB2312"/>
          <w:sz w:val="32"/>
          <w:szCs w:val="32"/>
          <w:lang w:eastAsia="zh-CN"/>
        </w:rPr>
        <w:t>职业年金缴费、职工基本医疗保险缴费、公务员医疗补助缴费、</w:t>
      </w:r>
      <w:r>
        <w:rPr>
          <w:rFonts w:hint="eastAsia" w:ascii="仿宋_GB2312" w:hAnsi="仿宋_GB2312" w:eastAsia="仿宋_GB2312" w:cs="仿宋_GB2312"/>
          <w:sz w:val="32"/>
          <w:szCs w:val="32"/>
        </w:rPr>
        <w:t>住房公积金、其他社会保障缴费、其他工资福利支出、离休费、生活补助、医疗费补助、其他对个人和家庭的补助支出等。</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Times New Roman" w:hAnsi="Times New Roman" w:eastAsia="仿宋_GB2312" w:cs="仿宋_GB2312"/>
          <w:color w:val="auto"/>
          <w:kern w:val="2"/>
          <w:sz w:val="32"/>
          <w:szCs w:val="32"/>
          <w:highlight w:val="none"/>
          <w:lang w:val="en-US" w:eastAsia="zh-CN" w:bidi="ar-SA"/>
        </w:rPr>
        <w:t>公用经费</w:t>
      </w:r>
      <w:r>
        <w:rPr>
          <w:rFonts w:hint="eastAsia" w:ascii="仿宋_GB2312" w:hAnsi="仿宋_GB2312" w:eastAsia="仿宋_GB2312" w:cs="仿宋_GB2312"/>
          <w:sz w:val="32"/>
          <w:szCs w:val="32"/>
        </w:rPr>
        <w:t>225.38</w:t>
      </w:r>
      <w:r>
        <w:rPr>
          <w:rFonts w:hint="eastAsia" w:ascii="仿宋_GB2312" w:hAnsi="仿宋_GB2312" w:eastAsia="仿宋_GB2312" w:cs="仿宋_GB2312"/>
          <w:color w:val="auto"/>
          <w:kern w:val="2"/>
          <w:sz w:val="32"/>
          <w:szCs w:val="32"/>
          <w:highlight w:val="none"/>
          <w:lang w:val="en-US" w:eastAsia="zh-CN" w:bidi="ar-SA"/>
        </w:rPr>
        <w:t>万</w:t>
      </w:r>
      <w:r>
        <w:rPr>
          <w:rFonts w:hint="eastAsia" w:ascii="Times New Roman" w:hAnsi="Times New Roman" w:eastAsia="仿宋_GB2312" w:cs="仿宋_GB2312"/>
          <w:color w:val="auto"/>
          <w:kern w:val="2"/>
          <w:sz w:val="32"/>
          <w:szCs w:val="32"/>
          <w:highlight w:val="none"/>
          <w:lang w:val="en-US" w:eastAsia="zh-CN" w:bidi="ar-SA"/>
        </w:rPr>
        <w:t>元</w:t>
      </w:r>
      <w:r>
        <w:rPr>
          <w:rFonts w:hint="eastAsia" w:ascii="仿宋_GB2312" w:hAnsi="仿宋_GB2312" w:eastAsia="仿宋_GB2312" w:cs="仿宋_GB2312"/>
          <w:sz w:val="32"/>
          <w:szCs w:val="32"/>
        </w:rPr>
        <w:t>，主要包括：办公费、</w:t>
      </w:r>
      <w:r>
        <w:rPr>
          <w:rFonts w:hint="eastAsia" w:ascii="仿宋_GB2312" w:hAnsi="仿宋_GB2312" w:eastAsia="仿宋_GB2312" w:cs="仿宋_GB2312"/>
          <w:sz w:val="32"/>
          <w:szCs w:val="32"/>
          <w:lang w:eastAsia="zh-CN"/>
        </w:rPr>
        <w:t>印刷费、</w:t>
      </w:r>
      <w:r>
        <w:rPr>
          <w:rFonts w:hint="eastAsia" w:ascii="仿宋_GB2312" w:hAnsi="仿宋_GB2312" w:eastAsia="仿宋_GB2312" w:cs="仿宋_GB2312"/>
          <w:sz w:val="32"/>
          <w:szCs w:val="32"/>
        </w:rPr>
        <w:t>水费、电费、邮电费、</w:t>
      </w:r>
      <w:r>
        <w:rPr>
          <w:rFonts w:hint="eastAsia" w:ascii="仿宋_GB2312" w:hAnsi="仿宋_GB2312" w:eastAsia="仿宋_GB2312" w:cs="仿宋_GB2312"/>
          <w:sz w:val="32"/>
          <w:szCs w:val="32"/>
          <w:lang w:eastAsia="zh-CN"/>
        </w:rPr>
        <w:t>物业管理费、</w:t>
      </w:r>
      <w:r>
        <w:rPr>
          <w:rFonts w:hint="eastAsia" w:ascii="仿宋_GB2312" w:hAnsi="仿宋_GB2312" w:eastAsia="仿宋_GB2312" w:cs="仿宋_GB2312"/>
          <w:sz w:val="32"/>
          <w:szCs w:val="32"/>
        </w:rPr>
        <w:t>差旅费、</w:t>
      </w:r>
      <w:r>
        <w:rPr>
          <w:rFonts w:hint="eastAsia" w:ascii="仿宋_GB2312" w:hAnsi="仿宋_GB2312" w:eastAsia="仿宋_GB2312" w:cs="仿宋_GB2312"/>
          <w:sz w:val="32"/>
          <w:szCs w:val="32"/>
          <w:lang w:eastAsia="zh-CN"/>
        </w:rPr>
        <w:t>租赁费、</w:t>
      </w:r>
      <w:r>
        <w:rPr>
          <w:rFonts w:hint="eastAsia" w:ascii="仿宋_GB2312" w:hAnsi="仿宋_GB2312" w:eastAsia="仿宋_GB2312" w:cs="仿宋_GB2312"/>
          <w:sz w:val="32"/>
          <w:szCs w:val="32"/>
        </w:rPr>
        <w:t>会议费、</w:t>
      </w:r>
      <w:r>
        <w:rPr>
          <w:rFonts w:hint="eastAsia" w:ascii="仿宋_GB2312" w:hAnsi="仿宋_GB2312" w:eastAsia="仿宋_GB2312" w:cs="仿宋_GB2312"/>
          <w:sz w:val="32"/>
          <w:szCs w:val="32"/>
          <w:lang w:eastAsia="zh-CN"/>
        </w:rPr>
        <w:t>培训费、</w:t>
      </w:r>
      <w:r>
        <w:rPr>
          <w:rFonts w:hint="eastAsia" w:ascii="仿宋_GB2312" w:hAnsi="仿宋_GB2312" w:eastAsia="仿宋_GB2312" w:cs="仿宋_GB2312"/>
          <w:sz w:val="32"/>
          <w:szCs w:val="32"/>
        </w:rPr>
        <w:t>公务接待费、</w:t>
      </w:r>
      <w:r>
        <w:rPr>
          <w:rFonts w:hint="eastAsia" w:ascii="仿宋_GB2312" w:hAnsi="仿宋_GB2312" w:eastAsia="仿宋_GB2312" w:cs="仿宋_GB2312"/>
          <w:sz w:val="32"/>
          <w:szCs w:val="32"/>
          <w:lang w:eastAsia="zh-CN"/>
        </w:rPr>
        <w:t>劳务费、委托业务费、</w:t>
      </w:r>
      <w:r>
        <w:rPr>
          <w:rFonts w:hint="eastAsia" w:ascii="仿宋_GB2312" w:hAnsi="仿宋_GB2312" w:eastAsia="仿宋_GB2312" w:cs="仿宋_GB2312"/>
          <w:sz w:val="32"/>
          <w:szCs w:val="32"/>
        </w:rPr>
        <w:t>工会经费、福利费、公务用车运行维护费、其他交通费、其他商品和服务支出等。</w:t>
      </w:r>
    </w:p>
    <w:p>
      <w:pPr>
        <w:spacing w:line="600" w:lineRule="exact"/>
        <w:ind w:firstLine="640"/>
        <w:outlineLvl w:val="1"/>
        <w:rPr>
          <w:rStyle w:val="28"/>
          <w:rFonts w:ascii="黑体" w:hAnsi="黑体" w:eastAsia="黑体"/>
          <w:b w:val="0"/>
        </w:rPr>
      </w:pPr>
      <w:bookmarkStart w:id="48" w:name="_Toc15377215"/>
      <w:bookmarkStart w:id="49" w:name="_Toc15396609"/>
      <w:bookmarkStart w:id="50" w:name="_Toc7829"/>
      <w:r>
        <w:rPr>
          <w:rFonts w:hint="eastAsia" w:ascii="黑体" w:eastAsia="黑体"/>
          <w:sz w:val="32"/>
          <w:szCs w:val="32"/>
        </w:rPr>
        <w:t>七、</w:t>
      </w:r>
      <w:r>
        <w:rPr>
          <w:rStyle w:val="28"/>
          <w:rFonts w:hint="eastAsia" w:ascii="黑体" w:hAnsi="黑体" w:eastAsia="黑体"/>
          <w:b w:val="0"/>
        </w:rPr>
        <w:t>财政拨款</w:t>
      </w:r>
      <w:r>
        <w:rPr>
          <w:rStyle w:val="28"/>
          <w:rFonts w:hint="eastAsia" w:ascii="黑体" w:hAnsi="黑体" w:eastAsia="黑体"/>
        </w:rPr>
        <w:t>“</w:t>
      </w:r>
      <w:r>
        <w:rPr>
          <w:rStyle w:val="28"/>
          <w:rFonts w:hint="eastAsia" w:ascii="黑体" w:hAnsi="黑体" w:eastAsia="黑体"/>
          <w:b w:val="0"/>
        </w:rPr>
        <w:t>三公”经费支出决算情况说明</w:t>
      </w:r>
      <w:bookmarkEnd w:id="48"/>
      <w:bookmarkEnd w:id="49"/>
      <w:bookmarkEnd w:id="50"/>
    </w:p>
    <w:p>
      <w:pPr>
        <w:spacing w:line="600" w:lineRule="exact"/>
        <w:ind w:firstLine="640"/>
        <w:outlineLvl w:val="2"/>
        <w:rPr>
          <w:rFonts w:ascii="仿宋" w:hAnsi="仿宋" w:eastAsia="仿宋"/>
          <w:b/>
          <w:sz w:val="32"/>
          <w:szCs w:val="32"/>
        </w:rPr>
      </w:pPr>
      <w:bookmarkStart w:id="51" w:name="_Toc15377216"/>
      <w:r>
        <w:rPr>
          <w:rFonts w:hint="eastAsia" w:ascii="仿宋" w:hAnsi="仿宋" w:eastAsia="仿宋"/>
          <w:b/>
          <w:sz w:val="32"/>
          <w:szCs w:val="32"/>
        </w:rPr>
        <w:t>（一）“三公”经费财政拨款支出决算总体情况说明</w:t>
      </w:r>
      <w:bookmarkEnd w:id="51"/>
    </w:p>
    <w:p>
      <w:pPr>
        <w:spacing w:line="600" w:lineRule="exact"/>
        <w:ind w:firstLine="640"/>
        <w:rPr>
          <w:rFonts w:hint="eastAsia" w:ascii="仿宋_GB2312" w:hAnsi="仿宋_GB2312" w:eastAsia="仿宋_GB2312" w:cs="仿宋_GB2312"/>
          <w:sz w:val="32"/>
          <w:szCs w:val="32"/>
        </w:rPr>
      </w:pPr>
      <w:r>
        <w:rPr>
          <w:rFonts w:hint="eastAsia" w:ascii="Times New Roman" w:hAnsi="Times New Roman" w:eastAsia="仿宋_GB2312" w:cs="仿宋_GB2312"/>
          <w:color w:val="auto"/>
          <w:kern w:val="2"/>
          <w:sz w:val="32"/>
          <w:szCs w:val="32"/>
          <w:highlight w:val="none"/>
          <w:lang w:val="en-US" w:eastAsia="zh-CN" w:bidi="ar-SA"/>
        </w:rPr>
        <w:t>2024年度“三公”经费财政拨款支出决算为</w:t>
      </w:r>
      <w:r>
        <w:rPr>
          <w:rFonts w:hint="eastAsia" w:ascii="仿宋_GB2312" w:hAnsi="仿宋_GB2312" w:eastAsia="仿宋_GB2312" w:cs="仿宋_GB2312"/>
          <w:sz w:val="32"/>
          <w:szCs w:val="32"/>
        </w:rPr>
        <w:t>3.97</w:t>
      </w:r>
      <w:r>
        <w:rPr>
          <w:rFonts w:hint="eastAsia" w:ascii="仿宋_GB2312" w:hAnsi="仿宋_GB2312" w:eastAsia="仿宋_GB2312" w:cs="仿宋_GB2312"/>
          <w:color w:val="auto"/>
          <w:kern w:val="2"/>
          <w:sz w:val="32"/>
          <w:szCs w:val="32"/>
          <w:highlight w:val="none"/>
          <w:lang w:val="en-US" w:eastAsia="zh-CN" w:bidi="ar-SA"/>
        </w:rPr>
        <w:t>万元</w:t>
      </w:r>
      <w:r>
        <w:rPr>
          <w:rFonts w:hint="eastAsia" w:ascii="仿宋" w:hAnsi="仿宋" w:eastAsia="仿宋"/>
          <w:sz w:val="32"/>
          <w:szCs w:val="32"/>
        </w:rPr>
        <w:t>，完成预算</w:t>
      </w:r>
      <w:r>
        <w:rPr>
          <w:rFonts w:hint="eastAsia" w:ascii="仿宋" w:hAnsi="仿宋" w:eastAsia="仿宋"/>
          <w:b/>
          <w:sz w:val="32"/>
          <w:szCs w:val="32"/>
          <w:lang w:val="en-US" w:eastAsia="zh-CN"/>
        </w:rPr>
        <w:t>100</w:t>
      </w:r>
      <w:r>
        <w:rPr>
          <w:rFonts w:ascii="仿宋" w:hAnsi="仿宋" w:eastAsia="仿宋"/>
          <w:sz w:val="32"/>
          <w:szCs w:val="32"/>
        </w:rPr>
        <w:t>%</w:t>
      </w:r>
      <w:r>
        <w:rPr>
          <w:rFonts w:hint="eastAsia" w:ascii="仿宋" w:hAnsi="仿宋" w:eastAsia="仿宋"/>
          <w:sz w:val="32"/>
          <w:szCs w:val="32"/>
        </w:rPr>
        <w:t>，较上年度减少</w:t>
      </w:r>
      <w:r>
        <w:rPr>
          <w:rFonts w:hint="eastAsia" w:ascii="仿宋" w:hAnsi="仿宋" w:eastAsia="仿宋"/>
          <w:sz w:val="32"/>
          <w:szCs w:val="32"/>
          <w:lang w:val="en-US" w:eastAsia="zh-CN"/>
        </w:rPr>
        <w:t>0.77</w:t>
      </w:r>
      <w:r>
        <w:rPr>
          <w:rFonts w:hint="eastAsia" w:ascii="仿宋" w:hAnsi="仿宋" w:eastAsia="仿宋"/>
          <w:sz w:val="32"/>
          <w:szCs w:val="32"/>
        </w:rPr>
        <w:t>万元，下降</w:t>
      </w:r>
      <w:r>
        <w:rPr>
          <w:rFonts w:hint="eastAsia" w:ascii="仿宋" w:hAnsi="仿宋" w:eastAsia="仿宋"/>
          <w:sz w:val="32"/>
          <w:szCs w:val="32"/>
          <w:lang w:val="en-US" w:eastAsia="zh-CN"/>
        </w:rPr>
        <w:t>16.24</w:t>
      </w:r>
      <w:r>
        <w:rPr>
          <w:rFonts w:hint="eastAsia" w:ascii="仿宋" w:hAnsi="仿宋" w:eastAsia="仿宋"/>
          <w:sz w:val="32"/>
          <w:szCs w:val="32"/>
        </w:rPr>
        <w:t>%。决算数</w:t>
      </w:r>
      <w:r>
        <w:rPr>
          <w:rFonts w:hint="eastAsia" w:ascii="仿宋" w:hAnsi="仿宋" w:eastAsia="仿宋"/>
          <w:sz w:val="32"/>
          <w:szCs w:val="32"/>
          <w:lang w:eastAsia="zh-CN"/>
        </w:rPr>
        <w:t>与</w:t>
      </w:r>
      <w:r>
        <w:rPr>
          <w:rFonts w:hint="eastAsia" w:ascii="仿宋" w:hAnsi="仿宋" w:eastAsia="仿宋"/>
          <w:sz w:val="32"/>
          <w:szCs w:val="32"/>
        </w:rPr>
        <w:t>预算数</w:t>
      </w:r>
      <w:r>
        <w:rPr>
          <w:rFonts w:hint="eastAsia" w:ascii="仿宋" w:hAnsi="仿宋" w:eastAsia="仿宋"/>
          <w:sz w:val="32"/>
          <w:szCs w:val="32"/>
          <w:lang w:eastAsia="zh-CN"/>
        </w:rPr>
        <w:t>持平</w:t>
      </w:r>
      <w:r>
        <w:rPr>
          <w:rFonts w:hint="eastAsia" w:ascii="仿宋" w:hAnsi="仿宋" w:eastAsia="仿宋"/>
          <w:sz w:val="32"/>
          <w:szCs w:val="32"/>
        </w:rPr>
        <w:t>。</w:t>
      </w:r>
    </w:p>
    <w:p>
      <w:pPr>
        <w:spacing w:line="600" w:lineRule="exact"/>
        <w:ind w:firstLine="640"/>
        <w:outlineLvl w:val="2"/>
        <w:rPr>
          <w:rFonts w:ascii="仿宋" w:hAnsi="仿宋" w:eastAsia="仿宋"/>
          <w:b/>
          <w:sz w:val="32"/>
          <w:szCs w:val="32"/>
        </w:rPr>
      </w:pPr>
      <w:bookmarkStart w:id="52" w:name="_Toc15377217"/>
      <w:r>
        <w:rPr>
          <w:rFonts w:hint="eastAsia" w:ascii="仿宋" w:hAnsi="仿宋" w:eastAsia="仿宋"/>
          <w:b/>
          <w:sz w:val="32"/>
          <w:szCs w:val="32"/>
        </w:rPr>
        <w:t>（二）“三公”经费财政拨款支出决算具体情况说明</w:t>
      </w:r>
      <w:bookmarkEnd w:id="52"/>
    </w:p>
    <w:p>
      <w:pPr>
        <w:spacing w:line="600" w:lineRule="exact"/>
        <w:ind w:firstLine="64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2024年度“三公”经费财政拨款支出决算中，因公出国（境）费支出决算</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万元，占0%；公务用车购置及运行维护费支出决算</w:t>
      </w:r>
      <w:r>
        <w:rPr>
          <w:rFonts w:hint="eastAsia" w:ascii="仿宋_GB2312" w:hAnsi="仿宋_GB2312" w:eastAsia="仿宋_GB2312" w:cs="仿宋_GB2312"/>
          <w:sz w:val="32"/>
          <w:szCs w:val="32"/>
        </w:rPr>
        <w:t>2.84</w:t>
      </w:r>
      <w:r>
        <w:rPr>
          <w:rFonts w:hint="eastAsia" w:ascii="仿宋_GB2312" w:hAnsi="仿宋_GB2312" w:eastAsia="仿宋_GB2312" w:cs="仿宋_GB2312"/>
          <w:color w:val="auto"/>
          <w:kern w:val="2"/>
          <w:sz w:val="32"/>
          <w:szCs w:val="32"/>
          <w:highlight w:val="none"/>
          <w:lang w:val="en-US" w:eastAsia="zh-CN" w:bidi="ar-SA"/>
        </w:rPr>
        <w:t>万元，占71.54%；公务接待费支出决算</w:t>
      </w:r>
      <w:r>
        <w:rPr>
          <w:rFonts w:hint="eastAsia" w:ascii="仿宋_GB2312" w:hAnsi="仿宋_GB2312" w:eastAsia="仿宋_GB2312" w:cs="仿宋_GB2312"/>
          <w:sz w:val="32"/>
          <w:szCs w:val="32"/>
        </w:rPr>
        <w:t>1.13</w:t>
      </w:r>
      <w:r>
        <w:rPr>
          <w:rFonts w:hint="eastAsia" w:ascii="仿宋_GB2312" w:hAnsi="仿宋_GB2312" w:eastAsia="仿宋_GB2312" w:cs="仿宋_GB2312"/>
          <w:color w:val="auto"/>
          <w:kern w:val="2"/>
          <w:sz w:val="32"/>
          <w:szCs w:val="32"/>
          <w:highlight w:val="none"/>
          <w:lang w:val="en-US" w:eastAsia="zh-CN" w:bidi="ar-SA"/>
        </w:rPr>
        <w:t>万元，占28.46%。具体情况如下：</w:t>
      </w:r>
    </w:p>
    <w:p>
      <w:pPr>
        <w:spacing w:line="6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（图7：“三公”经费财政拨款支出结构）</w:t>
      </w:r>
    </w:p>
    <w:p>
      <w:pPr>
        <w:pStyle w:val="8"/>
        <w:rPr>
          <w:rFonts w:hint="eastAsia" w:ascii="仿宋_GB2312" w:hAnsi="仿宋_GB2312" w:eastAsia="仿宋_GB2312" w:cs="仿宋_GB2312"/>
          <w:sz w:val="32"/>
          <w:szCs w:val="32"/>
        </w:rPr>
      </w:pPr>
    </w:p>
    <w:p>
      <w:pPr>
        <w:pStyle w:val="8"/>
        <w:rPr>
          <w:rFonts w:hint="eastAsia" w:ascii="仿宋" w:hAnsi="仿宋" w:eastAsia="仿宋"/>
          <w:sz w:val="32"/>
          <w:szCs w:val="32"/>
        </w:rPr>
      </w:pPr>
      <w:r>
        <w:rPr>
          <w:rFonts w:hint="eastAsia" w:ascii="仿宋_GB2312" w:hAnsi="仿宋_GB2312" w:eastAsia="仿宋_GB2312" w:cs="仿宋_GB2312"/>
          <w:sz w:val="32"/>
          <w:szCs w:val="32"/>
        </w:rPr>
        <w:drawing>
          <wp:inline distT="0" distB="0" distL="114300" distR="114300">
            <wp:extent cx="4813935" cy="3190875"/>
            <wp:effectExtent l="4445" t="4445" r="20320" b="5080"/>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spacing w:line="600" w:lineRule="exact"/>
        <w:ind w:firstLine="640"/>
        <w:rPr>
          <w:rFonts w:hint="eastAsia" w:ascii="仿宋_GB2312" w:eastAsia="仿宋_GB2312"/>
          <w:b/>
          <w:sz w:val="32"/>
          <w:szCs w:val="32"/>
          <w:lang w:eastAsia="zh-CN"/>
        </w:rPr>
      </w:pPr>
      <w:r>
        <w:rPr>
          <w:rFonts w:hint="eastAsia" w:ascii="仿宋_GB2312" w:hAnsi="仿宋_GB2312" w:eastAsia="仿宋_GB2312" w:cs="仿宋_GB2312"/>
          <w:b w:val="0"/>
          <w:bCs/>
          <w:sz w:val="32"/>
          <w:szCs w:val="32"/>
          <w:lang w:val="en-US" w:eastAsia="zh-CN"/>
        </w:rPr>
        <w:t>1.</w:t>
      </w:r>
      <w:r>
        <w:rPr>
          <w:rFonts w:hint="eastAsia" w:ascii="仿宋_GB2312" w:eastAsia="仿宋_GB2312"/>
          <w:b/>
          <w:sz w:val="32"/>
          <w:szCs w:val="32"/>
        </w:rPr>
        <w:t>因公出国（境）经费支出</w:t>
      </w:r>
      <w:r>
        <w:rPr>
          <w:rFonts w:ascii="仿宋" w:hAnsi="仿宋" w:eastAsia="仿宋"/>
          <w:b/>
          <w:sz w:val="32"/>
          <w:szCs w:val="32"/>
        </w:rPr>
        <w:t>0</w:t>
      </w:r>
      <w:r>
        <w:rPr>
          <w:rFonts w:hint="eastAsia" w:ascii="仿宋_GB2312" w:eastAsia="仿宋_GB2312"/>
          <w:sz w:val="32"/>
          <w:szCs w:val="32"/>
        </w:rPr>
        <w:t>万元，</w:t>
      </w:r>
      <w:r>
        <w:rPr>
          <w:rStyle w:val="17"/>
          <w:rFonts w:hint="eastAsia" w:ascii="仿宋" w:hAnsi="仿宋" w:eastAsia="仿宋"/>
          <w:b w:val="0"/>
          <w:bCs/>
          <w:sz w:val="32"/>
          <w:szCs w:val="32"/>
        </w:rPr>
        <w:t>完成预算</w:t>
      </w:r>
      <w:r>
        <w:rPr>
          <w:rStyle w:val="17"/>
          <w:rFonts w:ascii="仿宋" w:hAnsi="仿宋" w:eastAsia="仿宋"/>
          <w:bCs/>
          <w:sz w:val="32"/>
          <w:szCs w:val="32"/>
        </w:rPr>
        <w:t>0</w:t>
      </w:r>
      <w:r>
        <w:rPr>
          <w:rStyle w:val="17"/>
          <w:rFonts w:ascii="仿宋" w:hAnsi="仿宋" w:eastAsia="仿宋"/>
          <w:b w:val="0"/>
          <w:bCs/>
          <w:sz w:val="32"/>
          <w:szCs w:val="32"/>
        </w:rPr>
        <w:t>%</w:t>
      </w:r>
      <w:r>
        <w:rPr>
          <w:rStyle w:val="17"/>
          <w:rFonts w:hint="eastAsia" w:ascii="仿宋" w:hAnsi="仿宋" w:eastAsia="仿宋"/>
          <w:b w:val="0"/>
          <w:bCs/>
          <w:sz w:val="32"/>
          <w:szCs w:val="32"/>
        </w:rPr>
        <w:t>。</w:t>
      </w:r>
      <w:r>
        <w:rPr>
          <w:rFonts w:hint="eastAsia" w:ascii="仿宋_GB2312" w:eastAsia="仿宋_GB2312"/>
          <w:sz w:val="32"/>
          <w:szCs w:val="32"/>
        </w:rPr>
        <w:t>全年安排因公出国（境）团组</w:t>
      </w:r>
      <w:r>
        <w:rPr>
          <w:rFonts w:ascii="仿宋_GB2312" w:eastAsia="仿宋_GB2312"/>
          <w:b/>
          <w:sz w:val="32"/>
          <w:szCs w:val="32"/>
        </w:rPr>
        <w:t>0</w:t>
      </w:r>
      <w:r>
        <w:rPr>
          <w:rFonts w:hint="eastAsia" w:ascii="仿宋_GB2312" w:eastAsia="仿宋_GB2312"/>
          <w:sz w:val="32"/>
          <w:szCs w:val="32"/>
        </w:rPr>
        <w:t>次，出国（境）</w:t>
      </w:r>
      <w:r>
        <w:rPr>
          <w:rFonts w:ascii="仿宋_GB2312" w:eastAsia="仿宋_GB2312"/>
          <w:b/>
          <w:sz w:val="32"/>
          <w:szCs w:val="32"/>
        </w:rPr>
        <w:t>0</w:t>
      </w:r>
      <w:r>
        <w:rPr>
          <w:rFonts w:hint="eastAsia" w:ascii="仿宋_GB2312" w:eastAsia="仿宋_GB2312"/>
          <w:sz w:val="32"/>
          <w:szCs w:val="32"/>
        </w:rPr>
        <w:t>人。因公出国（境）支出决算</w:t>
      </w:r>
      <w:r>
        <w:rPr>
          <w:rFonts w:hint="eastAsia" w:ascii="仿宋_GB2312" w:eastAsia="仿宋_GB2312"/>
          <w:sz w:val="32"/>
          <w:szCs w:val="32"/>
          <w:lang w:eastAsia="zh-CN"/>
        </w:rPr>
        <w:t>与</w:t>
      </w:r>
      <w:r>
        <w:rPr>
          <w:rFonts w:hint="eastAsia" w:ascii="仿宋_GB2312" w:eastAsia="仿宋_GB2312"/>
          <w:sz w:val="32"/>
          <w:szCs w:val="32"/>
        </w:rPr>
        <w:t>202</w:t>
      </w:r>
      <w:r>
        <w:rPr>
          <w:rFonts w:hint="eastAsia" w:ascii="仿宋_GB2312" w:eastAsia="仿宋_GB2312"/>
          <w:sz w:val="32"/>
          <w:szCs w:val="32"/>
          <w:lang w:val="en-US" w:eastAsia="zh-CN"/>
        </w:rPr>
        <w:t>3</w:t>
      </w:r>
      <w:r>
        <w:rPr>
          <w:rFonts w:hint="eastAsia" w:ascii="仿宋_GB2312" w:eastAsia="仿宋_GB2312"/>
          <w:sz w:val="32"/>
          <w:szCs w:val="32"/>
        </w:rPr>
        <w:t>年</w:t>
      </w:r>
      <w:r>
        <w:rPr>
          <w:rFonts w:hint="eastAsia" w:ascii="仿宋_GB2312" w:eastAsia="仿宋_GB2312"/>
          <w:sz w:val="32"/>
          <w:szCs w:val="32"/>
          <w:lang w:eastAsia="zh-CN"/>
        </w:rPr>
        <w:t>持平。</w:t>
      </w:r>
    </w:p>
    <w:p>
      <w:pPr>
        <w:spacing w:line="600" w:lineRule="exact"/>
        <w:ind w:firstLine="64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2.</w:t>
      </w:r>
      <w:r>
        <w:rPr>
          <w:rFonts w:hint="eastAsia" w:ascii="仿宋_GB2312" w:eastAsia="仿宋_GB2312"/>
          <w:b/>
          <w:sz w:val="32"/>
          <w:szCs w:val="32"/>
        </w:rPr>
        <w:t>公务用车购置及运行维护费支出</w:t>
      </w:r>
      <w:r>
        <w:rPr>
          <w:rFonts w:ascii="仿宋" w:hAnsi="仿宋" w:eastAsia="仿宋"/>
          <w:b/>
          <w:sz w:val="32"/>
          <w:szCs w:val="32"/>
        </w:rPr>
        <w:t>2.</w:t>
      </w:r>
      <w:r>
        <w:rPr>
          <w:rFonts w:hint="eastAsia" w:ascii="仿宋" w:hAnsi="仿宋" w:eastAsia="仿宋"/>
          <w:b/>
          <w:sz w:val="32"/>
          <w:szCs w:val="32"/>
          <w:lang w:val="en-US" w:eastAsia="zh-CN"/>
        </w:rPr>
        <w:t>84</w:t>
      </w:r>
      <w:r>
        <w:rPr>
          <w:rFonts w:hint="eastAsia" w:ascii="仿宋_GB2312" w:eastAsia="仿宋_GB2312"/>
          <w:sz w:val="32"/>
          <w:szCs w:val="32"/>
        </w:rPr>
        <w:t>万元,</w:t>
      </w:r>
      <w:r>
        <w:rPr>
          <w:rStyle w:val="17"/>
          <w:rFonts w:hint="eastAsia" w:ascii="仿宋" w:hAnsi="仿宋" w:eastAsia="仿宋"/>
          <w:b w:val="0"/>
          <w:bCs/>
          <w:sz w:val="32"/>
          <w:szCs w:val="32"/>
        </w:rPr>
        <w:t>完成预算</w:t>
      </w:r>
      <w:r>
        <w:rPr>
          <w:rStyle w:val="17"/>
          <w:rFonts w:ascii="仿宋" w:hAnsi="仿宋" w:eastAsia="仿宋"/>
          <w:bCs/>
          <w:sz w:val="32"/>
          <w:szCs w:val="32"/>
        </w:rPr>
        <w:t>100</w:t>
      </w:r>
      <w:r>
        <w:rPr>
          <w:rStyle w:val="17"/>
          <w:rFonts w:ascii="仿宋" w:hAnsi="仿宋" w:eastAsia="仿宋"/>
          <w:b w:val="0"/>
          <w:bCs/>
          <w:sz w:val="32"/>
          <w:szCs w:val="32"/>
        </w:rPr>
        <w:t>%</w:t>
      </w:r>
      <w:r>
        <w:rPr>
          <w:rStyle w:val="17"/>
          <w:rFonts w:hint="eastAsia" w:ascii="仿宋" w:hAnsi="仿宋" w:eastAsia="仿宋"/>
          <w:b w:val="0"/>
          <w:bCs/>
          <w:sz w:val="32"/>
          <w:szCs w:val="32"/>
        </w:rPr>
        <w:t>。</w:t>
      </w:r>
      <w:r>
        <w:rPr>
          <w:rFonts w:hint="eastAsia" w:ascii="仿宋_GB2312" w:eastAsia="仿宋_GB2312"/>
          <w:sz w:val="32"/>
          <w:szCs w:val="32"/>
        </w:rPr>
        <w:t>公务用车购置及运行维护费支出决算比202</w:t>
      </w:r>
      <w:r>
        <w:rPr>
          <w:rFonts w:hint="eastAsia" w:ascii="仿宋_GB2312" w:eastAsia="仿宋_GB2312"/>
          <w:sz w:val="32"/>
          <w:szCs w:val="32"/>
          <w:lang w:val="en-US" w:eastAsia="zh-CN"/>
        </w:rPr>
        <w:t>3</w:t>
      </w:r>
      <w:r>
        <w:rPr>
          <w:rFonts w:hint="eastAsia" w:ascii="仿宋_GB2312" w:eastAsia="仿宋_GB2312"/>
          <w:sz w:val="32"/>
          <w:szCs w:val="32"/>
        </w:rPr>
        <w:t>年度减少</w:t>
      </w:r>
      <w:r>
        <w:rPr>
          <w:rFonts w:hint="eastAsia" w:ascii="仿宋_GB2312" w:eastAsia="仿宋_GB2312"/>
          <w:sz w:val="32"/>
          <w:szCs w:val="32"/>
          <w:lang w:val="en-US" w:eastAsia="zh-CN"/>
        </w:rPr>
        <w:t>0.08</w:t>
      </w:r>
      <w:r>
        <w:rPr>
          <w:rFonts w:hint="eastAsia" w:ascii="仿宋_GB2312" w:eastAsia="仿宋_GB2312"/>
          <w:sz w:val="32"/>
          <w:szCs w:val="32"/>
        </w:rPr>
        <w:t>万元，下降</w:t>
      </w:r>
      <w:r>
        <w:rPr>
          <w:rFonts w:hint="eastAsia" w:ascii="仿宋_GB2312" w:eastAsia="仿宋_GB2312"/>
          <w:sz w:val="32"/>
          <w:szCs w:val="32"/>
          <w:lang w:val="en-US" w:eastAsia="zh-CN"/>
        </w:rPr>
        <w:t>2.74</w:t>
      </w:r>
      <w:r>
        <w:rPr>
          <w:rFonts w:ascii="仿宋_GB2312" w:eastAsia="仿宋_GB2312"/>
          <w:sz w:val="32"/>
          <w:szCs w:val="32"/>
        </w:rPr>
        <w:t>%</w:t>
      </w:r>
      <w:r>
        <w:rPr>
          <w:rFonts w:hint="eastAsia" w:ascii="仿宋_GB2312" w:eastAsia="仿宋_GB2312"/>
          <w:sz w:val="32"/>
          <w:szCs w:val="32"/>
        </w:rPr>
        <w:t>。主要原因是</w:t>
      </w:r>
      <w:r>
        <w:rPr>
          <w:rFonts w:hint="eastAsia" w:ascii="仿宋_GB2312" w:hAnsi="仿宋_GB2312" w:eastAsia="仿宋_GB2312" w:cs="仿宋_GB2312"/>
          <w:b w:val="0"/>
          <w:bCs/>
          <w:sz w:val="32"/>
          <w:szCs w:val="32"/>
        </w:rPr>
        <w:t>主要原因是</w:t>
      </w:r>
      <w:r>
        <w:rPr>
          <w:rFonts w:hint="eastAsia" w:ascii="仿宋_GB2312" w:hAnsi="仿宋_GB2312" w:eastAsia="仿宋_GB2312" w:cs="仿宋_GB2312"/>
          <w:b w:val="0"/>
          <w:bCs/>
          <w:sz w:val="32"/>
          <w:szCs w:val="32"/>
          <w:lang w:eastAsia="zh-CN"/>
        </w:rPr>
        <w:t>压缩三公经费</w:t>
      </w:r>
      <w:r>
        <w:rPr>
          <w:rFonts w:hint="eastAsia" w:ascii="仿宋_GB2312" w:hAnsi="仿宋_GB2312" w:eastAsia="仿宋_GB2312" w:cs="仿宋_GB2312"/>
          <w:b w:val="0"/>
          <w:bCs/>
          <w:sz w:val="32"/>
          <w:szCs w:val="32"/>
        </w:rPr>
        <w:t>。</w:t>
      </w:r>
    </w:p>
    <w:p>
      <w:pPr>
        <w:spacing w:line="600" w:lineRule="exact"/>
        <w:ind w:firstLine="640" w:firstLineChars="200"/>
        <w:rPr>
          <w:rFonts w:hint="eastAsia" w:ascii="仿宋_GB2312" w:hAnsi="仿宋_GB2312" w:eastAsia="仿宋_GB2312" w:cs="仿宋_GB2312"/>
          <w:b w:val="0"/>
          <w:bCs/>
          <w:sz w:val="32"/>
          <w:szCs w:val="32"/>
          <w:lang w:val="en-US" w:eastAsia="zh-CN"/>
        </w:rPr>
      </w:pPr>
      <w:r>
        <w:rPr>
          <w:rFonts w:hint="eastAsia" w:ascii="仿宋_GB2312" w:eastAsia="仿宋_GB2312"/>
          <w:sz w:val="32"/>
          <w:szCs w:val="32"/>
        </w:rPr>
        <w:t>其中：</w:t>
      </w:r>
      <w:r>
        <w:rPr>
          <w:rFonts w:hint="eastAsia" w:ascii="仿宋_GB2312" w:eastAsia="仿宋_GB2312"/>
          <w:b/>
          <w:sz w:val="32"/>
          <w:szCs w:val="32"/>
        </w:rPr>
        <w:t>公务用车购置支出</w:t>
      </w:r>
      <w:r>
        <w:rPr>
          <w:rFonts w:ascii="仿宋" w:hAnsi="仿宋" w:eastAsia="仿宋"/>
          <w:b/>
          <w:sz w:val="32"/>
          <w:szCs w:val="32"/>
        </w:rPr>
        <w:t>0</w:t>
      </w:r>
      <w:r>
        <w:rPr>
          <w:rFonts w:hint="eastAsia" w:ascii="仿宋_GB2312" w:eastAsia="仿宋_GB2312"/>
          <w:sz w:val="32"/>
          <w:szCs w:val="32"/>
        </w:rPr>
        <w:t>万元。全年按规定更新购置公务用车</w:t>
      </w:r>
      <w:r>
        <w:rPr>
          <w:rFonts w:hint="eastAsia" w:ascii="仿宋_GB2312" w:eastAsia="仿宋_GB2312"/>
          <w:sz w:val="32"/>
          <w:szCs w:val="32"/>
          <w:lang w:val="en-US" w:eastAsia="zh-CN"/>
        </w:rPr>
        <w:t>0</w:t>
      </w:r>
      <w:r>
        <w:rPr>
          <w:rFonts w:hint="eastAsia" w:ascii="仿宋_GB2312" w:eastAsia="仿宋_GB2312"/>
          <w:sz w:val="32"/>
          <w:szCs w:val="32"/>
        </w:rPr>
        <w:t>辆，其中：轿车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万元，越野车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万元，载客汽车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万元。截至202</w:t>
      </w:r>
      <w:r>
        <w:rPr>
          <w:rFonts w:hint="eastAsia" w:ascii="仿宋_GB2312" w:eastAsia="仿宋_GB2312"/>
          <w:sz w:val="32"/>
          <w:szCs w:val="32"/>
          <w:lang w:val="en-US" w:eastAsia="zh-CN"/>
        </w:rPr>
        <w:t>4</w:t>
      </w:r>
      <w:r>
        <w:rPr>
          <w:rFonts w:hint="eastAsia" w:ascii="仿宋_GB2312" w:eastAsia="仿宋_GB2312"/>
          <w:sz w:val="32"/>
          <w:szCs w:val="32"/>
        </w:rPr>
        <w:t>年</w:t>
      </w:r>
      <w:r>
        <w:rPr>
          <w:rFonts w:ascii="仿宋_GB2312" w:eastAsia="仿宋_GB2312"/>
          <w:sz w:val="32"/>
          <w:szCs w:val="32"/>
        </w:rPr>
        <w:t>12</w:t>
      </w:r>
      <w:r>
        <w:rPr>
          <w:rFonts w:hint="eastAsia" w:ascii="仿宋_GB2312" w:eastAsia="仿宋_GB2312"/>
          <w:sz w:val="32"/>
          <w:szCs w:val="32"/>
        </w:rPr>
        <w:t>月31日，单位共有公务用车</w:t>
      </w:r>
      <w:r>
        <w:rPr>
          <w:rFonts w:hint="eastAsia" w:ascii="仿宋_GB2312" w:eastAsia="仿宋_GB2312"/>
          <w:sz w:val="32"/>
          <w:szCs w:val="32"/>
          <w:lang w:val="en-US" w:eastAsia="zh-CN"/>
        </w:rPr>
        <w:t>1</w:t>
      </w:r>
      <w:r>
        <w:rPr>
          <w:rFonts w:hint="eastAsia" w:ascii="仿宋_GB2312" w:eastAsia="仿宋_GB2312"/>
          <w:sz w:val="32"/>
          <w:szCs w:val="32"/>
        </w:rPr>
        <w:t>辆，其中：轿车</w:t>
      </w:r>
      <w:r>
        <w:rPr>
          <w:rFonts w:hint="eastAsia" w:ascii="仿宋_GB2312" w:eastAsia="仿宋_GB2312"/>
          <w:sz w:val="32"/>
          <w:szCs w:val="32"/>
          <w:lang w:val="en-US" w:eastAsia="zh-CN"/>
        </w:rPr>
        <w:t>0</w:t>
      </w:r>
      <w:r>
        <w:rPr>
          <w:rFonts w:hint="eastAsia" w:ascii="仿宋_GB2312" w:eastAsia="仿宋_GB2312"/>
          <w:sz w:val="32"/>
          <w:szCs w:val="32"/>
        </w:rPr>
        <w:t>辆、越野车</w:t>
      </w:r>
      <w:r>
        <w:rPr>
          <w:rFonts w:hint="eastAsia" w:ascii="仿宋_GB2312" w:eastAsia="仿宋_GB2312"/>
          <w:sz w:val="32"/>
          <w:szCs w:val="32"/>
          <w:lang w:val="en-US" w:eastAsia="zh-CN"/>
        </w:rPr>
        <w:t>1</w:t>
      </w:r>
      <w:r>
        <w:rPr>
          <w:rFonts w:hint="eastAsia" w:ascii="仿宋_GB2312" w:eastAsia="仿宋_GB2312"/>
          <w:sz w:val="32"/>
          <w:szCs w:val="32"/>
        </w:rPr>
        <w:t>辆、载客汽车</w:t>
      </w:r>
      <w:r>
        <w:rPr>
          <w:rFonts w:hint="eastAsia" w:ascii="仿宋_GB2312" w:eastAsia="仿宋_GB2312"/>
          <w:sz w:val="32"/>
          <w:szCs w:val="32"/>
          <w:lang w:val="en-US" w:eastAsia="zh-CN"/>
        </w:rPr>
        <w:t>0</w:t>
      </w:r>
      <w:r>
        <w:rPr>
          <w:rFonts w:hint="eastAsia" w:ascii="仿宋_GB2312" w:eastAsia="仿宋_GB2312"/>
          <w:sz w:val="32"/>
          <w:szCs w:val="32"/>
        </w:rPr>
        <w:t>辆。</w:t>
      </w:r>
    </w:p>
    <w:p>
      <w:pPr>
        <w:ind w:firstLine="643" w:firstLineChars="200"/>
        <w:rPr>
          <w:rFonts w:hint="eastAsia" w:ascii="仿宋_GB2312" w:hAnsi="仿宋_GB2312" w:eastAsia="仿宋_GB2312" w:cs="仿宋_GB2312"/>
          <w:b w:val="0"/>
          <w:bCs/>
          <w:sz w:val="32"/>
          <w:szCs w:val="32"/>
        </w:rPr>
      </w:pPr>
      <w:r>
        <w:rPr>
          <w:rFonts w:hint="eastAsia" w:ascii="仿宋_GB2312" w:eastAsia="仿宋_GB2312"/>
          <w:b/>
          <w:sz w:val="32"/>
          <w:szCs w:val="32"/>
        </w:rPr>
        <w:t>公务用车运行维护费支出</w:t>
      </w:r>
      <w:r>
        <w:rPr>
          <w:rFonts w:hint="eastAsia" w:ascii="仿宋" w:hAnsi="仿宋" w:eastAsia="仿宋"/>
          <w:b/>
          <w:sz w:val="32"/>
          <w:szCs w:val="32"/>
          <w:lang w:val="en-US" w:eastAsia="zh-CN"/>
        </w:rPr>
        <w:t>2.84</w:t>
      </w:r>
      <w:r>
        <w:rPr>
          <w:rFonts w:hint="eastAsia" w:ascii="仿宋_GB2312" w:eastAsia="仿宋_GB2312"/>
          <w:sz w:val="32"/>
          <w:szCs w:val="32"/>
        </w:rPr>
        <w:t>万元</w:t>
      </w:r>
      <w:r>
        <w:rPr>
          <w:rFonts w:hint="eastAsia" w:ascii="仿宋_GB2312" w:hAnsi="仿宋_GB2312" w:eastAsia="仿宋_GB2312" w:cs="仿宋_GB2312"/>
          <w:b w:val="0"/>
          <w:bCs/>
          <w:sz w:val="32"/>
          <w:szCs w:val="32"/>
        </w:rPr>
        <w:t>。主要用于公路建设</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lang w:val="en-US" w:eastAsia="zh-CN"/>
        </w:rPr>
        <w:t>安全环保检查、</w:t>
      </w:r>
      <w:r>
        <w:rPr>
          <w:rFonts w:hint="eastAsia" w:ascii="仿宋_GB2312" w:hAnsi="仿宋_GB2312" w:eastAsia="仿宋_GB2312" w:cs="仿宋_GB2312"/>
          <w:b w:val="0"/>
          <w:bCs/>
          <w:sz w:val="32"/>
          <w:szCs w:val="32"/>
        </w:rPr>
        <w:t>养护检查等所需的公务用车燃料费、维修费、过路过桥费、保险费等支出。</w:t>
      </w:r>
    </w:p>
    <w:p>
      <w:pPr>
        <w:spacing w:line="600" w:lineRule="exact"/>
        <w:ind w:firstLine="640"/>
        <w:rPr>
          <w:rFonts w:ascii="仿宋_GB2312" w:eastAsia="仿宋_GB2312"/>
          <w:sz w:val="32"/>
          <w:szCs w:val="32"/>
        </w:rPr>
      </w:pPr>
      <w:r>
        <w:rPr>
          <w:rFonts w:hint="eastAsia" w:ascii="仿宋_GB2312" w:hAnsi="仿宋_GB2312" w:eastAsia="仿宋_GB2312" w:cs="仿宋_GB2312"/>
          <w:b w:val="0"/>
          <w:bCs/>
          <w:sz w:val="32"/>
          <w:szCs w:val="32"/>
        </w:rPr>
        <w:t>3.</w:t>
      </w:r>
      <w:r>
        <w:rPr>
          <w:rFonts w:hint="eastAsia" w:ascii="仿宋_GB2312" w:eastAsia="仿宋_GB2312"/>
          <w:b/>
          <w:sz w:val="32"/>
          <w:szCs w:val="32"/>
        </w:rPr>
        <w:t>公务接待费支出</w:t>
      </w:r>
      <w:r>
        <w:rPr>
          <w:rFonts w:ascii="仿宋" w:hAnsi="仿宋" w:eastAsia="仿宋"/>
          <w:b/>
          <w:sz w:val="32"/>
          <w:szCs w:val="32"/>
        </w:rPr>
        <w:t>1.</w:t>
      </w:r>
      <w:r>
        <w:rPr>
          <w:rFonts w:hint="eastAsia" w:ascii="仿宋" w:hAnsi="仿宋" w:eastAsia="仿宋"/>
          <w:b/>
          <w:sz w:val="32"/>
          <w:szCs w:val="32"/>
          <w:lang w:val="en-US" w:eastAsia="zh-CN"/>
        </w:rPr>
        <w:t>13</w:t>
      </w:r>
      <w:r>
        <w:rPr>
          <w:rFonts w:hint="eastAsia" w:ascii="仿宋_GB2312" w:eastAsia="仿宋_GB2312"/>
          <w:sz w:val="32"/>
          <w:szCs w:val="32"/>
        </w:rPr>
        <w:t>万元，</w:t>
      </w:r>
      <w:r>
        <w:rPr>
          <w:rStyle w:val="17"/>
          <w:rFonts w:hint="eastAsia" w:ascii="仿宋" w:hAnsi="仿宋" w:eastAsia="仿宋"/>
          <w:b w:val="0"/>
          <w:bCs/>
          <w:sz w:val="32"/>
          <w:szCs w:val="32"/>
        </w:rPr>
        <w:t>完成预算</w:t>
      </w:r>
      <w:r>
        <w:rPr>
          <w:rStyle w:val="17"/>
          <w:rFonts w:hint="eastAsia" w:ascii="仿宋" w:hAnsi="仿宋" w:eastAsia="仿宋"/>
          <w:b w:val="0"/>
          <w:bCs/>
          <w:sz w:val="32"/>
          <w:szCs w:val="32"/>
          <w:lang w:val="en-US" w:eastAsia="zh-CN"/>
        </w:rPr>
        <w:t>100</w:t>
      </w:r>
      <w:r>
        <w:rPr>
          <w:rStyle w:val="17"/>
          <w:rFonts w:ascii="仿宋" w:hAnsi="仿宋" w:eastAsia="仿宋"/>
          <w:b w:val="0"/>
          <w:bCs/>
          <w:sz w:val="32"/>
          <w:szCs w:val="32"/>
        </w:rPr>
        <w:t>%</w:t>
      </w:r>
      <w:r>
        <w:rPr>
          <w:rStyle w:val="17"/>
          <w:rFonts w:hint="eastAsia" w:ascii="仿宋" w:hAnsi="仿宋" w:eastAsia="仿宋"/>
          <w:b w:val="0"/>
          <w:bCs/>
          <w:sz w:val="32"/>
          <w:szCs w:val="32"/>
        </w:rPr>
        <w:t>。</w:t>
      </w:r>
      <w:r>
        <w:rPr>
          <w:rFonts w:hint="eastAsia" w:ascii="仿宋_GB2312" w:eastAsia="仿宋_GB2312"/>
          <w:sz w:val="32"/>
          <w:szCs w:val="32"/>
        </w:rPr>
        <w:t>公务接待费支出决算比202</w:t>
      </w:r>
      <w:r>
        <w:rPr>
          <w:rFonts w:hint="eastAsia" w:ascii="仿宋_GB2312" w:eastAsia="仿宋_GB2312"/>
          <w:sz w:val="32"/>
          <w:szCs w:val="32"/>
          <w:lang w:val="en-US" w:eastAsia="zh-CN"/>
        </w:rPr>
        <w:t>3</w:t>
      </w:r>
      <w:r>
        <w:rPr>
          <w:rFonts w:hint="eastAsia" w:ascii="仿宋_GB2312" w:eastAsia="仿宋_GB2312"/>
          <w:sz w:val="32"/>
          <w:szCs w:val="32"/>
        </w:rPr>
        <w:t>年度减少</w:t>
      </w:r>
      <w:r>
        <w:rPr>
          <w:rFonts w:hint="eastAsia" w:ascii="仿宋_GB2312" w:eastAsia="仿宋_GB2312"/>
          <w:sz w:val="32"/>
          <w:szCs w:val="32"/>
          <w:lang w:val="en-US" w:eastAsia="zh-CN"/>
        </w:rPr>
        <w:t>0.69</w:t>
      </w:r>
      <w:r>
        <w:rPr>
          <w:rFonts w:hint="eastAsia" w:ascii="仿宋_GB2312" w:eastAsia="仿宋_GB2312"/>
          <w:sz w:val="32"/>
          <w:szCs w:val="32"/>
        </w:rPr>
        <w:t>万元，下降</w:t>
      </w:r>
      <w:r>
        <w:rPr>
          <w:rFonts w:hint="eastAsia" w:ascii="仿宋_GB2312" w:eastAsia="仿宋_GB2312"/>
          <w:sz w:val="32"/>
          <w:szCs w:val="32"/>
          <w:lang w:val="en-US" w:eastAsia="zh-CN"/>
        </w:rPr>
        <w:t>37.91</w:t>
      </w:r>
      <w:r>
        <w:rPr>
          <w:rFonts w:ascii="仿宋_GB2312" w:eastAsia="仿宋_GB2312"/>
          <w:sz w:val="32"/>
          <w:szCs w:val="32"/>
        </w:rPr>
        <w:t>%</w:t>
      </w:r>
      <w:r>
        <w:rPr>
          <w:rFonts w:hint="eastAsia" w:ascii="仿宋_GB2312" w:eastAsia="仿宋_GB2312"/>
          <w:sz w:val="32"/>
          <w:szCs w:val="32"/>
        </w:rPr>
        <w:t>。主要原因是</w:t>
      </w:r>
      <w:r>
        <w:rPr>
          <w:rFonts w:hint="eastAsia" w:ascii="仿宋_GB2312" w:eastAsia="仿宋_GB2312"/>
          <w:sz w:val="32"/>
          <w:szCs w:val="32"/>
          <w:lang w:eastAsia="zh-CN"/>
        </w:rPr>
        <w:t>压缩三公经费</w:t>
      </w:r>
      <w:r>
        <w:rPr>
          <w:rFonts w:hint="eastAsia" w:ascii="仿宋_GB2312" w:eastAsia="仿宋_GB2312"/>
          <w:sz w:val="32"/>
          <w:szCs w:val="32"/>
        </w:rPr>
        <w:t>。其中：</w:t>
      </w:r>
    </w:p>
    <w:p>
      <w:pPr>
        <w:spacing w:line="600" w:lineRule="exact"/>
        <w:ind w:firstLine="640"/>
        <w:rPr>
          <w:rFonts w:hint="default" w:ascii="仿宋_GB2312" w:hAnsi="仿宋_GB2312" w:eastAsia="仿宋_GB2312" w:cs="仿宋_GB2312"/>
          <w:b w:val="0"/>
          <w:bCs/>
          <w:color w:val="auto"/>
          <w:sz w:val="32"/>
          <w:szCs w:val="32"/>
          <w:highlight w:val="yellow"/>
          <w:lang w:val="en-US" w:eastAsia="zh-CN"/>
        </w:rPr>
      </w:pPr>
      <w:r>
        <w:rPr>
          <w:rFonts w:hint="eastAsia" w:ascii="仿宋" w:hAnsi="仿宋" w:eastAsia="仿宋"/>
          <w:b/>
          <w:sz w:val="32"/>
          <w:szCs w:val="32"/>
        </w:rPr>
        <w:t>国内公务接待支出</w:t>
      </w:r>
      <w:r>
        <w:rPr>
          <w:rFonts w:ascii="仿宋" w:hAnsi="仿宋" w:eastAsia="仿宋"/>
          <w:b/>
          <w:sz w:val="32"/>
          <w:szCs w:val="32"/>
        </w:rPr>
        <w:t>1.</w:t>
      </w:r>
      <w:r>
        <w:rPr>
          <w:rFonts w:hint="eastAsia" w:ascii="仿宋" w:hAnsi="仿宋" w:eastAsia="仿宋"/>
          <w:b/>
          <w:sz w:val="32"/>
          <w:szCs w:val="32"/>
          <w:lang w:val="en-US" w:eastAsia="zh-CN"/>
        </w:rPr>
        <w:t>13</w:t>
      </w:r>
      <w:r>
        <w:rPr>
          <w:rFonts w:hint="eastAsia" w:ascii="仿宋_GB2312" w:eastAsia="仿宋_GB2312"/>
          <w:sz w:val="32"/>
          <w:szCs w:val="32"/>
        </w:rPr>
        <w:t>万元</w:t>
      </w:r>
      <w:r>
        <w:rPr>
          <w:rFonts w:hint="eastAsia" w:ascii="仿宋_GB2312" w:hAnsi="仿宋_GB2312" w:eastAsia="仿宋_GB2312" w:cs="仿宋_GB2312"/>
          <w:b w:val="0"/>
          <w:bCs/>
          <w:sz w:val="32"/>
          <w:szCs w:val="32"/>
        </w:rPr>
        <w:t>，主要用于</w:t>
      </w:r>
      <w:r>
        <w:rPr>
          <w:rFonts w:hint="eastAsia" w:ascii="仿宋_GB2312" w:eastAsia="仿宋_GB2312"/>
          <w:sz w:val="32"/>
          <w:szCs w:val="32"/>
        </w:rPr>
        <w:t>主要用于执行公务、开展业务活动开支的用餐费。</w:t>
      </w:r>
      <w:r>
        <w:rPr>
          <w:rFonts w:hint="eastAsia" w:ascii="仿宋_GB2312" w:eastAsia="仿宋_GB2312"/>
          <w:color w:val="auto"/>
          <w:sz w:val="32"/>
          <w:szCs w:val="32"/>
        </w:rPr>
        <w:t>国内公务接待</w:t>
      </w:r>
      <w:r>
        <w:rPr>
          <w:rFonts w:hint="eastAsia" w:ascii="仿宋_GB2312" w:eastAsia="仿宋_GB2312"/>
          <w:color w:val="auto"/>
          <w:sz w:val="32"/>
          <w:szCs w:val="32"/>
          <w:lang w:val="en-US" w:eastAsia="zh-CN"/>
        </w:rPr>
        <w:t>9</w:t>
      </w:r>
      <w:r>
        <w:rPr>
          <w:rFonts w:hint="eastAsia" w:ascii="仿宋_GB2312" w:eastAsia="仿宋_GB2312"/>
          <w:color w:val="auto"/>
          <w:sz w:val="32"/>
          <w:szCs w:val="32"/>
        </w:rPr>
        <w:t>批次，</w:t>
      </w:r>
      <w:r>
        <w:rPr>
          <w:rFonts w:hint="eastAsia" w:ascii="仿宋_GB2312" w:eastAsia="仿宋_GB2312"/>
          <w:color w:val="auto"/>
          <w:sz w:val="32"/>
          <w:szCs w:val="32"/>
          <w:lang w:val="en-US" w:eastAsia="zh-CN"/>
        </w:rPr>
        <w:t>62</w:t>
      </w:r>
      <w:r>
        <w:rPr>
          <w:rFonts w:hint="eastAsia" w:ascii="仿宋_GB2312" w:eastAsia="仿宋_GB2312"/>
          <w:color w:val="auto"/>
          <w:sz w:val="32"/>
          <w:szCs w:val="32"/>
        </w:rPr>
        <w:t>人次（不包括陪同人员），共计支出</w:t>
      </w:r>
      <w:r>
        <w:rPr>
          <w:rFonts w:hint="eastAsia" w:ascii="仿宋_GB2312" w:eastAsia="仿宋_GB2312"/>
          <w:color w:val="auto"/>
          <w:sz w:val="32"/>
          <w:szCs w:val="32"/>
          <w:lang w:val="en-US" w:eastAsia="zh-CN"/>
        </w:rPr>
        <w:t>1.13</w:t>
      </w:r>
      <w:r>
        <w:rPr>
          <w:rFonts w:hint="eastAsia" w:ascii="仿宋_GB2312" w:eastAsia="仿宋_GB2312"/>
          <w:color w:val="auto"/>
          <w:sz w:val="32"/>
          <w:szCs w:val="32"/>
        </w:rPr>
        <w:t>万元，具体内容包括：</w:t>
      </w:r>
      <w:r>
        <w:rPr>
          <w:rFonts w:hint="eastAsia" w:ascii="仿宋_GB2312" w:hAnsi="仿宋_GB2312" w:eastAsia="仿宋_GB2312" w:cs="仿宋_GB2312"/>
          <w:b w:val="0"/>
          <w:bCs/>
          <w:color w:val="auto"/>
          <w:sz w:val="32"/>
          <w:szCs w:val="32"/>
          <w:lang w:eastAsia="zh-CN"/>
        </w:rPr>
        <w:t>接待农村公路立法调研</w:t>
      </w:r>
      <w:r>
        <w:rPr>
          <w:rFonts w:hint="eastAsia" w:ascii="仿宋_GB2312" w:hAnsi="仿宋_GB2312" w:eastAsia="仿宋_GB2312" w:cs="仿宋_GB2312"/>
          <w:b w:val="0"/>
          <w:bCs/>
          <w:color w:val="auto"/>
          <w:sz w:val="32"/>
          <w:szCs w:val="32"/>
          <w:lang w:val="en-US" w:eastAsia="zh-CN"/>
        </w:rPr>
        <w:t>0.15万元，接待省厅安全督导组0.1万元，接待省交院工作交流0.11万元，接待省厅汛期安全生产督导0.11万元，接待厅公路局安全检查0.2万元，接待省厅节前安全检查0.11万元，接待省厅普通公路养护项目评价0.11万元，交通部金沙江下游航道运输需求调研0.12万元。</w:t>
      </w:r>
    </w:p>
    <w:p>
      <w:pPr>
        <w:spacing w:line="600" w:lineRule="exact"/>
        <w:ind w:firstLine="643" w:firstLineChars="200"/>
        <w:rPr>
          <w:rFonts w:hint="eastAsia" w:ascii="仿宋_GB2312" w:hAnsi="仿宋_GB2312" w:eastAsia="仿宋_GB2312" w:cs="仿宋_GB2312"/>
          <w:b w:val="0"/>
          <w:bCs/>
          <w:sz w:val="32"/>
          <w:szCs w:val="32"/>
        </w:rPr>
      </w:pPr>
      <w:r>
        <w:rPr>
          <w:rFonts w:hint="eastAsia" w:ascii="仿宋" w:hAnsi="仿宋" w:eastAsia="仿宋"/>
          <w:b/>
          <w:sz w:val="32"/>
          <w:szCs w:val="32"/>
        </w:rPr>
        <w:t>外事接待支出</w:t>
      </w:r>
      <w:r>
        <w:rPr>
          <w:rFonts w:ascii="仿宋" w:hAnsi="仿宋" w:eastAsia="仿宋"/>
          <w:b/>
          <w:sz w:val="32"/>
          <w:szCs w:val="32"/>
        </w:rPr>
        <w:t>0</w:t>
      </w:r>
      <w:r>
        <w:rPr>
          <w:rFonts w:hint="eastAsia" w:ascii="仿宋_GB2312" w:eastAsia="仿宋_GB2312"/>
          <w:sz w:val="32"/>
          <w:szCs w:val="32"/>
        </w:rPr>
        <w:t>万元</w:t>
      </w:r>
      <w:r>
        <w:rPr>
          <w:rFonts w:hint="eastAsia" w:ascii="仿宋_GB2312" w:hAnsi="仿宋_GB2312" w:eastAsia="仿宋_GB2312" w:cs="仿宋_GB2312"/>
          <w:b w:val="0"/>
          <w:bCs/>
          <w:sz w:val="32"/>
          <w:szCs w:val="32"/>
          <w:lang w:eastAsia="zh-CN"/>
        </w:rPr>
        <w:t>。</w:t>
      </w:r>
      <w:bookmarkStart w:id="53" w:name="_Toc15377218"/>
      <w:bookmarkStart w:id="54" w:name="_Toc15396610"/>
    </w:p>
    <w:p>
      <w:pPr>
        <w:spacing w:line="600" w:lineRule="exact"/>
        <w:ind w:firstLine="640"/>
        <w:outlineLvl w:val="1"/>
        <w:rPr>
          <w:rStyle w:val="28"/>
          <w:rFonts w:ascii="黑体" w:hAnsi="黑体" w:eastAsia="黑体"/>
        </w:rPr>
      </w:pPr>
      <w:bookmarkStart w:id="55" w:name="_Toc21026"/>
      <w:r>
        <w:rPr>
          <w:rFonts w:hint="eastAsia" w:ascii="黑体" w:eastAsia="黑体"/>
          <w:sz w:val="32"/>
          <w:szCs w:val="32"/>
        </w:rPr>
        <w:t>八、</w:t>
      </w:r>
      <w:r>
        <w:rPr>
          <w:rStyle w:val="28"/>
          <w:rFonts w:hint="eastAsia" w:ascii="黑体" w:hAnsi="黑体" w:eastAsia="黑体"/>
          <w:b w:val="0"/>
        </w:rPr>
        <w:t>政府性基金预算支出决算情况说明</w:t>
      </w:r>
      <w:bookmarkEnd w:id="53"/>
      <w:bookmarkEnd w:id="54"/>
      <w:bookmarkEnd w:id="55"/>
    </w:p>
    <w:p>
      <w:pPr>
        <w:spacing w:line="600" w:lineRule="exact"/>
        <w:ind w:firstLine="640"/>
        <w:rPr>
          <w:rFonts w:hint="default" w:ascii="Times New Roman" w:hAnsi="Times New Roman" w:eastAsia="仿宋_GB2312" w:cs="仿宋_GB2312"/>
          <w:color w:val="auto"/>
          <w:kern w:val="2"/>
          <w:sz w:val="32"/>
          <w:szCs w:val="32"/>
          <w:highlight w:val="none"/>
          <w:lang w:val="en-US" w:eastAsia="zh-CN" w:bidi="ar-SA"/>
        </w:rPr>
      </w:pPr>
      <w:bookmarkStart w:id="56" w:name="_Toc15396611"/>
      <w:bookmarkStart w:id="57" w:name="_Toc15377219"/>
      <w:r>
        <w:rPr>
          <w:rFonts w:hint="eastAsia" w:ascii="仿宋_GB2312" w:hAnsi="仿宋_GB2312" w:eastAsia="仿宋_GB2312" w:cs="仿宋_GB2312"/>
          <w:color w:val="auto"/>
          <w:kern w:val="2"/>
          <w:sz w:val="32"/>
          <w:szCs w:val="32"/>
          <w:highlight w:val="none"/>
          <w:lang w:val="en-US" w:eastAsia="zh-CN" w:bidi="ar-SA"/>
        </w:rPr>
        <w:t>2024年度政府性基金预算财政拨款支出</w:t>
      </w:r>
      <w:r>
        <w:rPr>
          <w:rFonts w:hint="eastAsia" w:ascii="仿宋_GB2312" w:hAnsi="仿宋_GB2312" w:eastAsia="仿宋_GB2312" w:cs="仿宋_GB2312"/>
          <w:sz w:val="32"/>
          <w:szCs w:val="32"/>
        </w:rPr>
        <w:t>17116.49</w:t>
      </w:r>
      <w:r>
        <w:rPr>
          <w:rFonts w:hint="eastAsia" w:ascii="仿宋_GB2312" w:hAnsi="仿宋_GB2312" w:eastAsia="仿宋_GB2312" w:cs="仿宋_GB2312"/>
          <w:color w:val="auto"/>
          <w:kern w:val="2"/>
          <w:sz w:val="32"/>
          <w:szCs w:val="32"/>
          <w:highlight w:val="none"/>
          <w:lang w:val="en-US" w:eastAsia="zh-CN" w:bidi="ar-SA"/>
        </w:rPr>
        <w:t>万元，占本年支出合计的</w:t>
      </w:r>
      <w:r>
        <w:rPr>
          <w:rFonts w:hint="eastAsia" w:ascii="仿宋_GB2312" w:hAnsi="仿宋_GB2312" w:eastAsia="仿宋_GB2312" w:cs="仿宋_GB2312"/>
          <w:sz w:val="32"/>
          <w:szCs w:val="32"/>
        </w:rPr>
        <w:t>61.47</w:t>
      </w:r>
      <w:r>
        <w:rPr>
          <w:rFonts w:hint="eastAsia" w:ascii="仿宋_GB2312" w:hAnsi="仿宋_GB2312"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与2023年度相比，政府性基金预算财政拨款支出增加17097.54万元，增长90224.49%。主要变动原因是安排政府性基金偿还政府债务15916万元。</w:t>
      </w:r>
    </w:p>
    <w:p>
      <w:pPr>
        <w:numPr>
          <w:ilvl w:val="0"/>
          <w:numId w:val="3"/>
        </w:numPr>
        <w:spacing w:line="600" w:lineRule="exact"/>
        <w:ind w:firstLine="640"/>
        <w:outlineLvl w:val="1"/>
        <w:rPr>
          <w:rStyle w:val="28"/>
          <w:rFonts w:ascii="黑体" w:hAnsi="黑体" w:eastAsia="黑体"/>
          <w:b w:val="0"/>
        </w:rPr>
      </w:pPr>
      <w:bookmarkStart w:id="58" w:name="_Toc7881"/>
      <w:r>
        <w:rPr>
          <w:rStyle w:val="28"/>
          <w:rFonts w:hint="eastAsia" w:ascii="黑体" w:hAnsi="黑体" w:eastAsia="黑体"/>
          <w:b w:val="0"/>
        </w:rPr>
        <w:t>国有资本经营预算支出决算情况说明</w:t>
      </w:r>
      <w:bookmarkEnd w:id="56"/>
      <w:bookmarkEnd w:id="57"/>
      <w:bookmarkEnd w:id="58"/>
    </w:p>
    <w:p>
      <w:pPr>
        <w:spacing w:line="600" w:lineRule="exact"/>
        <w:ind w:firstLine="640"/>
        <w:rPr>
          <w:rFonts w:ascii="方正小标宋简体" w:hAnsi="方正小标宋简体" w:eastAsia="方正小标宋简体" w:cs="方正小标宋简体"/>
          <w:sz w:val="44"/>
          <w:szCs w:val="44"/>
        </w:rPr>
      </w:pPr>
      <w:r>
        <w:rPr>
          <w:rFonts w:ascii="仿宋_GB2312" w:eastAsia="仿宋_GB2312"/>
          <w:sz w:val="32"/>
          <w:szCs w:val="32"/>
        </w:rPr>
        <w:t>20</w:t>
      </w:r>
      <w:r>
        <w:rPr>
          <w:rFonts w:hint="eastAsia" w:ascii="仿宋_GB2312" w:eastAsia="仿宋_GB2312"/>
          <w:sz w:val="32"/>
          <w:szCs w:val="32"/>
        </w:rPr>
        <w:t>22年国有资本经营预算财政拨款支出</w:t>
      </w:r>
      <w:r>
        <w:rPr>
          <w:rFonts w:hint="eastAsia" w:ascii="仿宋_GB2312" w:eastAsia="仿宋_GB2312"/>
          <w:sz w:val="32"/>
          <w:szCs w:val="32"/>
          <w:lang w:val="en-US" w:eastAsia="zh-CN"/>
        </w:rPr>
        <w:t>0</w:t>
      </w:r>
      <w:r>
        <w:rPr>
          <w:rFonts w:hint="eastAsia" w:ascii="仿宋_GB2312" w:eastAsia="仿宋_GB2312"/>
          <w:sz w:val="32"/>
          <w:szCs w:val="32"/>
        </w:rPr>
        <w:t>万元。</w:t>
      </w:r>
    </w:p>
    <w:p>
      <w:pPr>
        <w:numPr>
          <w:ilvl w:val="0"/>
          <w:numId w:val="3"/>
        </w:numPr>
        <w:spacing w:line="600" w:lineRule="exact"/>
        <w:ind w:firstLine="640"/>
        <w:outlineLvl w:val="1"/>
        <w:rPr>
          <w:rStyle w:val="28"/>
          <w:rFonts w:ascii="黑体" w:hAnsi="黑体" w:eastAsia="黑体"/>
          <w:b w:val="0"/>
        </w:rPr>
      </w:pPr>
      <w:bookmarkStart w:id="59" w:name="_Toc15396612"/>
      <w:bookmarkStart w:id="60" w:name="_Toc15377221"/>
      <w:bookmarkStart w:id="61" w:name="_Toc11739"/>
      <w:r>
        <w:rPr>
          <w:rStyle w:val="28"/>
          <w:rFonts w:hint="eastAsia" w:ascii="黑体" w:hAnsi="黑体" w:eastAsia="黑体"/>
          <w:b w:val="0"/>
        </w:rPr>
        <w:t>其他重要事项的情况说明</w:t>
      </w:r>
      <w:bookmarkEnd w:id="59"/>
      <w:bookmarkEnd w:id="60"/>
      <w:bookmarkEnd w:id="61"/>
    </w:p>
    <w:p>
      <w:pPr>
        <w:spacing w:line="600" w:lineRule="exact"/>
        <w:ind w:firstLine="643" w:firstLineChars="200"/>
        <w:outlineLvl w:val="2"/>
        <w:rPr>
          <w:rFonts w:ascii="仿宋" w:hAnsi="仿宋" w:eastAsia="仿宋"/>
          <w:sz w:val="32"/>
          <w:szCs w:val="32"/>
        </w:rPr>
      </w:pPr>
      <w:bookmarkStart w:id="62" w:name="_Toc15377222"/>
      <w:r>
        <w:rPr>
          <w:rFonts w:hint="eastAsia" w:ascii="仿宋" w:hAnsi="仿宋" w:eastAsia="仿宋"/>
          <w:b/>
          <w:sz w:val="32"/>
          <w:szCs w:val="32"/>
        </w:rPr>
        <w:t>（一）机关运行经费支出情况</w:t>
      </w:r>
      <w:bookmarkEnd w:id="62"/>
    </w:p>
    <w:p>
      <w:pPr>
        <w:spacing w:line="600" w:lineRule="exact"/>
        <w:ind w:firstLine="640" w:firstLineChars="200"/>
        <w:rPr>
          <w:rFonts w:hint="eastAsia" w:ascii="仿宋_GB2312" w:eastAsia="仿宋_GB2312"/>
          <w:sz w:val="32"/>
          <w:szCs w:val="32"/>
        </w:rPr>
      </w:pPr>
      <w:bookmarkStart w:id="63" w:name="_Toc15377223"/>
      <w:r>
        <w:rPr>
          <w:rFonts w:hint="eastAsia" w:ascii="Times New Roman" w:hAnsi="Times New Roman" w:eastAsia="仿宋_GB2312" w:cs="仿宋_GB2312"/>
          <w:color w:val="auto"/>
          <w:kern w:val="2"/>
          <w:sz w:val="32"/>
          <w:szCs w:val="32"/>
          <w:highlight w:val="none"/>
          <w:lang w:val="en-US" w:eastAsia="zh-CN" w:bidi="ar-SA"/>
        </w:rPr>
        <w:t>2024年度</w:t>
      </w:r>
      <w:r>
        <w:rPr>
          <w:rFonts w:hint="eastAsia" w:ascii="仿宋_GB2312" w:hAnsi="仿宋_GB2312" w:eastAsia="仿宋_GB2312" w:cs="仿宋_GB2312"/>
          <w:color w:val="auto"/>
          <w:kern w:val="2"/>
          <w:sz w:val="32"/>
          <w:szCs w:val="32"/>
          <w:highlight w:val="none"/>
          <w:lang w:val="en-US" w:eastAsia="zh-CN" w:bidi="ar-SA"/>
        </w:rPr>
        <w:t>，</w:t>
      </w:r>
      <w:r>
        <w:rPr>
          <w:rFonts w:hint="eastAsia" w:ascii="仿宋_GB2312" w:hAnsi="仿宋_GB2312" w:eastAsia="仿宋_GB2312" w:cs="仿宋_GB2312"/>
          <w:sz w:val="32"/>
          <w:szCs w:val="32"/>
        </w:rPr>
        <w:t>四川省攀枝花市交通运输局（本级）</w:t>
      </w:r>
      <w:r>
        <w:rPr>
          <w:rFonts w:hint="eastAsia" w:ascii="仿宋_GB2312" w:hAnsi="仿宋_GB2312" w:eastAsia="仿宋_GB2312" w:cs="仿宋_GB2312"/>
          <w:color w:val="auto"/>
          <w:kern w:val="2"/>
          <w:sz w:val="32"/>
          <w:szCs w:val="32"/>
          <w:highlight w:val="none"/>
          <w:lang w:val="en-US" w:eastAsia="zh-CN" w:bidi="ar-SA"/>
        </w:rPr>
        <w:t>机关运行经费支出</w:t>
      </w:r>
      <w:r>
        <w:rPr>
          <w:rFonts w:hint="eastAsia" w:ascii="仿宋_GB2312" w:hAnsi="仿宋_GB2312" w:eastAsia="仿宋_GB2312" w:cs="仿宋_GB2312"/>
          <w:sz w:val="32"/>
          <w:szCs w:val="32"/>
        </w:rPr>
        <w:t>225.38</w:t>
      </w:r>
      <w:r>
        <w:rPr>
          <w:rFonts w:hint="eastAsia" w:ascii="仿宋_GB2312" w:hAnsi="仿宋_GB2312" w:eastAsia="仿宋_GB2312" w:cs="仿宋_GB2312"/>
          <w:color w:val="auto"/>
          <w:kern w:val="2"/>
          <w:sz w:val="32"/>
          <w:szCs w:val="32"/>
          <w:highlight w:val="none"/>
          <w:lang w:val="en-US" w:eastAsia="zh-CN" w:bidi="ar-SA"/>
        </w:rPr>
        <w:t>万</w:t>
      </w:r>
      <w:r>
        <w:rPr>
          <w:rFonts w:hint="eastAsia" w:ascii="Times New Roman" w:hAnsi="Times New Roman" w:eastAsia="仿宋_GB2312" w:cs="仿宋_GB2312"/>
          <w:color w:val="auto"/>
          <w:kern w:val="2"/>
          <w:sz w:val="32"/>
          <w:szCs w:val="32"/>
          <w:highlight w:val="none"/>
          <w:lang w:val="en-US" w:eastAsia="zh-CN" w:bidi="ar-SA"/>
        </w:rPr>
        <w:t>元，比2023年度增加13.98万元，增长6.61%。主要原因是人员经费自然增长。</w:t>
      </w:r>
    </w:p>
    <w:p>
      <w:pPr>
        <w:autoSpaceDE w:val="0"/>
        <w:autoSpaceDN w:val="0"/>
        <w:adjustRightInd w:val="0"/>
        <w:spacing w:line="60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（二）政府采购支出情况</w:t>
      </w:r>
      <w:bookmarkEnd w:id="63"/>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color w:val="auto"/>
          <w:kern w:val="2"/>
          <w:sz w:val="32"/>
          <w:szCs w:val="32"/>
          <w:highlight w:val="none"/>
          <w:lang w:val="en-US" w:eastAsia="zh-CN" w:bidi="ar-SA"/>
        </w:rPr>
        <w:t>2024年度，</w:t>
      </w:r>
      <w:r>
        <w:rPr>
          <w:rFonts w:hint="eastAsia" w:ascii="仿宋_GB2312" w:hAnsi="仿宋_GB2312" w:eastAsia="仿宋_GB2312" w:cs="仿宋_GB2312"/>
          <w:sz w:val="32"/>
          <w:szCs w:val="32"/>
        </w:rPr>
        <w:t>四川省攀枝花市交通运输局（本级）</w:t>
      </w:r>
      <w:r>
        <w:rPr>
          <w:rFonts w:hint="eastAsia" w:ascii="仿宋_GB2312" w:hAnsi="仿宋_GB2312" w:eastAsia="仿宋_GB2312" w:cs="仿宋_GB2312"/>
          <w:color w:val="auto"/>
          <w:kern w:val="2"/>
          <w:sz w:val="32"/>
          <w:szCs w:val="32"/>
          <w:highlight w:val="none"/>
          <w:lang w:val="en-US" w:eastAsia="zh-CN" w:bidi="ar-SA"/>
        </w:rPr>
        <w:t>政府采购支出总额</w:t>
      </w:r>
      <w:r>
        <w:rPr>
          <w:rFonts w:hint="eastAsia" w:ascii="仿宋_GB2312" w:hAnsi="仿宋_GB2312" w:eastAsia="仿宋_GB2312" w:cs="仿宋_GB2312"/>
          <w:sz w:val="32"/>
          <w:szCs w:val="32"/>
        </w:rPr>
        <w:t>971.1</w:t>
      </w:r>
      <w:r>
        <w:rPr>
          <w:rFonts w:hint="eastAsia" w:ascii="仿宋_GB2312" w:hAnsi="仿宋_GB2312" w:eastAsia="仿宋_GB2312" w:cs="仿宋_GB2312"/>
          <w:color w:val="auto"/>
          <w:kern w:val="2"/>
          <w:sz w:val="32"/>
          <w:szCs w:val="32"/>
          <w:highlight w:val="none"/>
          <w:lang w:val="en-US" w:eastAsia="zh-CN" w:bidi="ar-SA"/>
        </w:rPr>
        <w:t>万元，其中：政府采购货物支出</w:t>
      </w:r>
      <w:r>
        <w:rPr>
          <w:rFonts w:hint="eastAsia" w:ascii="仿宋_GB2312" w:hAnsi="仿宋_GB2312" w:eastAsia="仿宋_GB2312" w:cs="仿宋_GB2312"/>
          <w:sz w:val="32"/>
          <w:szCs w:val="32"/>
        </w:rPr>
        <w:t>1.96</w:t>
      </w:r>
      <w:r>
        <w:rPr>
          <w:rFonts w:hint="eastAsia" w:ascii="仿宋_GB2312" w:hAnsi="仿宋_GB2312" w:eastAsia="仿宋_GB2312" w:cs="仿宋_GB2312"/>
          <w:color w:val="auto"/>
          <w:kern w:val="2"/>
          <w:sz w:val="32"/>
          <w:szCs w:val="32"/>
          <w:highlight w:val="none"/>
          <w:lang w:val="en-US" w:eastAsia="zh-CN" w:bidi="ar-SA"/>
        </w:rPr>
        <w:t>万元、政府采购工程支出</w:t>
      </w:r>
      <w:r>
        <w:rPr>
          <w:rFonts w:hint="eastAsia" w:ascii="仿宋_GB2312" w:hAnsi="仿宋_GB2312" w:eastAsia="仿宋_GB2312" w:cs="仿宋_GB2312"/>
          <w:sz w:val="32"/>
          <w:szCs w:val="32"/>
        </w:rPr>
        <w:t>721.56</w:t>
      </w:r>
      <w:r>
        <w:rPr>
          <w:rFonts w:hint="eastAsia" w:ascii="仿宋_GB2312" w:hAnsi="仿宋_GB2312" w:eastAsia="仿宋_GB2312" w:cs="仿宋_GB2312"/>
          <w:color w:val="auto"/>
          <w:kern w:val="2"/>
          <w:sz w:val="32"/>
          <w:szCs w:val="32"/>
          <w:highlight w:val="none"/>
          <w:lang w:val="en-US" w:eastAsia="zh-CN" w:bidi="ar-SA"/>
        </w:rPr>
        <w:t>万元、政府采购服务支出</w:t>
      </w:r>
      <w:r>
        <w:rPr>
          <w:rFonts w:hint="eastAsia" w:ascii="仿宋_GB2312" w:hAnsi="仿宋_GB2312" w:eastAsia="仿宋_GB2312" w:cs="仿宋_GB2312"/>
          <w:sz w:val="32"/>
          <w:szCs w:val="32"/>
        </w:rPr>
        <w:t>247.58</w:t>
      </w:r>
      <w:r>
        <w:rPr>
          <w:rFonts w:hint="eastAsia" w:ascii="仿宋_GB2312" w:hAnsi="仿宋_GB2312" w:eastAsia="仿宋_GB2312" w:cs="仿宋_GB2312"/>
          <w:color w:val="auto"/>
          <w:kern w:val="2"/>
          <w:sz w:val="32"/>
          <w:szCs w:val="32"/>
          <w:highlight w:val="none"/>
          <w:lang w:val="en-US" w:eastAsia="zh-CN" w:bidi="ar-SA"/>
        </w:rPr>
        <w:t>万元。主要用于火车南站长途客运站和公交换乘枢纽站后续工程项目、局机关通信网络租用服务、政府机关第十一食堂劳务采购。授予中小企业合同金额</w:t>
      </w:r>
      <w:r>
        <w:rPr>
          <w:rFonts w:hint="eastAsia" w:ascii="仿宋_GB2312" w:hAnsi="仿宋_GB2312" w:eastAsia="仿宋_GB2312" w:cs="仿宋_GB2312"/>
          <w:sz w:val="32"/>
          <w:szCs w:val="32"/>
        </w:rPr>
        <w:t>920.25</w:t>
      </w:r>
      <w:r>
        <w:rPr>
          <w:rFonts w:hint="eastAsia" w:ascii="仿宋_GB2312" w:hAnsi="仿宋_GB2312" w:eastAsia="仿宋_GB2312" w:cs="仿宋_GB2312"/>
          <w:color w:val="auto"/>
          <w:kern w:val="2"/>
          <w:sz w:val="32"/>
          <w:szCs w:val="32"/>
          <w:highlight w:val="none"/>
          <w:lang w:val="en-US" w:eastAsia="zh-CN" w:bidi="ar-SA"/>
        </w:rPr>
        <w:t>万元，占政府采购支出总额的</w:t>
      </w:r>
      <w:r>
        <w:rPr>
          <w:rFonts w:hint="eastAsia" w:ascii="仿宋_GB2312" w:hAnsi="仿宋_GB2312" w:eastAsia="仿宋_GB2312" w:cs="仿宋_GB2312"/>
          <w:sz w:val="32"/>
          <w:szCs w:val="32"/>
        </w:rPr>
        <w:t>94.76</w:t>
      </w:r>
      <w:r>
        <w:rPr>
          <w:rFonts w:hint="eastAsia" w:ascii="仿宋_GB2312" w:hAnsi="仿宋_GB2312" w:eastAsia="仿宋_GB2312" w:cs="仿宋_GB2312"/>
          <w:color w:val="auto"/>
          <w:kern w:val="2"/>
          <w:sz w:val="32"/>
          <w:szCs w:val="32"/>
          <w:highlight w:val="none"/>
          <w:lang w:val="en-US" w:eastAsia="zh-CN" w:bidi="ar-SA"/>
        </w:rPr>
        <w:t>%，其中：授予小微企业合同金额</w:t>
      </w:r>
      <w:r>
        <w:rPr>
          <w:rFonts w:hint="eastAsia" w:ascii="仿宋_GB2312" w:hAnsi="仿宋_GB2312" w:eastAsia="仿宋_GB2312" w:cs="仿宋_GB2312"/>
          <w:sz w:val="32"/>
          <w:szCs w:val="32"/>
        </w:rPr>
        <w:t>819.32</w:t>
      </w:r>
      <w:r>
        <w:rPr>
          <w:rFonts w:hint="eastAsia" w:ascii="仿宋_GB2312" w:hAnsi="仿宋_GB2312" w:eastAsia="仿宋_GB2312" w:cs="仿宋_GB2312"/>
          <w:color w:val="auto"/>
          <w:kern w:val="2"/>
          <w:sz w:val="32"/>
          <w:szCs w:val="32"/>
          <w:highlight w:val="none"/>
          <w:lang w:val="en-US" w:eastAsia="zh-CN" w:bidi="ar-SA"/>
        </w:rPr>
        <w:t>万元，占政府采购支出总额的</w:t>
      </w:r>
      <w:r>
        <w:rPr>
          <w:rFonts w:hint="eastAsia" w:ascii="仿宋_GB2312" w:hAnsi="仿宋_GB2312" w:eastAsia="仿宋_GB2312" w:cs="仿宋_GB2312"/>
          <w:sz w:val="32"/>
          <w:szCs w:val="32"/>
        </w:rPr>
        <w:t>84.37</w:t>
      </w:r>
      <w:r>
        <w:rPr>
          <w:rFonts w:hint="eastAsia" w:ascii="仿宋_GB2312" w:hAnsi="仿宋_GB2312" w:eastAsia="仿宋_GB2312" w:cs="仿宋_GB2312"/>
          <w:color w:val="auto"/>
          <w:kern w:val="2"/>
          <w:sz w:val="32"/>
          <w:szCs w:val="32"/>
          <w:highlight w:val="none"/>
          <w:lang w:val="en-US" w:eastAsia="zh-CN" w:bidi="ar-SA"/>
        </w:rPr>
        <w:t>%。</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64" w:name="_Toc15377224"/>
      <w:r>
        <w:rPr>
          <w:rFonts w:hint="eastAsia" w:ascii="仿宋" w:hAnsi="仿宋" w:eastAsia="仿宋"/>
          <w:b/>
          <w:sz w:val="32"/>
          <w:szCs w:val="32"/>
        </w:rPr>
        <w:t>（三）国有资产占有使用情况</w:t>
      </w:r>
      <w:bookmarkEnd w:id="64"/>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截至2024年12月31日，</w:t>
      </w:r>
      <w:r>
        <w:rPr>
          <w:rFonts w:hint="eastAsia" w:ascii="仿宋_GB2312" w:hAnsi="仿宋_GB2312" w:eastAsia="仿宋_GB2312" w:cs="仿宋_GB2312"/>
          <w:sz w:val="32"/>
          <w:szCs w:val="32"/>
        </w:rPr>
        <w:t>四川省攀枝花市交通运输局（本级）</w:t>
      </w:r>
      <w:r>
        <w:rPr>
          <w:rFonts w:hint="eastAsia" w:ascii="仿宋_GB2312" w:hAnsi="仿宋_GB2312" w:eastAsia="仿宋_GB2312" w:cs="仿宋_GB2312"/>
          <w:color w:val="auto"/>
          <w:kern w:val="2"/>
          <w:sz w:val="32"/>
          <w:szCs w:val="32"/>
          <w:highlight w:val="none"/>
          <w:lang w:val="en-US" w:eastAsia="zh-CN" w:bidi="ar-SA"/>
        </w:rPr>
        <w:t>共有车辆</w:t>
      </w:r>
      <w:r>
        <w:rPr>
          <w:rFonts w:hint="eastAsia" w:ascii="仿宋_GB2312" w:hAnsi="仿宋_GB2312" w:eastAsia="仿宋_GB2312" w:cs="仿宋_GB2312"/>
          <w:sz w:val="32"/>
          <w:szCs w:val="32"/>
        </w:rPr>
        <w:t>1</w:t>
      </w:r>
      <w:r>
        <w:rPr>
          <w:rFonts w:hint="eastAsia" w:ascii="仿宋_GB2312" w:hAnsi="仿宋_GB2312" w:eastAsia="仿宋_GB2312" w:cs="仿宋_GB2312"/>
          <w:color w:val="auto"/>
          <w:kern w:val="2"/>
          <w:sz w:val="32"/>
          <w:szCs w:val="32"/>
          <w:highlight w:val="none"/>
          <w:lang w:val="en-US" w:eastAsia="zh-CN" w:bidi="ar-SA"/>
        </w:rPr>
        <w:t>辆，其中：主要负责人用车</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辆、机要通信用车</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辆、应急保障用车</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辆、其他用车</w:t>
      </w:r>
      <w:r>
        <w:rPr>
          <w:rFonts w:hint="eastAsia" w:ascii="仿宋_GB2312" w:hAnsi="仿宋_GB2312" w:eastAsia="仿宋_GB2312" w:cs="仿宋_GB2312"/>
          <w:sz w:val="32"/>
          <w:szCs w:val="32"/>
        </w:rPr>
        <w:t>1</w:t>
      </w:r>
      <w:r>
        <w:rPr>
          <w:rFonts w:hint="eastAsia" w:ascii="仿宋_GB2312" w:hAnsi="仿宋_GB2312" w:eastAsia="仿宋_GB2312" w:cs="仿宋_GB2312"/>
          <w:color w:val="auto"/>
          <w:kern w:val="2"/>
          <w:sz w:val="32"/>
          <w:szCs w:val="32"/>
          <w:highlight w:val="none"/>
          <w:lang w:val="en-US" w:eastAsia="zh-CN" w:bidi="ar-SA"/>
        </w:rPr>
        <w:t>辆，其他用车主要是用于……。单价100万元（含）以上设备（不含车辆）</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台（套）</w:t>
      </w:r>
      <w:r>
        <w:rPr>
          <w:rFonts w:hint="eastAsia" w:ascii="Times New Roman" w:hAnsi="Times New Roman" w:eastAsia="仿宋_GB2312" w:cs="仿宋_GB2312"/>
          <w:color w:val="auto"/>
          <w:kern w:val="2"/>
          <w:sz w:val="32"/>
          <w:szCs w:val="32"/>
          <w:highlight w:val="none"/>
          <w:lang w:val="en-US" w:eastAsia="zh-CN" w:bidi="ar-SA"/>
        </w:rPr>
        <w:t>。</w:t>
      </w:r>
    </w:p>
    <w:p>
      <w:pPr>
        <w:autoSpaceDE w:val="0"/>
        <w:autoSpaceDN w:val="0"/>
        <w:adjustRightInd w:val="0"/>
        <w:spacing w:line="60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pPr>
        <w:pStyle w:val="8"/>
        <w:spacing w:before="93"/>
        <w:ind w:firstLine="640" w:firstLineChars="200"/>
        <w:rPr>
          <w:color w:val="auto"/>
          <w:highlight w:val="yellow"/>
        </w:rPr>
      </w:pPr>
      <w:r>
        <w:rPr>
          <w:rFonts w:hint="eastAsia" w:hAnsi="仿宋_GB2312" w:cs="仿宋_GB2312"/>
          <w:sz w:val="32"/>
          <w:szCs w:val="32"/>
        </w:rPr>
        <w:t>根据预算绩效管理要求，本单位在202</w:t>
      </w:r>
      <w:r>
        <w:rPr>
          <w:rFonts w:hint="eastAsia" w:hAnsi="仿宋_GB2312" w:cs="仿宋_GB2312"/>
          <w:sz w:val="32"/>
          <w:szCs w:val="32"/>
          <w:lang w:val="en-US" w:eastAsia="zh-CN"/>
        </w:rPr>
        <w:t>4</w:t>
      </w:r>
      <w:r>
        <w:rPr>
          <w:rFonts w:hint="eastAsia" w:hAnsi="仿宋_GB2312" w:cs="仿宋_GB2312"/>
          <w:sz w:val="32"/>
          <w:szCs w:val="32"/>
        </w:rPr>
        <w:t>年度预算编制阶段，</w:t>
      </w:r>
      <w:r>
        <w:rPr>
          <w:rFonts w:hint="eastAsia" w:hAnsi="仿宋_GB2312" w:cs="仿宋_GB2312"/>
          <w:color w:val="auto"/>
          <w:sz w:val="32"/>
          <w:szCs w:val="32"/>
        </w:rPr>
        <w:t>组织对</w:t>
      </w:r>
      <w:r>
        <w:rPr>
          <w:rFonts w:hint="eastAsia" w:hAnsi="仿宋_GB2312" w:cs="仿宋_GB2312"/>
          <w:color w:val="auto"/>
          <w:sz w:val="32"/>
          <w:szCs w:val="32"/>
          <w:lang w:eastAsia="zh-CN"/>
        </w:rPr>
        <w:t>攀枝花机场站坪扩建和盲降系统工程等</w:t>
      </w:r>
      <w:r>
        <w:rPr>
          <w:rFonts w:hint="eastAsia" w:hAnsi="仿宋_GB2312" w:cs="仿宋_GB2312"/>
          <w:color w:val="auto"/>
          <w:sz w:val="32"/>
          <w:szCs w:val="32"/>
          <w:lang w:val="en-US" w:eastAsia="zh-CN"/>
        </w:rPr>
        <w:t>25</w:t>
      </w:r>
      <w:r>
        <w:rPr>
          <w:rFonts w:hint="eastAsia" w:hAnsi="仿宋_GB2312" w:cs="仿宋_GB2312"/>
          <w:color w:val="auto"/>
          <w:sz w:val="32"/>
          <w:szCs w:val="32"/>
        </w:rPr>
        <w:t>个项目开展了预算事前绩效评估，对</w:t>
      </w:r>
      <w:r>
        <w:rPr>
          <w:rFonts w:hint="eastAsia" w:hAnsi="仿宋_GB2312" w:cs="仿宋_GB2312"/>
          <w:color w:val="auto"/>
          <w:sz w:val="32"/>
          <w:szCs w:val="32"/>
          <w:lang w:val="en-US" w:eastAsia="zh-CN"/>
        </w:rPr>
        <w:t>25</w:t>
      </w:r>
      <w:r>
        <w:rPr>
          <w:rFonts w:hint="eastAsia" w:hAnsi="仿宋_GB2312" w:cs="仿宋_GB2312"/>
          <w:color w:val="auto"/>
          <w:sz w:val="32"/>
          <w:szCs w:val="32"/>
        </w:rPr>
        <w:t>个项目编制了绩效目标，预算执行过程中，组织对</w:t>
      </w:r>
      <w:r>
        <w:rPr>
          <w:rFonts w:hint="eastAsia" w:hAnsi="仿宋_GB2312" w:cs="仿宋_GB2312"/>
          <w:color w:val="auto"/>
          <w:sz w:val="32"/>
          <w:szCs w:val="32"/>
          <w:lang w:val="en-US" w:eastAsia="zh-CN"/>
        </w:rPr>
        <w:t>25</w:t>
      </w:r>
      <w:r>
        <w:rPr>
          <w:rFonts w:hint="eastAsia" w:hAnsi="仿宋_GB2312" w:cs="仿宋_GB2312"/>
          <w:color w:val="auto"/>
          <w:sz w:val="32"/>
          <w:szCs w:val="32"/>
        </w:rPr>
        <w:t>个项目开展绩效自评，绩效自评表详见第四部分附件。</w:t>
      </w:r>
    </w:p>
    <w:p>
      <w:pPr>
        <w:widowControl/>
        <w:jc w:val="left"/>
        <w:rPr>
          <w:rFonts w:ascii="仿宋_GB2312" w:eastAsia="仿宋_GB2312"/>
          <w:b/>
          <w:sz w:val="32"/>
          <w:szCs w:val="32"/>
        </w:rPr>
      </w:pPr>
      <w:r>
        <w:rPr>
          <w:rFonts w:ascii="仿宋_GB2312" w:eastAsia="仿宋_GB2312"/>
          <w:b/>
          <w:sz w:val="32"/>
          <w:szCs w:val="32"/>
        </w:rPr>
        <w:br w:type="page"/>
      </w:r>
    </w:p>
    <w:p>
      <w:pPr>
        <w:numPr>
          <w:ilvl w:val="0"/>
          <w:numId w:val="4"/>
        </w:numPr>
        <w:spacing w:line="600" w:lineRule="exact"/>
        <w:ind w:firstLine="660" w:firstLineChars="150"/>
        <w:jc w:val="center"/>
        <w:outlineLvl w:val="0"/>
        <w:rPr>
          <w:rStyle w:val="27"/>
          <w:rFonts w:ascii="黑体" w:hAnsi="黑体" w:eastAsia="黑体"/>
          <w:b w:val="0"/>
        </w:rPr>
      </w:pPr>
      <w:bookmarkStart w:id="65" w:name="_Toc15396613"/>
      <w:bookmarkStart w:id="66" w:name="_Toc15377225"/>
      <w:bookmarkStart w:id="67" w:name="_Toc24770"/>
      <w:r>
        <w:rPr>
          <w:rFonts w:hint="eastAsia" w:ascii="黑体" w:hAnsi="黑体" w:eastAsia="黑体"/>
          <w:sz w:val="44"/>
          <w:szCs w:val="44"/>
        </w:rPr>
        <w:t>名</w:t>
      </w:r>
      <w:r>
        <w:rPr>
          <w:rStyle w:val="27"/>
          <w:rFonts w:hint="eastAsia" w:ascii="黑体" w:hAnsi="黑体" w:eastAsia="黑体"/>
          <w:b w:val="0"/>
        </w:rPr>
        <w:t>词解释</w:t>
      </w:r>
      <w:bookmarkEnd w:id="65"/>
      <w:bookmarkEnd w:id="66"/>
      <w:bookmarkEnd w:id="67"/>
    </w:p>
    <w:p>
      <w:pPr>
        <w:spacing w:line="600" w:lineRule="exact"/>
        <w:jc w:val="left"/>
        <w:rPr>
          <w:rFonts w:ascii="宋体"/>
          <w:b/>
          <w:sz w:val="44"/>
          <w:szCs w:val="44"/>
        </w:rPr>
      </w:pPr>
    </w:p>
    <w:p>
      <w:pPr>
        <w:pStyle w:val="25"/>
        <w:spacing w:line="560" w:lineRule="exact"/>
        <w:ind w:firstLine="640" w:firstLineChars="200"/>
        <w:rPr>
          <w:rFonts w:hint="eastAsia" w:ascii="仿宋_GB2312" w:hAnsi="仿宋_GB2312" w:eastAsia="仿宋_GB2312" w:cs="仿宋_GB2312"/>
          <w:sz w:val="32"/>
          <w:szCs w:val="32"/>
        </w:rPr>
      </w:pPr>
      <w:bookmarkStart w:id="68" w:name="_Toc15377226"/>
      <w:r>
        <w:rPr>
          <w:rFonts w:hint="eastAsia" w:ascii="仿宋_GB2312" w:hAnsi="仿宋_GB2312" w:eastAsia="仿宋_GB2312" w:cs="仿宋_GB2312"/>
          <w:sz w:val="32"/>
          <w:szCs w:val="32"/>
        </w:rPr>
        <w:t>1.财政拨款收入：指单位从同级财政部门取得的财政预算资金。</w:t>
      </w:r>
    </w:p>
    <w:p>
      <w:pPr>
        <w:pStyle w:val="25"/>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2.使用非财政拨款结余：指事业单位使用以前年度积累的非财政拨款结余弥补当年收支差额的金额。 </w:t>
      </w:r>
    </w:p>
    <w:p>
      <w:pPr>
        <w:numPr>
          <w:ilvl w:val="0"/>
          <w:numId w:val="0"/>
        </w:numPr>
        <w:ind w:firstLine="640"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3.一般公共服务支出（类）组织事务（款）其他组织事务支出（项）：</w:t>
      </w:r>
      <w:r>
        <w:rPr>
          <w:rFonts w:hint="eastAsia" w:ascii="仿宋_GB2312" w:hAnsi="仿宋_GB2312" w:eastAsia="仿宋_GB2312" w:cs="仿宋_GB2312"/>
          <w:b w:val="0"/>
          <w:bCs/>
          <w:sz w:val="32"/>
          <w:szCs w:val="32"/>
          <w:lang w:eastAsia="zh-CN"/>
        </w:rPr>
        <w:t>指其他用于中国共产党组织部门的事务支出</w:t>
      </w:r>
      <w:r>
        <w:rPr>
          <w:rFonts w:hint="eastAsia" w:ascii="仿宋_GB2312" w:hAnsi="仿宋_GB2312" w:eastAsia="仿宋_GB2312" w:cs="仿宋_GB2312"/>
          <w:b w:val="0"/>
          <w:bCs/>
          <w:sz w:val="32"/>
          <w:szCs w:val="32"/>
        </w:rPr>
        <w:t>。</w:t>
      </w:r>
    </w:p>
    <w:p>
      <w:pPr>
        <w:pStyle w:val="8"/>
        <w:ind w:firstLine="640" w:firstLineChars="200"/>
        <w:rPr>
          <w:rFonts w:hint="eastAsia" w:ascii="仿宋_GB2312" w:hAnsi="仿宋_GB2312" w:eastAsia="仿宋_GB2312" w:cs="仿宋_GB2312"/>
          <w:b w:val="0"/>
          <w:bCs/>
          <w:sz w:val="32"/>
          <w:szCs w:val="32"/>
        </w:rPr>
      </w:pPr>
      <w:r>
        <w:rPr>
          <w:rFonts w:hint="eastAsia" w:hAnsi="仿宋_GB2312" w:cs="仿宋_GB2312"/>
          <w:b w:val="0"/>
          <w:bCs/>
          <w:sz w:val="32"/>
          <w:szCs w:val="32"/>
          <w:lang w:val="en-US" w:eastAsia="zh-CN"/>
        </w:rPr>
        <w:t>4.</w:t>
      </w:r>
      <w:r>
        <w:rPr>
          <w:rFonts w:hint="eastAsia" w:ascii="仿宋_GB2312" w:hAnsi="仿宋_GB2312" w:eastAsia="仿宋_GB2312" w:cs="仿宋_GB2312"/>
          <w:b w:val="0"/>
          <w:bCs/>
          <w:sz w:val="32"/>
          <w:szCs w:val="32"/>
        </w:rPr>
        <w:t>社会保障和就业支出（类）人力资源和社会保障管理事务（款）其他人力资源和社会保障管理事务支出（项）:</w:t>
      </w:r>
      <w:r>
        <w:rPr>
          <w:rFonts w:hint="eastAsia" w:hAnsi="仿宋_GB2312" w:cs="仿宋_GB2312"/>
          <w:b w:val="0"/>
          <w:bCs/>
          <w:sz w:val="32"/>
          <w:szCs w:val="32"/>
          <w:lang w:eastAsia="zh-CN"/>
        </w:rPr>
        <w:t>其他用于人力资源和社会保障事务方面的支出</w:t>
      </w:r>
      <w:r>
        <w:rPr>
          <w:rFonts w:hint="eastAsia" w:ascii="仿宋_GB2312" w:hAnsi="仿宋_GB2312" w:eastAsia="仿宋_GB2312" w:cs="仿宋_GB2312"/>
          <w:b w:val="0"/>
          <w:bCs/>
          <w:sz w:val="32"/>
          <w:szCs w:val="32"/>
        </w:rPr>
        <w:t>。</w:t>
      </w:r>
    </w:p>
    <w:p>
      <w:pPr>
        <w:ind w:firstLine="640" w:firstLineChars="200"/>
        <w:rPr>
          <w:rFonts w:hint="default" w:ascii="仿宋_GB2312" w:hAnsi="仿宋_GB2312" w:eastAsia="仿宋_GB2312" w:cs="仿宋_GB2312"/>
          <w:b w:val="0"/>
          <w:bCs/>
          <w:sz w:val="32"/>
          <w:szCs w:val="32"/>
          <w:lang w:val="en-US" w:eastAsia="zh-CN"/>
        </w:rPr>
      </w:pPr>
      <w:r>
        <w:rPr>
          <w:rFonts w:hint="eastAsia" w:hAnsi="仿宋_GB2312" w:cs="仿宋_GB2312"/>
          <w:b w:val="0"/>
          <w:bCs/>
          <w:sz w:val="32"/>
          <w:szCs w:val="32"/>
          <w:lang w:val="en-US" w:eastAsia="zh-CN"/>
        </w:rPr>
        <w:t>5.</w:t>
      </w:r>
      <w:r>
        <w:rPr>
          <w:rFonts w:hint="eastAsia" w:ascii="仿宋_GB2312" w:hAnsi="仿宋_GB2312" w:eastAsia="仿宋_GB2312" w:cs="仿宋_GB2312"/>
          <w:b w:val="0"/>
          <w:bCs/>
          <w:sz w:val="32"/>
          <w:szCs w:val="32"/>
        </w:rPr>
        <w:t>社会保障和就业支出（类）行政事业单位养老支出（款）</w:t>
      </w:r>
      <w:r>
        <w:rPr>
          <w:rFonts w:hint="eastAsia" w:hAnsi="仿宋_GB2312" w:cs="仿宋_GB2312"/>
          <w:b w:val="0"/>
          <w:bCs/>
          <w:sz w:val="32"/>
          <w:szCs w:val="32"/>
          <w:lang w:eastAsia="zh-CN"/>
        </w:rPr>
        <w:t>行政</w:t>
      </w:r>
      <w:r>
        <w:rPr>
          <w:rFonts w:hint="eastAsia" w:ascii="仿宋_GB2312" w:hAnsi="仿宋_GB2312" w:eastAsia="仿宋_GB2312" w:cs="仿宋_GB2312"/>
          <w:b w:val="0"/>
          <w:bCs/>
          <w:sz w:val="32"/>
          <w:szCs w:val="32"/>
        </w:rPr>
        <w:t>单位离退休（项）:</w:t>
      </w:r>
      <w:r>
        <w:rPr>
          <w:rFonts w:hint="eastAsia" w:ascii="仿宋_GB2312" w:hAnsi="仿宋_GB2312" w:eastAsia="仿宋_GB2312" w:cs="仿宋_GB2312"/>
          <w:color w:val="000000"/>
          <w:sz w:val="32"/>
          <w:szCs w:val="32"/>
        </w:rPr>
        <w:t>指行政单位（包括实行公务员法管理的事业单位）开支的离退休经费。</w:t>
      </w:r>
    </w:p>
    <w:p>
      <w:p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 w:val="0"/>
          <w:bCs/>
          <w:sz w:val="32"/>
          <w:szCs w:val="32"/>
          <w:lang w:val="en-US" w:eastAsia="zh-CN"/>
        </w:rPr>
        <w:t>6.</w:t>
      </w:r>
      <w:r>
        <w:rPr>
          <w:rFonts w:hint="eastAsia" w:ascii="仿宋_GB2312" w:hAnsi="仿宋_GB2312" w:eastAsia="仿宋_GB2312" w:cs="仿宋_GB2312"/>
          <w:b w:val="0"/>
          <w:bCs/>
          <w:sz w:val="32"/>
          <w:szCs w:val="32"/>
        </w:rPr>
        <w:t>.社会保障和就业支出（类）行政事业单位养老支出（款）机关事业单位基本养老保险缴费支出（项）:</w:t>
      </w:r>
      <w:r>
        <w:rPr>
          <w:rFonts w:hint="eastAsia" w:ascii="仿宋_GB2312" w:hAnsi="仿宋_GB2312" w:eastAsia="仿宋_GB2312" w:cs="仿宋_GB2312"/>
          <w:color w:val="000000"/>
          <w:sz w:val="32"/>
          <w:szCs w:val="32"/>
        </w:rPr>
        <w:t>指</w:t>
      </w:r>
      <w:r>
        <w:rPr>
          <w:rFonts w:hint="eastAsia" w:ascii="仿宋_GB2312" w:hAnsi="仿宋_GB2312" w:eastAsia="仿宋_GB2312" w:cs="仿宋_GB2312"/>
          <w:color w:val="000000"/>
          <w:sz w:val="32"/>
          <w:szCs w:val="32"/>
          <w:lang w:val="en-US" w:eastAsia="zh-CN"/>
        </w:rPr>
        <w:t>机关事业单位实施养老保险制度由单位缴纳的基本养老保险费支出</w:t>
      </w:r>
      <w:r>
        <w:rPr>
          <w:rFonts w:hint="eastAsia" w:ascii="仿宋_GB2312" w:hAnsi="仿宋_GB2312" w:eastAsia="仿宋_GB2312" w:cs="仿宋_GB2312"/>
          <w:color w:val="000000"/>
          <w:sz w:val="32"/>
          <w:szCs w:val="32"/>
        </w:rPr>
        <w:t>。</w:t>
      </w:r>
    </w:p>
    <w:p>
      <w:pPr>
        <w:ind w:firstLine="640" w:firstLineChars="200"/>
        <w:rPr>
          <w:rFonts w:hint="eastAsia" w:ascii="仿宋_GB2312" w:hAnsi="仿宋_GB2312" w:eastAsia="仿宋_GB2312" w:cs="仿宋_GB2312"/>
          <w:b w:val="0"/>
          <w:bCs/>
          <w:sz w:val="32"/>
          <w:szCs w:val="32"/>
          <w:lang w:eastAsia="zh-CN"/>
        </w:rPr>
      </w:pPr>
      <w:r>
        <w:rPr>
          <w:rFonts w:hint="eastAsia" w:hAnsi="仿宋_GB2312" w:cs="仿宋_GB2312"/>
          <w:b w:val="0"/>
          <w:bCs/>
          <w:sz w:val="32"/>
          <w:szCs w:val="32"/>
          <w:lang w:val="en-US" w:eastAsia="zh-CN"/>
        </w:rPr>
        <w:t>7.</w:t>
      </w:r>
      <w:r>
        <w:rPr>
          <w:rFonts w:hint="eastAsia" w:ascii="仿宋_GB2312" w:hAnsi="仿宋_GB2312" w:eastAsia="仿宋_GB2312" w:cs="仿宋_GB2312"/>
          <w:b w:val="0"/>
          <w:bCs/>
          <w:sz w:val="32"/>
          <w:szCs w:val="32"/>
        </w:rPr>
        <w:t>社会保障和就业支出（类）行政事业单位养老支出（款）机关事业单位职业年金缴费支出（项）:</w:t>
      </w:r>
      <w:r>
        <w:rPr>
          <w:rFonts w:hint="eastAsia" w:ascii="仿宋_GB2312" w:hAnsi="仿宋_GB2312" w:eastAsia="仿宋_GB2312" w:cs="仿宋_GB2312"/>
          <w:b w:val="0"/>
          <w:bCs/>
          <w:sz w:val="32"/>
          <w:szCs w:val="32"/>
          <w:lang w:eastAsia="zh-CN"/>
        </w:rPr>
        <w:t>指机关事业单位实施养老保险制度由单位实际缴纳的职业年金支出（含职业年金补记支出）。</w:t>
      </w:r>
    </w:p>
    <w:p>
      <w:pPr>
        <w:ind w:firstLine="640"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8.</w:t>
      </w:r>
      <w:r>
        <w:rPr>
          <w:rFonts w:hint="eastAsia" w:ascii="仿宋_GB2312" w:hAnsi="仿宋_GB2312" w:eastAsia="仿宋_GB2312" w:cs="仿宋_GB2312"/>
          <w:b w:val="0"/>
          <w:bCs/>
          <w:sz w:val="32"/>
          <w:szCs w:val="32"/>
        </w:rPr>
        <w:t>社会保障和就业支出（类）</w:t>
      </w:r>
      <w:r>
        <w:rPr>
          <w:rFonts w:hint="eastAsia" w:ascii="仿宋_GB2312" w:hAnsi="仿宋_GB2312" w:eastAsia="仿宋_GB2312" w:cs="仿宋_GB2312"/>
          <w:b w:val="0"/>
          <w:bCs/>
          <w:sz w:val="32"/>
          <w:szCs w:val="32"/>
          <w:lang w:val="en-US" w:eastAsia="zh-CN"/>
        </w:rPr>
        <w:t>社会福利（款）儿童福利（项）：</w:t>
      </w:r>
      <w:r>
        <w:rPr>
          <w:rFonts w:hint="eastAsia" w:ascii="仿宋_GB2312" w:hAnsi="仿宋_GB2312" w:eastAsia="仿宋_GB2312" w:cs="仿宋_GB2312"/>
          <w:color w:val="000000"/>
          <w:sz w:val="32"/>
          <w:szCs w:val="32"/>
        </w:rPr>
        <w:t>指对儿童提供福利服务方面的支出。</w:t>
      </w:r>
    </w:p>
    <w:p>
      <w:pPr>
        <w:ind w:firstLine="640" w:firstLineChars="200"/>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val="en-US" w:eastAsia="zh-CN"/>
        </w:rPr>
        <w:t>9</w:t>
      </w:r>
      <w:r>
        <w:rPr>
          <w:rFonts w:hint="eastAsia" w:ascii="仿宋_GB2312" w:hAnsi="仿宋_GB2312" w:eastAsia="仿宋_GB2312" w:cs="仿宋_GB2312"/>
          <w:b w:val="0"/>
          <w:bCs/>
          <w:sz w:val="32"/>
          <w:szCs w:val="32"/>
        </w:rPr>
        <w:t>.</w:t>
      </w:r>
      <w:r>
        <w:rPr>
          <w:rFonts w:hint="eastAsia" w:ascii="仿宋_GB2312" w:hAnsi="仿宋_GB2312" w:eastAsia="仿宋_GB2312" w:cs="仿宋_GB2312"/>
          <w:b w:val="0"/>
          <w:bCs/>
          <w:sz w:val="32"/>
          <w:szCs w:val="32"/>
          <w:lang w:val="en-US" w:eastAsia="zh-CN"/>
        </w:rPr>
        <w:t>卫生健康支出</w:t>
      </w:r>
      <w:r>
        <w:rPr>
          <w:rFonts w:hint="eastAsia" w:ascii="仿宋_GB2312" w:hAnsi="仿宋_GB2312" w:eastAsia="仿宋_GB2312" w:cs="仿宋_GB2312"/>
          <w:b w:val="0"/>
          <w:bCs/>
          <w:sz w:val="32"/>
          <w:szCs w:val="32"/>
        </w:rPr>
        <w:t>（类）</w:t>
      </w:r>
      <w:r>
        <w:rPr>
          <w:rFonts w:hint="eastAsia" w:ascii="仿宋_GB2312" w:hAnsi="仿宋_GB2312" w:eastAsia="仿宋_GB2312" w:cs="仿宋_GB2312"/>
          <w:b w:val="0"/>
          <w:bCs/>
          <w:sz w:val="32"/>
          <w:szCs w:val="32"/>
          <w:lang w:val="en-US" w:eastAsia="zh-CN"/>
        </w:rPr>
        <w:t>行政事业单位医疗</w:t>
      </w:r>
      <w:r>
        <w:rPr>
          <w:rFonts w:hint="eastAsia" w:ascii="仿宋_GB2312" w:hAnsi="仿宋_GB2312" w:eastAsia="仿宋_GB2312" w:cs="仿宋_GB2312"/>
          <w:b w:val="0"/>
          <w:bCs/>
          <w:sz w:val="32"/>
          <w:szCs w:val="32"/>
        </w:rPr>
        <w:t>（款）</w:t>
      </w:r>
      <w:r>
        <w:rPr>
          <w:rFonts w:hint="eastAsia" w:ascii="仿宋_GB2312" w:hAnsi="仿宋_GB2312" w:eastAsia="仿宋_GB2312" w:cs="仿宋_GB2312"/>
          <w:b w:val="0"/>
          <w:bCs/>
          <w:sz w:val="32"/>
          <w:szCs w:val="32"/>
          <w:lang w:val="en-US" w:eastAsia="zh-CN"/>
        </w:rPr>
        <w:t>行政单位医疗</w:t>
      </w:r>
      <w:r>
        <w:rPr>
          <w:rFonts w:hint="eastAsia" w:ascii="仿宋_GB2312" w:hAnsi="仿宋_GB2312" w:eastAsia="仿宋_GB2312" w:cs="仿宋_GB2312"/>
          <w:b w:val="0"/>
          <w:bCs/>
          <w:sz w:val="32"/>
          <w:szCs w:val="32"/>
        </w:rPr>
        <w:t>（项）:</w:t>
      </w:r>
      <w:r>
        <w:rPr>
          <w:rFonts w:hint="eastAsia" w:ascii="仿宋_GB2312" w:hAnsi="仿宋_GB2312" w:eastAsia="仿宋_GB2312" w:cs="仿宋_GB2312"/>
          <w:b w:val="0"/>
          <w:bCs/>
          <w:sz w:val="32"/>
          <w:szCs w:val="32"/>
          <w:lang w:eastAsia="zh-CN"/>
        </w:rPr>
        <w:t>指财政部门安排的行政单位（包括实行公务员管理的事业单位）基本医疗保险缴费经费、为参加医疗保险的行政单位的公费医疗经费，按国家规定享受离休人员、红军老战士待遇人员的医疗经费。</w:t>
      </w:r>
    </w:p>
    <w:p>
      <w:pPr>
        <w:ind w:firstLine="640" w:firstLineChars="200"/>
        <w:rPr>
          <w:rFonts w:hint="eastAsia" w:ascii="仿宋_GB2312" w:hAnsi="仿宋_GB2312" w:eastAsia="仿宋_GB2312" w:cs="仿宋_GB2312"/>
          <w:b w:val="0"/>
          <w:bCs/>
          <w:sz w:val="32"/>
          <w:szCs w:val="32"/>
          <w:lang w:eastAsia="zh-CN"/>
        </w:rPr>
      </w:pPr>
      <w:r>
        <w:rPr>
          <w:rFonts w:hint="eastAsia" w:hAnsi="仿宋_GB2312" w:cs="仿宋_GB2312"/>
          <w:b w:val="0"/>
          <w:bCs/>
          <w:sz w:val="32"/>
          <w:szCs w:val="32"/>
          <w:lang w:val="en-US" w:eastAsia="zh-CN"/>
        </w:rPr>
        <w:t>10.</w:t>
      </w:r>
      <w:r>
        <w:rPr>
          <w:rFonts w:hint="eastAsia" w:ascii="仿宋_GB2312" w:hAnsi="仿宋_GB2312" w:eastAsia="仿宋_GB2312" w:cs="仿宋_GB2312"/>
          <w:b w:val="0"/>
          <w:bCs/>
          <w:sz w:val="32"/>
          <w:szCs w:val="32"/>
          <w:lang w:val="en-US" w:eastAsia="zh-CN"/>
        </w:rPr>
        <w:t>卫生健康支出</w:t>
      </w:r>
      <w:r>
        <w:rPr>
          <w:rFonts w:hint="eastAsia" w:ascii="仿宋_GB2312" w:hAnsi="仿宋_GB2312" w:eastAsia="仿宋_GB2312" w:cs="仿宋_GB2312"/>
          <w:b w:val="0"/>
          <w:bCs/>
          <w:sz w:val="32"/>
          <w:szCs w:val="32"/>
        </w:rPr>
        <w:t>（类）</w:t>
      </w:r>
      <w:r>
        <w:rPr>
          <w:rFonts w:hint="eastAsia" w:ascii="仿宋_GB2312" w:hAnsi="仿宋_GB2312" w:eastAsia="仿宋_GB2312" w:cs="仿宋_GB2312"/>
          <w:b w:val="0"/>
          <w:bCs/>
          <w:sz w:val="32"/>
          <w:szCs w:val="32"/>
          <w:lang w:val="en-US" w:eastAsia="zh-CN"/>
        </w:rPr>
        <w:t>行政事业单位医疗</w:t>
      </w:r>
      <w:r>
        <w:rPr>
          <w:rFonts w:hint="eastAsia" w:ascii="仿宋_GB2312" w:hAnsi="仿宋_GB2312" w:eastAsia="仿宋_GB2312" w:cs="仿宋_GB2312"/>
          <w:b w:val="0"/>
          <w:bCs/>
          <w:sz w:val="32"/>
          <w:szCs w:val="32"/>
        </w:rPr>
        <w:t>（款）</w:t>
      </w:r>
      <w:r>
        <w:rPr>
          <w:rFonts w:hint="eastAsia" w:ascii="仿宋_GB2312" w:hAnsi="仿宋_GB2312" w:eastAsia="仿宋_GB2312" w:cs="仿宋_GB2312"/>
          <w:b w:val="0"/>
          <w:bCs/>
          <w:sz w:val="32"/>
          <w:szCs w:val="32"/>
          <w:lang w:val="en-US" w:eastAsia="zh-CN"/>
        </w:rPr>
        <w:t>公务员医疗补助</w:t>
      </w:r>
      <w:r>
        <w:rPr>
          <w:rFonts w:hint="eastAsia" w:ascii="仿宋_GB2312" w:hAnsi="仿宋_GB2312" w:eastAsia="仿宋_GB2312" w:cs="仿宋_GB2312"/>
          <w:b w:val="0"/>
          <w:bCs/>
          <w:sz w:val="32"/>
          <w:szCs w:val="32"/>
        </w:rPr>
        <w:t>（项）:</w:t>
      </w:r>
      <w:r>
        <w:rPr>
          <w:rFonts w:hint="eastAsia" w:ascii="仿宋_GB2312" w:hAnsi="仿宋_GB2312" w:eastAsia="仿宋_GB2312" w:cs="仿宋_GB2312"/>
          <w:b w:val="0"/>
          <w:bCs/>
          <w:sz w:val="32"/>
          <w:szCs w:val="32"/>
          <w:lang w:eastAsia="zh-CN"/>
        </w:rPr>
        <w:t>指财政部门安排的公务员医疗补助经费。</w:t>
      </w:r>
    </w:p>
    <w:p>
      <w:pPr>
        <w:pStyle w:val="8"/>
        <w:ind w:firstLine="640"/>
        <w:rPr>
          <w:rFonts w:hint="eastAsia" w:ascii="仿宋_GB2312" w:hAnsi="仿宋_GB2312" w:eastAsia="仿宋_GB2312" w:cs="仿宋_GB2312"/>
          <w:b w:val="0"/>
          <w:bCs/>
          <w:sz w:val="32"/>
          <w:szCs w:val="32"/>
          <w:lang w:eastAsia="zh-CN"/>
        </w:rPr>
      </w:pPr>
      <w:r>
        <w:rPr>
          <w:rFonts w:hint="eastAsia" w:hAnsi="仿宋_GB2312" w:cs="仿宋_GB2312"/>
          <w:b w:val="0"/>
          <w:bCs/>
          <w:sz w:val="32"/>
          <w:szCs w:val="32"/>
          <w:lang w:val="en-US" w:eastAsia="zh-CN"/>
        </w:rPr>
        <w:t>11.</w:t>
      </w:r>
      <w:r>
        <w:rPr>
          <w:rFonts w:hint="eastAsia" w:ascii="仿宋_GB2312" w:hAnsi="仿宋_GB2312" w:eastAsia="仿宋_GB2312" w:cs="仿宋_GB2312"/>
          <w:b w:val="0"/>
          <w:bCs/>
          <w:sz w:val="32"/>
          <w:szCs w:val="32"/>
          <w:lang w:val="en-US" w:eastAsia="zh-CN"/>
        </w:rPr>
        <w:t>卫生健康支出</w:t>
      </w:r>
      <w:r>
        <w:rPr>
          <w:rFonts w:hint="eastAsia" w:ascii="仿宋_GB2312" w:hAnsi="仿宋_GB2312" w:eastAsia="仿宋_GB2312" w:cs="仿宋_GB2312"/>
          <w:b w:val="0"/>
          <w:bCs/>
          <w:sz w:val="32"/>
          <w:szCs w:val="32"/>
        </w:rPr>
        <w:t>（类）</w:t>
      </w:r>
      <w:r>
        <w:rPr>
          <w:rFonts w:hint="eastAsia" w:ascii="仿宋_GB2312" w:hAnsi="仿宋_GB2312" w:eastAsia="仿宋_GB2312" w:cs="仿宋_GB2312"/>
          <w:b w:val="0"/>
          <w:bCs/>
          <w:sz w:val="32"/>
          <w:szCs w:val="32"/>
          <w:lang w:val="en-US" w:eastAsia="zh-CN"/>
        </w:rPr>
        <w:t>其他卫生健康支出</w:t>
      </w:r>
      <w:r>
        <w:rPr>
          <w:rFonts w:hint="eastAsia" w:ascii="仿宋_GB2312" w:hAnsi="仿宋_GB2312" w:eastAsia="仿宋_GB2312" w:cs="仿宋_GB2312"/>
          <w:b w:val="0"/>
          <w:bCs/>
          <w:sz w:val="32"/>
          <w:szCs w:val="32"/>
        </w:rPr>
        <w:t>（款）</w:t>
      </w:r>
      <w:r>
        <w:rPr>
          <w:rFonts w:hint="eastAsia" w:ascii="仿宋_GB2312" w:hAnsi="仿宋_GB2312" w:eastAsia="仿宋_GB2312" w:cs="仿宋_GB2312"/>
          <w:b w:val="0"/>
          <w:bCs/>
          <w:sz w:val="32"/>
          <w:szCs w:val="32"/>
          <w:lang w:val="en-US" w:eastAsia="zh-CN"/>
        </w:rPr>
        <w:t>其他卫生健康支出</w:t>
      </w:r>
      <w:r>
        <w:rPr>
          <w:rFonts w:hint="eastAsia" w:ascii="仿宋_GB2312" w:hAnsi="仿宋_GB2312" w:eastAsia="仿宋_GB2312" w:cs="仿宋_GB2312"/>
          <w:b w:val="0"/>
          <w:bCs/>
          <w:sz w:val="32"/>
          <w:szCs w:val="32"/>
        </w:rPr>
        <w:t>（项）:</w:t>
      </w:r>
      <w:r>
        <w:rPr>
          <w:rFonts w:hint="eastAsia" w:hAnsi="仿宋_GB2312" w:cs="仿宋_GB2312"/>
          <w:b w:val="0"/>
          <w:bCs/>
          <w:sz w:val="32"/>
          <w:szCs w:val="32"/>
          <w:lang w:eastAsia="zh-CN"/>
        </w:rPr>
        <w:t>指其他用于卫生健康方面的支出。</w:t>
      </w:r>
    </w:p>
    <w:p>
      <w:pPr>
        <w:pStyle w:val="8"/>
        <w:ind w:firstLine="640"/>
        <w:rPr>
          <w:rFonts w:hint="eastAsia" w:hAnsi="仿宋_GB2312" w:cs="仿宋_GB2312"/>
          <w:b w:val="0"/>
          <w:bCs/>
          <w:sz w:val="32"/>
          <w:szCs w:val="32"/>
          <w:lang w:eastAsia="zh-CN"/>
        </w:rPr>
      </w:pPr>
      <w:r>
        <w:rPr>
          <w:rFonts w:hint="eastAsia" w:hAnsi="仿宋_GB2312" w:cs="仿宋_GB2312"/>
          <w:b w:val="0"/>
          <w:bCs/>
          <w:sz w:val="32"/>
          <w:szCs w:val="32"/>
          <w:lang w:val="en-US" w:eastAsia="zh-CN"/>
        </w:rPr>
        <w:t>12.</w:t>
      </w:r>
      <w:r>
        <w:rPr>
          <w:rFonts w:hint="eastAsia" w:ascii="仿宋_GB2312" w:hAnsi="仿宋_GB2312" w:eastAsia="仿宋_GB2312" w:cs="仿宋_GB2312"/>
          <w:b w:val="0"/>
          <w:bCs/>
          <w:sz w:val="32"/>
          <w:szCs w:val="32"/>
          <w:lang w:val="en-US" w:eastAsia="zh-CN"/>
        </w:rPr>
        <w:t>农林水支出</w:t>
      </w:r>
      <w:r>
        <w:rPr>
          <w:rFonts w:hint="eastAsia" w:ascii="仿宋_GB2312" w:hAnsi="仿宋_GB2312" w:eastAsia="仿宋_GB2312" w:cs="仿宋_GB2312"/>
          <w:b w:val="0"/>
          <w:bCs/>
          <w:sz w:val="32"/>
          <w:szCs w:val="32"/>
        </w:rPr>
        <w:t>（类）</w:t>
      </w:r>
      <w:r>
        <w:rPr>
          <w:rFonts w:hint="eastAsia" w:ascii="仿宋_GB2312" w:hAnsi="仿宋_GB2312" w:eastAsia="仿宋_GB2312" w:cs="仿宋_GB2312"/>
          <w:b w:val="0"/>
          <w:bCs/>
          <w:sz w:val="32"/>
          <w:szCs w:val="32"/>
          <w:lang w:val="en-US" w:eastAsia="zh-CN"/>
        </w:rPr>
        <w:t>农业农村</w:t>
      </w:r>
      <w:r>
        <w:rPr>
          <w:rFonts w:hint="eastAsia" w:ascii="仿宋_GB2312" w:hAnsi="仿宋_GB2312" w:eastAsia="仿宋_GB2312" w:cs="仿宋_GB2312"/>
          <w:b w:val="0"/>
          <w:bCs/>
          <w:sz w:val="32"/>
          <w:szCs w:val="32"/>
        </w:rPr>
        <w:t>（款）</w:t>
      </w:r>
      <w:r>
        <w:rPr>
          <w:rFonts w:hint="eastAsia" w:ascii="仿宋_GB2312" w:hAnsi="仿宋_GB2312" w:eastAsia="仿宋_GB2312" w:cs="仿宋_GB2312"/>
          <w:b w:val="0"/>
          <w:bCs/>
          <w:sz w:val="32"/>
          <w:szCs w:val="32"/>
          <w:lang w:val="en-US" w:eastAsia="zh-CN"/>
        </w:rPr>
        <w:t>农村社会事业</w:t>
      </w:r>
      <w:r>
        <w:rPr>
          <w:rFonts w:hint="eastAsia" w:ascii="仿宋_GB2312" w:hAnsi="仿宋_GB2312" w:eastAsia="仿宋_GB2312" w:cs="仿宋_GB2312"/>
          <w:b w:val="0"/>
          <w:bCs/>
          <w:sz w:val="32"/>
          <w:szCs w:val="32"/>
        </w:rPr>
        <w:t>（项）:</w:t>
      </w:r>
      <w:r>
        <w:rPr>
          <w:rFonts w:hint="eastAsia" w:hAnsi="仿宋_GB2312" w:cs="仿宋_GB2312"/>
          <w:b w:val="0"/>
          <w:bCs/>
          <w:sz w:val="32"/>
          <w:szCs w:val="32"/>
          <w:lang w:eastAsia="zh-CN"/>
        </w:rPr>
        <w:t>指用于农村社会事业发展的支出。</w:t>
      </w:r>
    </w:p>
    <w:p>
      <w:pPr>
        <w:ind w:firstLine="640" w:firstLineChars="200"/>
        <w:rPr>
          <w:rFonts w:hint="eastAsia" w:ascii="仿宋_GB2312" w:hAnsi="仿宋_GB2312" w:eastAsia="仿宋_GB2312" w:cs="仿宋_GB2312"/>
          <w:b w:val="0"/>
          <w:bCs/>
          <w:sz w:val="32"/>
          <w:szCs w:val="32"/>
        </w:rPr>
      </w:pPr>
      <w:r>
        <w:rPr>
          <w:rFonts w:hint="eastAsia" w:hAnsi="仿宋_GB2312" w:cs="仿宋_GB2312"/>
          <w:b w:val="0"/>
          <w:bCs/>
          <w:sz w:val="32"/>
          <w:szCs w:val="32"/>
          <w:lang w:val="en-US" w:eastAsia="zh-CN"/>
        </w:rPr>
        <w:t>13.</w:t>
      </w:r>
      <w:r>
        <w:rPr>
          <w:rFonts w:hint="eastAsia" w:ascii="仿宋_GB2312" w:hAnsi="仿宋_GB2312" w:eastAsia="仿宋_GB2312" w:cs="仿宋_GB2312"/>
          <w:b w:val="0"/>
          <w:bCs/>
          <w:sz w:val="32"/>
          <w:szCs w:val="32"/>
        </w:rPr>
        <w:t>交通运输支出（类）公路水路运输（款）行政运行（项）:</w:t>
      </w:r>
      <w:r>
        <w:rPr>
          <w:rFonts w:hint="eastAsia" w:ascii="仿宋_GB2312" w:hAnsi="仿宋_GB2312" w:eastAsia="仿宋_GB2312" w:cs="仿宋_GB2312"/>
          <w:color w:val="000000"/>
          <w:sz w:val="32"/>
          <w:szCs w:val="32"/>
        </w:rPr>
        <w:t>指交通运输方面的行政单位（包括实行公务员法管理的事业单位）的基本支出。</w:t>
      </w:r>
    </w:p>
    <w:p>
      <w:p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 w:val="0"/>
          <w:bCs/>
          <w:sz w:val="32"/>
          <w:szCs w:val="32"/>
          <w:lang w:val="en-US" w:eastAsia="zh-CN"/>
        </w:rPr>
        <w:t>14</w:t>
      </w:r>
      <w:r>
        <w:rPr>
          <w:rFonts w:hint="eastAsia" w:ascii="仿宋_GB2312" w:hAnsi="仿宋_GB2312" w:eastAsia="仿宋_GB2312" w:cs="仿宋_GB2312"/>
          <w:b w:val="0"/>
          <w:bCs/>
          <w:sz w:val="32"/>
          <w:szCs w:val="32"/>
        </w:rPr>
        <w:t>.交通运输支出（类）公路水路运输（款）公路养护（项）:</w:t>
      </w:r>
      <w:r>
        <w:rPr>
          <w:rFonts w:hint="eastAsia" w:ascii="仿宋_GB2312" w:hAnsi="仿宋_GB2312" w:eastAsia="仿宋_GB2312" w:cs="仿宋_GB2312"/>
          <w:color w:val="000000"/>
          <w:sz w:val="32"/>
          <w:szCs w:val="32"/>
        </w:rPr>
        <w:t>指公路养护支出。</w:t>
      </w:r>
    </w:p>
    <w:p>
      <w:pPr>
        <w:ind w:firstLine="640" w:firstLineChars="200"/>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val="en-US" w:eastAsia="zh-CN"/>
        </w:rPr>
        <w:t>15.</w:t>
      </w:r>
      <w:r>
        <w:rPr>
          <w:rFonts w:hint="eastAsia" w:ascii="仿宋_GB2312" w:hAnsi="仿宋_GB2312" w:eastAsia="仿宋_GB2312" w:cs="仿宋_GB2312"/>
          <w:b w:val="0"/>
          <w:bCs/>
          <w:sz w:val="32"/>
          <w:szCs w:val="32"/>
        </w:rPr>
        <w:t>交通运输支出（类）公路水路运输（款）公路运输管理（项）:</w:t>
      </w:r>
      <w:r>
        <w:rPr>
          <w:rFonts w:hint="eastAsia" w:ascii="仿宋_GB2312" w:hAnsi="仿宋_GB2312" w:eastAsia="仿宋_GB2312" w:cs="仿宋_GB2312"/>
          <w:b w:val="0"/>
          <w:bCs/>
          <w:sz w:val="32"/>
          <w:szCs w:val="32"/>
          <w:lang w:eastAsia="zh-CN"/>
        </w:rPr>
        <w:t>指公路运输管理支出和公路路政管理支出。</w:t>
      </w:r>
    </w:p>
    <w:p>
      <w:p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 w:val="0"/>
          <w:bCs/>
          <w:sz w:val="32"/>
          <w:szCs w:val="32"/>
          <w:lang w:val="en-US" w:eastAsia="zh-CN"/>
        </w:rPr>
        <w:t>16</w:t>
      </w:r>
      <w:r>
        <w:rPr>
          <w:rFonts w:hint="eastAsia" w:ascii="仿宋_GB2312" w:hAnsi="仿宋_GB2312" w:eastAsia="仿宋_GB2312" w:cs="仿宋_GB2312"/>
          <w:b w:val="0"/>
          <w:bCs/>
          <w:sz w:val="32"/>
          <w:szCs w:val="32"/>
        </w:rPr>
        <w:t>.交通运输支出（类）公路水路运输（款）其他公路水路运输支出（项）:</w:t>
      </w:r>
      <w:r>
        <w:rPr>
          <w:rFonts w:hint="eastAsia" w:ascii="仿宋_GB2312" w:hAnsi="仿宋_GB2312" w:eastAsia="仿宋_GB2312" w:cs="仿宋_GB2312"/>
          <w:color w:val="000000"/>
          <w:sz w:val="32"/>
          <w:szCs w:val="32"/>
        </w:rPr>
        <w:t>指其他用于公路水路运输方面的支出。</w:t>
      </w:r>
    </w:p>
    <w:p>
      <w:pPr>
        <w:ind w:firstLine="640" w:firstLineChars="200"/>
        <w:rPr>
          <w:rFonts w:hint="eastAsia" w:ascii="仿宋_GB2312" w:hAnsi="仿宋_GB2312" w:eastAsia="仿宋_GB2312" w:cs="仿宋_GB2312"/>
          <w:b w:val="0"/>
          <w:bCs/>
          <w:sz w:val="32"/>
          <w:szCs w:val="32"/>
        </w:rPr>
      </w:pPr>
      <w:r>
        <w:rPr>
          <w:rFonts w:hint="eastAsia" w:hAnsi="仿宋_GB2312" w:cs="仿宋_GB2312"/>
          <w:b w:val="0"/>
          <w:bCs/>
          <w:sz w:val="32"/>
          <w:szCs w:val="32"/>
          <w:lang w:val="en-US" w:eastAsia="zh-CN"/>
        </w:rPr>
        <w:t>17.</w:t>
      </w:r>
      <w:r>
        <w:rPr>
          <w:rFonts w:hint="eastAsia" w:ascii="仿宋_GB2312" w:hAnsi="仿宋_GB2312" w:eastAsia="仿宋_GB2312" w:cs="仿宋_GB2312"/>
          <w:b w:val="0"/>
          <w:bCs/>
          <w:sz w:val="32"/>
          <w:szCs w:val="32"/>
        </w:rPr>
        <w:t>交通运输支出（类）</w:t>
      </w:r>
      <w:r>
        <w:rPr>
          <w:rFonts w:hint="eastAsia" w:ascii="仿宋_GB2312" w:hAnsi="仿宋_GB2312" w:eastAsia="仿宋_GB2312" w:cs="仿宋_GB2312"/>
          <w:b w:val="0"/>
          <w:bCs/>
          <w:sz w:val="32"/>
          <w:szCs w:val="32"/>
          <w:lang w:eastAsia="zh-CN"/>
        </w:rPr>
        <w:t>其他交通运输支出</w:t>
      </w:r>
      <w:r>
        <w:rPr>
          <w:rFonts w:hint="eastAsia" w:ascii="仿宋_GB2312" w:hAnsi="仿宋_GB2312" w:eastAsia="仿宋_GB2312" w:cs="仿宋_GB2312"/>
          <w:b w:val="0"/>
          <w:bCs/>
          <w:sz w:val="32"/>
          <w:szCs w:val="32"/>
        </w:rPr>
        <w:t>（款）</w:t>
      </w:r>
      <w:r>
        <w:rPr>
          <w:rFonts w:hint="eastAsia" w:ascii="仿宋_GB2312" w:hAnsi="仿宋_GB2312" w:eastAsia="仿宋_GB2312" w:cs="仿宋_GB2312"/>
          <w:b w:val="0"/>
          <w:bCs/>
          <w:sz w:val="32"/>
          <w:szCs w:val="32"/>
          <w:lang w:eastAsia="zh-CN"/>
        </w:rPr>
        <w:t>其他交通运输支出</w:t>
      </w:r>
      <w:r>
        <w:rPr>
          <w:rFonts w:hint="eastAsia" w:ascii="仿宋_GB2312" w:hAnsi="仿宋_GB2312" w:eastAsia="仿宋_GB2312" w:cs="仿宋_GB2312"/>
          <w:b w:val="0"/>
          <w:bCs/>
          <w:sz w:val="32"/>
          <w:szCs w:val="32"/>
        </w:rPr>
        <w:t>（项）:</w:t>
      </w:r>
      <w:r>
        <w:rPr>
          <w:rFonts w:hint="eastAsia" w:ascii="仿宋_GB2312" w:hAnsi="仿宋_GB2312" w:eastAsia="仿宋_GB2312" w:cs="仿宋_GB2312"/>
          <w:b w:val="0"/>
          <w:bCs/>
          <w:sz w:val="32"/>
          <w:szCs w:val="32"/>
          <w:lang w:eastAsia="zh-CN"/>
        </w:rPr>
        <w:t>指其他交通运输支出中除对公共交通运营补助以外的其他支出。</w:t>
      </w:r>
    </w:p>
    <w:p>
      <w:pPr>
        <w:ind w:firstLine="640"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18</w:t>
      </w:r>
      <w:r>
        <w:rPr>
          <w:rFonts w:hint="eastAsia" w:ascii="仿宋_GB2312" w:hAnsi="仿宋_GB2312" w:eastAsia="仿宋_GB2312" w:cs="仿宋_GB2312"/>
          <w:b w:val="0"/>
          <w:bCs/>
          <w:sz w:val="32"/>
          <w:szCs w:val="32"/>
        </w:rPr>
        <w:t>.住房保障支出（类）住房改革支出（款）住房公积金（项）:</w:t>
      </w:r>
      <w:r>
        <w:rPr>
          <w:rFonts w:hint="eastAsia" w:ascii="仿宋_GB2312" w:hAnsi="仿宋_GB2312" w:eastAsia="仿宋_GB2312" w:cs="仿宋_GB2312"/>
          <w:color w:val="000000"/>
          <w:sz w:val="32"/>
          <w:szCs w:val="32"/>
        </w:rPr>
        <w:t>指行政事业单位按人力资源和社会保障部、财政部规定的基本工资和津贴补贴以及规定比例为职工缴纳的住房公积金。</w:t>
      </w:r>
    </w:p>
    <w:p>
      <w:pPr>
        <w:pStyle w:val="8"/>
        <w:rPr>
          <w:rFonts w:hint="eastAsia" w:ascii="仿宋_GB2312" w:hAnsi="仿宋_GB2312" w:eastAsia="仿宋_GB2312" w:cs="仿宋_GB2312"/>
          <w:color w:val="000000"/>
          <w:sz w:val="32"/>
          <w:szCs w:val="32"/>
        </w:rPr>
      </w:pPr>
      <w:r>
        <w:rPr>
          <w:rFonts w:hint="eastAsia" w:ascii="仿宋_GB2312" w:hAnsi="仿宋_GB2312" w:eastAsia="仿宋_GB2312" w:cs="仿宋_GB2312"/>
          <w:b w:val="0"/>
          <w:bCs/>
          <w:sz w:val="32"/>
          <w:szCs w:val="32"/>
          <w:lang w:val="en-US" w:eastAsia="zh-CN"/>
        </w:rPr>
        <w:t xml:space="preserve">   </w:t>
      </w:r>
      <w:r>
        <w:rPr>
          <w:rFonts w:hint="eastAsia" w:hAnsi="仿宋_GB2312" w:cs="仿宋_GB2312"/>
          <w:b w:val="0"/>
          <w:bCs/>
          <w:sz w:val="32"/>
          <w:szCs w:val="32"/>
          <w:lang w:val="en-US" w:eastAsia="zh-CN"/>
        </w:rPr>
        <w:t xml:space="preserve"> 19</w:t>
      </w:r>
      <w:r>
        <w:rPr>
          <w:rFonts w:hint="eastAsia" w:ascii="仿宋_GB2312" w:hAnsi="仿宋_GB2312" w:eastAsia="仿宋_GB2312" w:cs="仿宋_GB2312"/>
          <w:b w:val="0"/>
          <w:bCs/>
          <w:sz w:val="32"/>
          <w:szCs w:val="32"/>
          <w:lang w:val="en-US" w:eastAsia="zh-CN"/>
        </w:rPr>
        <w:t>.</w:t>
      </w:r>
      <w:r>
        <w:rPr>
          <w:rFonts w:hint="eastAsia" w:hAnsi="仿宋_GB2312" w:cs="仿宋_GB2312"/>
          <w:b w:val="0"/>
          <w:bCs/>
          <w:sz w:val="32"/>
          <w:szCs w:val="32"/>
          <w:lang w:val="en-US" w:eastAsia="zh-CN"/>
        </w:rPr>
        <w:t>其他支出</w:t>
      </w:r>
      <w:r>
        <w:rPr>
          <w:rFonts w:hint="eastAsia" w:ascii="仿宋_GB2312" w:hAnsi="仿宋_GB2312" w:eastAsia="仿宋_GB2312" w:cs="仿宋_GB2312"/>
          <w:b w:val="0"/>
          <w:bCs/>
          <w:sz w:val="32"/>
          <w:szCs w:val="32"/>
          <w:lang w:val="en-US" w:eastAsia="zh-CN"/>
        </w:rPr>
        <w:t>（类）</w:t>
      </w:r>
      <w:r>
        <w:rPr>
          <w:rFonts w:hint="eastAsia" w:hAnsi="仿宋_GB2312" w:cs="仿宋_GB2312"/>
          <w:b w:val="0"/>
          <w:bCs/>
          <w:sz w:val="32"/>
          <w:szCs w:val="32"/>
          <w:lang w:val="en-US" w:eastAsia="zh-CN"/>
        </w:rPr>
        <w:t>其他支出</w:t>
      </w:r>
      <w:r>
        <w:rPr>
          <w:rFonts w:hint="eastAsia" w:ascii="仿宋_GB2312" w:hAnsi="仿宋_GB2312" w:eastAsia="仿宋_GB2312" w:cs="仿宋_GB2312"/>
          <w:b w:val="0"/>
          <w:bCs/>
          <w:sz w:val="32"/>
          <w:szCs w:val="32"/>
          <w:lang w:val="en-US" w:eastAsia="zh-CN"/>
        </w:rPr>
        <w:t>（款）</w:t>
      </w:r>
      <w:r>
        <w:rPr>
          <w:rFonts w:hint="eastAsia" w:hAnsi="仿宋_GB2312" w:cs="仿宋_GB2312"/>
          <w:b w:val="0"/>
          <w:bCs/>
          <w:sz w:val="32"/>
          <w:szCs w:val="32"/>
          <w:lang w:val="en-US" w:eastAsia="zh-CN"/>
        </w:rPr>
        <w:t>其他支出</w:t>
      </w:r>
      <w:r>
        <w:rPr>
          <w:rFonts w:hint="eastAsia" w:ascii="仿宋_GB2312" w:hAnsi="仿宋_GB2312" w:eastAsia="仿宋_GB2312" w:cs="仿宋_GB2312"/>
          <w:b w:val="0"/>
          <w:bCs/>
          <w:sz w:val="32"/>
          <w:szCs w:val="32"/>
          <w:lang w:val="en-US" w:eastAsia="zh-CN"/>
        </w:rPr>
        <w:t>（项）：</w:t>
      </w:r>
      <w:r>
        <w:rPr>
          <w:rFonts w:hint="eastAsia" w:hAnsi="仿宋_GB2312" w:cs="仿宋_GB2312"/>
          <w:b w:val="0"/>
          <w:bCs/>
          <w:sz w:val="32"/>
          <w:szCs w:val="32"/>
          <w:lang w:val="en-US" w:eastAsia="zh-CN"/>
        </w:rPr>
        <w:t>指其他不能划分到具体功能科目中的支出项目。</w:t>
      </w:r>
    </w:p>
    <w:p>
      <w:p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20</w:t>
      </w:r>
      <w:r>
        <w:rPr>
          <w:rFonts w:hint="eastAsia" w:ascii="仿宋_GB2312" w:hAnsi="仿宋_GB2312" w:eastAsia="仿宋_GB2312" w:cs="仿宋_GB2312"/>
          <w:color w:val="000000"/>
          <w:sz w:val="32"/>
          <w:szCs w:val="32"/>
        </w:rPr>
        <w:t>.项目支出：指在基本支出之外为完成特定行政任务和事业发展目标所发生的支出。</w:t>
      </w:r>
    </w:p>
    <w:p>
      <w:pPr>
        <w:pStyle w:val="25"/>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5"/>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Style w:val="27"/>
          <w:rFonts w:ascii="黑体" w:hAnsi="黑体" w:eastAsia="黑体"/>
          <w:b w:val="0"/>
        </w:rPr>
      </w:pPr>
      <w:r>
        <w:rPr>
          <w:rFonts w:hint="eastAsia" w:ascii="仿宋_GB2312" w:hAnsi="仿宋_GB2312" w:eastAsia="仿宋_GB2312" w:cs="仿宋_GB2312"/>
          <w:b/>
          <w:sz w:val="32"/>
          <w:szCs w:val="32"/>
        </w:rPr>
        <w:br w:type="page"/>
      </w:r>
      <w:bookmarkStart w:id="69" w:name="_Toc10788"/>
      <w:bookmarkStart w:id="70" w:name="_Toc15396614"/>
      <w:r>
        <w:rPr>
          <w:rFonts w:hint="eastAsia" w:ascii="黑体" w:hAnsi="黑体" w:eastAsia="黑体"/>
          <w:sz w:val="44"/>
          <w:szCs w:val="44"/>
        </w:rPr>
        <w:t>第</w:t>
      </w:r>
      <w:r>
        <w:rPr>
          <w:rStyle w:val="27"/>
          <w:rFonts w:hint="eastAsia" w:ascii="黑体" w:hAnsi="黑体" w:eastAsia="黑体"/>
          <w:b w:val="0"/>
        </w:rPr>
        <w:t>四部分 附件</w:t>
      </w:r>
      <w:bookmarkEnd w:id="69"/>
      <w:bookmarkEnd w:id="70"/>
    </w:p>
    <w:p>
      <w:pPr>
        <w:spacing w:line="600" w:lineRule="exact"/>
        <w:jc w:val="center"/>
        <w:outlineLvl w:val="0"/>
        <w:rPr>
          <w:rFonts w:hint="default" w:ascii="仿宋_GB2312" w:hAnsi="仿宋_GB2312" w:eastAsia="仿宋_GB2312" w:cs="仿宋_GB2312"/>
          <w:kern w:val="0"/>
          <w:sz w:val="32"/>
          <w:szCs w:val="32"/>
          <w:lang w:val="en-US" w:eastAsia="zh-CN"/>
        </w:rPr>
      </w:pPr>
      <w:bookmarkStart w:id="71" w:name="_Toc24683"/>
      <w:bookmarkStart w:id="72" w:name="_Toc15396618"/>
      <w:r>
        <w:rPr>
          <w:rFonts w:hint="eastAsia" w:ascii="仿宋_GB2312" w:hAnsi="仿宋_GB2312" w:eastAsia="仿宋_GB2312" w:cs="仿宋_GB2312"/>
          <w:kern w:val="0"/>
          <w:sz w:val="32"/>
          <w:szCs w:val="32"/>
        </w:rPr>
        <w:t>部门预算项目支出绩效自评表（20</w:t>
      </w:r>
      <w:r>
        <w:rPr>
          <w:rFonts w:hint="eastAsia" w:ascii="仿宋_GB2312" w:hAnsi="仿宋_GB2312" w:eastAsia="仿宋_GB2312" w:cs="仿宋_GB2312"/>
          <w:kern w:val="0"/>
          <w:sz w:val="32"/>
          <w:szCs w:val="32"/>
          <w:lang w:val="en-US" w:eastAsia="zh-CN"/>
        </w:rPr>
        <w:t>24</w:t>
      </w:r>
      <w:r>
        <w:rPr>
          <w:rFonts w:hint="eastAsia" w:ascii="仿宋_GB2312" w:hAnsi="仿宋_GB2312" w:eastAsia="仿宋_GB2312" w:cs="仿宋_GB2312"/>
          <w:kern w:val="0"/>
          <w:sz w:val="32"/>
          <w:szCs w:val="32"/>
        </w:rPr>
        <w:t>年度）</w:t>
      </w:r>
      <w:bookmarkEnd w:id="71"/>
      <w:r>
        <w:rPr>
          <w:rFonts w:hint="eastAsia" w:ascii="仿宋_GB2312" w:hAnsi="仿宋_GB2312" w:eastAsia="仿宋_GB2312" w:cs="仿宋_GB2312"/>
          <w:kern w:val="0"/>
          <w:sz w:val="32"/>
          <w:szCs w:val="32"/>
          <w:lang w:eastAsia="zh-CN"/>
        </w:rPr>
        <w:t>见附件</w:t>
      </w:r>
      <w:r>
        <w:rPr>
          <w:rFonts w:hint="eastAsia" w:ascii="仿宋_GB2312" w:hAnsi="仿宋_GB2312" w:eastAsia="仿宋_GB2312" w:cs="仿宋_GB2312"/>
          <w:kern w:val="0"/>
          <w:sz w:val="32"/>
          <w:szCs w:val="32"/>
          <w:lang w:val="en-US" w:eastAsia="zh-CN"/>
        </w:rPr>
        <w:t>2。</w:t>
      </w:r>
    </w:p>
    <w:p>
      <w:pPr>
        <w:spacing w:line="600" w:lineRule="exact"/>
        <w:jc w:val="center"/>
        <w:outlineLvl w:val="0"/>
        <w:rPr>
          <w:rFonts w:ascii="仿宋" w:hAnsi="仿宋" w:eastAsia="仿宋"/>
        </w:rPr>
      </w:pPr>
      <w:bookmarkStart w:id="73" w:name="_Toc7232"/>
      <w:r>
        <w:rPr>
          <w:rFonts w:hint="eastAsia" w:ascii="黑体" w:hAnsi="黑体" w:eastAsia="黑体"/>
          <w:sz w:val="44"/>
          <w:szCs w:val="44"/>
        </w:rPr>
        <w:t>第</w:t>
      </w:r>
      <w:r>
        <w:rPr>
          <w:rStyle w:val="27"/>
          <w:rFonts w:hint="eastAsia" w:ascii="黑体" w:hAnsi="黑体" w:eastAsia="黑体"/>
          <w:b w:val="0"/>
        </w:rPr>
        <w:t>五部分 附表</w:t>
      </w:r>
      <w:bookmarkEnd w:id="68"/>
      <w:bookmarkEnd w:id="72"/>
      <w:bookmarkEnd w:id="73"/>
      <w:bookmarkStart w:id="74" w:name="_Toc15396619"/>
    </w:p>
    <w:p>
      <w:pPr>
        <w:pStyle w:val="6"/>
        <w:rPr>
          <w:rFonts w:ascii="仿宋" w:hAnsi="仿宋" w:eastAsia="仿宋"/>
        </w:rPr>
      </w:pPr>
      <w:bookmarkStart w:id="75" w:name="_Toc19189"/>
      <w:r>
        <w:rPr>
          <w:rFonts w:hint="eastAsia" w:ascii="仿宋" w:hAnsi="仿宋" w:eastAsia="仿宋"/>
          <w:b w:val="0"/>
        </w:rPr>
        <w:t>一、收</w:t>
      </w:r>
      <w:r>
        <w:rPr>
          <w:rStyle w:val="28"/>
          <w:rFonts w:hint="eastAsia" w:ascii="仿宋" w:hAnsi="仿宋" w:eastAsia="仿宋"/>
          <w:b w:val="0"/>
          <w:bCs w:val="0"/>
        </w:rPr>
        <w:t>入支出决算总表</w:t>
      </w:r>
      <w:bookmarkEnd w:id="74"/>
      <w:bookmarkEnd w:id="75"/>
    </w:p>
    <w:p>
      <w:pPr>
        <w:pStyle w:val="6"/>
        <w:rPr>
          <w:rFonts w:ascii="仿宋" w:hAnsi="仿宋" w:eastAsia="仿宋"/>
        </w:rPr>
      </w:pPr>
      <w:bookmarkStart w:id="76" w:name="_Toc23980"/>
      <w:bookmarkStart w:id="77" w:name="_Toc15396620"/>
      <w:r>
        <w:rPr>
          <w:rFonts w:hint="eastAsia" w:ascii="仿宋" w:hAnsi="仿宋" w:eastAsia="仿宋"/>
          <w:b w:val="0"/>
        </w:rPr>
        <w:t>二、收</w:t>
      </w:r>
      <w:r>
        <w:rPr>
          <w:rStyle w:val="28"/>
          <w:rFonts w:hint="eastAsia" w:ascii="仿宋" w:hAnsi="仿宋" w:eastAsia="仿宋"/>
          <w:b w:val="0"/>
          <w:bCs w:val="0"/>
        </w:rPr>
        <w:t>入决算表</w:t>
      </w:r>
      <w:bookmarkEnd w:id="76"/>
      <w:bookmarkEnd w:id="77"/>
    </w:p>
    <w:p>
      <w:pPr>
        <w:pStyle w:val="6"/>
        <w:rPr>
          <w:rFonts w:ascii="仿宋" w:hAnsi="仿宋" w:eastAsia="仿宋"/>
        </w:rPr>
      </w:pPr>
      <w:bookmarkStart w:id="78" w:name="_Toc14510"/>
      <w:bookmarkStart w:id="79" w:name="_Toc15396621"/>
      <w:r>
        <w:rPr>
          <w:rStyle w:val="28"/>
          <w:rFonts w:hint="eastAsia" w:ascii="仿宋" w:hAnsi="仿宋" w:eastAsia="仿宋"/>
          <w:b w:val="0"/>
          <w:bCs w:val="0"/>
        </w:rPr>
        <w:t>三、</w:t>
      </w:r>
      <w:r>
        <w:rPr>
          <w:rFonts w:hint="eastAsia" w:ascii="仿宋" w:hAnsi="仿宋" w:eastAsia="仿宋"/>
          <w:b w:val="0"/>
        </w:rPr>
        <w:t>支</w:t>
      </w:r>
      <w:r>
        <w:rPr>
          <w:rStyle w:val="28"/>
          <w:rFonts w:hint="eastAsia" w:ascii="仿宋" w:hAnsi="仿宋" w:eastAsia="仿宋"/>
          <w:b w:val="0"/>
          <w:bCs w:val="0"/>
        </w:rPr>
        <w:t>出决算表</w:t>
      </w:r>
      <w:bookmarkEnd w:id="78"/>
      <w:bookmarkEnd w:id="79"/>
    </w:p>
    <w:p>
      <w:pPr>
        <w:pStyle w:val="6"/>
        <w:rPr>
          <w:rFonts w:ascii="仿宋" w:hAnsi="仿宋" w:eastAsia="仿宋"/>
          <w:b w:val="0"/>
        </w:rPr>
      </w:pPr>
      <w:bookmarkStart w:id="80" w:name="_Toc15396622"/>
      <w:bookmarkStart w:id="81" w:name="_Toc24355"/>
      <w:r>
        <w:rPr>
          <w:rStyle w:val="28"/>
          <w:rFonts w:hint="eastAsia" w:ascii="仿宋" w:hAnsi="仿宋" w:eastAsia="仿宋"/>
          <w:b w:val="0"/>
          <w:bCs w:val="0"/>
        </w:rPr>
        <w:t>四、</w:t>
      </w:r>
      <w:r>
        <w:rPr>
          <w:rFonts w:hint="eastAsia" w:ascii="仿宋" w:hAnsi="仿宋" w:eastAsia="仿宋"/>
          <w:b w:val="0"/>
        </w:rPr>
        <w:t>财</w:t>
      </w:r>
      <w:r>
        <w:rPr>
          <w:rStyle w:val="28"/>
          <w:rFonts w:hint="eastAsia" w:ascii="仿宋" w:hAnsi="仿宋" w:eastAsia="仿宋"/>
          <w:b w:val="0"/>
          <w:bCs w:val="0"/>
        </w:rPr>
        <w:t>政拨款收入支出决算总表</w:t>
      </w:r>
      <w:bookmarkEnd w:id="80"/>
      <w:bookmarkEnd w:id="81"/>
    </w:p>
    <w:p>
      <w:pPr>
        <w:pStyle w:val="6"/>
        <w:rPr>
          <w:rStyle w:val="28"/>
          <w:rFonts w:ascii="仿宋" w:hAnsi="仿宋" w:eastAsia="仿宋"/>
          <w:b w:val="0"/>
          <w:bCs w:val="0"/>
        </w:rPr>
      </w:pPr>
      <w:bookmarkStart w:id="82" w:name="_Toc12936"/>
      <w:bookmarkStart w:id="83" w:name="_Toc15396623"/>
      <w:r>
        <w:rPr>
          <w:rStyle w:val="28"/>
          <w:rFonts w:hint="eastAsia" w:ascii="仿宋" w:hAnsi="仿宋" w:eastAsia="仿宋"/>
          <w:b w:val="0"/>
          <w:bCs w:val="0"/>
        </w:rPr>
        <w:t>五、</w:t>
      </w:r>
      <w:r>
        <w:rPr>
          <w:rFonts w:hint="eastAsia" w:ascii="仿宋" w:hAnsi="仿宋" w:eastAsia="仿宋"/>
          <w:b w:val="0"/>
        </w:rPr>
        <w:t>财</w:t>
      </w:r>
      <w:r>
        <w:rPr>
          <w:rStyle w:val="28"/>
          <w:rFonts w:hint="eastAsia" w:ascii="仿宋" w:hAnsi="仿宋" w:eastAsia="仿宋"/>
          <w:b w:val="0"/>
          <w:bCs w:val="0"/>
        </w:rPr>
        <w:t>政拨款支出决算明细表</w:t>
      </w:r>
      <w:bookmarkEnd w:id="82"/>
      <w:bookmarkEnd w:id="83"/>
      <w:bookmarkStart w:id="84" w:name="_Toc15396624"/>
    </w:p>
    <w:p>
      <w:pPr>
        <w:pStyle w:val="6"/>
        <w:rPr>
          <w:rFonts w:ascii="仿宋" w:hAnsi="仿宋" w:eastAsia="仿宋"/>
        </w:rPr>
      </w:pPr>
      <w:bookmarkStart w:id="85" w:name="_Toc23679"/>
      <w:r>
        <w:rPr>
          <w:rStyle w:val="28"/>
          <w:rFonts w:hint="eastAsia" w:ascii="仿宋" w:hAnsi="仿宋" w:eastAsia="仿宋"/>
          <w:b w:val="0"/>
          <w:bCs w:val="0"/>
        </w:rPr>
        <w:t>六、</w:t>
      </w:r>
      <w:r>
        <w:rPr>
          <w:rFonts w:hint="eastAsia" w:ascii="仿宋" w:hAnsi="仿宋" w:eastAsia="仿宋"/>
          <w:b w:val="0"/>
        </w:rPr>
        <w:t>一</w:t>
      </w:r>
      <w:r>
        <w:rPr>
          <w:rStyle w:val="28"/>
          <w:rFonts w:hint="eastAsia" w:ascii="仿宋" w:hAnsi="仿宋" w:eastAsia="仿宋"/>
          <w:b w:val="0"/>
          <w:bCs w:val="0"/>
        </w:rPr>
        <w:t>般公共预算财政拨款支出决算表</w:t>
      </w:r>
      <w:bookmarkEnd w:id="84"/>
      <w:bookmarkEnd w:id="85"/>
    </w:p>
    <w:p>
      <w:pPr>
        <w:pStyle w:val="6"/>
        <w:rPr>
          <w:rFonts w:ascii="仿宋" w:hAnsi="仿宋" w:eastAsia="仿宋"/>
        </w:rPr>
      </w:pPr>
      <w:bookmarkStart w:id="86" w:name="_Toc15396625"/>
      <w:bookmarkStart w:id="87" w:name="_Toc18649"/>
      <w:r>
        <w:rPr>
          <w:rStyle w:val="28"/>
          <w:rFonts w:hint="eastAsia" w:ascii="仿宋" w:hAnsi="仿宋" w:eastAsia="仿宋"/>
          <w:b w:val="0"/>
          <w:bCs w:val="0"/>
        </w:rPr>
        <w:t>七、</w:t>
      </w:r>
      <w:r>
        <w:rPr>
          <w:rFonts w:hint="eastAsia" w:ascii="仿宋" w:hAnsi="仿宋" w:eastAsia="仿宋"/>
          <w:b w:val="0"/>
        </w:rPr>
        <w:t>一</w:t>
      </w:r>
      <w:r>
        <w:rPr>
          <w:rStyle w:val="28"/>
          <w:rFonts w:hint="eastAsia" w:ascii="仿宋" w:hAnsi="仿宋" w:eastAsia="仿宋"/>
          <w:b w:val="0"/>
          <w:bCs w:val="0"/>
        </w:rPr>
        <w:t>般公共预算财政拨款支出决算明细表</w:t>
      </w:r>
      <w:bookmarkEnd w:id="86"/>
      <w:bookmarkEnd w:id="87"/>
    </w:p>
    <w:p>
      <w:pPr>
        <w:pStyle w:val="6"/>
        <w:rPr>
          <w:rFonts w:ascii="仿宋" w:hAnsi="仿宋" w:eastAsia="仿宋"/>
        </w:rPr>
      </w:pPr>
      <w:bookmarkStart w:id="88" w:name="_Toc255"/>
      <w:bookmarkStart w:id="89" w:name="_Toc15396626"/>
      <w:r>
        <w:rPr>
          <w:rStyle w:val="28"/>
          <w:rFonts w:hint="eastAsia" w:ascii="仿宋" w:hAnsi="仿宋" w:eastAsia="仿宋"/>
          <w:b w:val="0"/>
          <w:bCs w:val="0"/>
        </w:rPr>
        <w:t>八、</w:t>
      </w:r>
      <w:r>
        <w:rPr>
          <w:rFonts w:hint="eastAsia" w:ascii="仿宋" w:hAnsi="仿宋" w:eastAsia="仿宋"/>
          <w:b w:val="0"/>
        </w:rPr>
        <w:t>一</w:t>
      </w:r>
      <w:r>
        <w:rPr>
          <w:rStyle w:val="28"/>
          <w:rFonts w:hint="eastAsia" w:ascii="仿宋" w:hAnsi="仿宋" w:eastAsia="仿宋"/>
          <w:b w:val="0"/>
          <w:bCs w:val="0"/>
        </w:rPr>
        <w:t>般公共预算财政拨款基本支出决算表</w:t>
      </w:r>
      <w:bookmarkEnd w:id="88"/>
      <w:bookmarkEnd w:id="89"/>
    </w:p>
    <w:p>
      <w:pPr>
        <w:pStyle w:val="6"/>
        <w:rPr>
          <w:rFonts w:ascii="仿宋" w:hAnsi="仿宋" w:eastAsia="仿宋"/>
        </w:rPr>
      </w:pPr>
      <w:bookmarkStart w:id="90" w:name="_Toc27932"/>
      <w:bookmarkStart w:id="91" w:name="_Toc15396627"/>
      <w:r>
        <w:rPr>
          <w:rStyle w:val="28"/>
          <w:rFonts w:hint="eastAsia" w:ascii="仿宋" w:hAnsi="仿宋" w:eastAsia="仿宋"/>
          <w:b w:val="0"/>
          <w:bCs w:val="0"/>
        </w:rPr>
        <w:t>九、</w:t>
      </w:r>
      <w:r>
        <w:rPr>
          <w:rFonts w:hint="eastAsia" w:ascii="仿宋" w:hAnsi="仿宋" w:eastAsia="仿宋"/>
          <w:b w:val="0"/>
        </w:rPr>
        <w:t>一</w:t>
      </w:r>
      <w:r>
        <w:rPr>
          <w:rStyle w:val="28"/>
          <w:rFonts w:hint="eastAsia" w:ascii="仿宋" w:hAnsi="仿宋" w:eastAsia="仿宋"/>
          <w:b w:val="0"/>
          <w:bCs w:val="0"/>
        </w:rPr>
        <w:t>般公共预算财政拨款项目支出决算表</w:t>
      </w:r>
      <w:bookmarkEnd w:id="90"/>
      <w:bookmarkEnd w:id="91"/>
    </w:p>
    <w:p>
      <w:pPr>
        <w:pStyle w:val="6"/>
        <w:rPr>
          <w:rFonts w:ascii="仿宋" w:hAnsi="仿宋" w:eastAsia="仿宋"/>
        </w:rPr>
      </w:pPr>
      <w:bookmarkStart w:id="92" w:name="_Toc15396628"/>
      <w:bookmarkStart w:id="93" w:name="_Toc1668"/>
      <w:r>
        <w:rPr>
          <w:rStyle w:val="28"/>
          <w:rFonts w:hint="eastAsia" w:ascii="仿宋" w:hAnsi="仿宋" w:eastAsia="仿宋"/>
          <w:b w:val="0"/>
          <w:bCs w:val="0"/>
        </w:rPr>
        <w:t>十、</w:t>
      </w:r>
      <w:bookmarkEnd w:id="92"/>
      <w:r>
        <w:rPr>
          <w:rFonts w:hint="eastAsia" w:ascii="仿宋" w:hAnsi="仿宋" w:eastAsia="仿宋"/>
          <w:b w:val="0"/>
        </w:rPr>
        <w:t>政</w:t>
      </w:r>
      <w:r>
        <w:rPr>
          <w:rStyle w:val="28"/>
          <w:rFonts w:hint="eastAsia" w:ascii="仿宋" w:hAnsi="仿宋" w:eastAsia="仿宋"/>
          <w:b w:val="0"/>
          <w:bCs w:val="0"/>
        </w:rPr>
        <w:t>府性基金预算财政拨款收入支出决算表</w:t>
      </w:r>
      <w:bookmarkEnd w:id="93"/>
    </w:p>
    <w:p>
      <w:pPr>
        <w:pStyle w:val="6"/>
        <w:rPr>
          <w:rFonts w:hint="eastAsia" w:ascii="仿宋" w:hAnsi="仿宋" w:eastAsia="仿宋"/>
          <w:lang w:eastAsia="zh-CN"/>
        </w:rPr>
      </w:pPr>
      <w:bookmarkStart w:id="94" w:name="_Toc15396629"/>
      <w:bookmarkStart w:id="95" w:name="_Toc3773"/>
      <w:r>
        <w:rPr>
          <w:rStyle w:val="28"/>
          <w:rFonts w:hint="eastAsia" w:ascii="仿宋" w:hAnsi="仿宋" w:eastAsia="仿宋"/>
          <w:b w:val="0"/>
          <w:bCs w:val="0"/>
        </w:rPr>
        <w:t>十一、</w:t>
      </w:r>
      <w:bookmarkEnd w:id="94"/>
      <w:r>
        <w:rPr>
          <w:rFonts w:hint="eastAsia" w:ascii="仿宋" w:hAnsi="仿宋" w:eastAsia="仿宋"/>
          <w:b w:val="0"/>
        </w:rPr>
        <w:t>国</w:t>
      </w:r>
      <w:r>
        <w:rPr>
          <w:rStyle w:val="28"/>
          <w:rFonts w:hint="eastAsia" w:ascii="仿宋" w:hAnsi="仿宋" w:eastAsia="仿宋"/>
          <w:b w:val="0"/>
          <w:bCs w:val="0"/>
        </w:rPr>
        <w:t>有资本经营预算财政拨款收入支出决算表</w:t>
      </w:r>
      <w:r>
        <w:rPr>
          <w:rStyle w:val="28"/>
          <w:rFonts w:hint="eastAsia" w:ascii="仿宋" w:hAnsi="仿宋" w:eastAsia="仿宋"/>
          <w:b w:val="0"/>
          <w:bCs w:val="0"/>
          <w:lang w:eastAsia="zh-CN"/>
        </w:rPr>
        <w:t>（此表无数据）</w:t>
      </w:r>
      <w:bookmarkEnd w:id="95"/>
    </w:p>
    <w:p>
      <w:pPr>
        <w:pStyle w:val="6"/>
        <w:rPr>
          <w:rFonts w:hint="eastAsia" w:ascii="仿宋" w:hAnsi="仿宋" w:eastAsia="仿宋"/>
          <w:lang w:eastAsia="zh-CN"/>
        </w:rPr>
      </w:pPr>
      <w:bookmarkStart w:id="96" w:name="_Toc15396630"/>
      <w:bookmarkStart w:id="97" w:name="_Toc28592"/>
      <w:r>
        <w:rPr>
          <w:rStyle w:val="28"/>
          <w:rFonts w:hint="eastAsia" w:ascii="仿宋" w:hAnsi="仿宋" w:eastAsia="仿宋"/>
          <w:b w:val="0"/>
          <w:bCs w:val="0"/>
        </w:rPr>
        <w:t>十二、</w:t>
      </w:r>
      <w:bookmarkEnd w:id="96"/>
      <w:r>
        <w:rPr>
          <w:rStyle w:val="28"/>
          <w:rFonts w:hint="eastAsia" w:ascii="仿宋" w:hAnsi="仿宋" w:eastAsia="仿宋"/>
          <w:b w:val="0"/>
          <w:bCs w:val="0"/>
        </w:rPr>
        <w:t>国有资本经营预算财政拨款支出决算表</w:t>
      </w:r>
      <w:r>
        <w:rPr>
          <w:rStyle w:val="28"/>
          <w:rFonts w:hint="eastAsia" w:ascii="仿宋" w:hAnsi="仿宋" w:eastAsia="仿宋"/>
          <w:b w:val="0"/>
          <w:bCs w:val="0"/>
          <w:lang w:eastAsia="zh-CN"/>
        </w:rPr>
        <w:t>（此表无数据）</w:t>
      </w:r>
      <w:bookmarkEnd w:id="97"/>
    </w:p>
    <w:p>
      <w:pPr>
        <w:pStyle w:val="6"/>
        <w:rPr>
          <w:rFonts w:eastAsia="仿宋"/>
        </w:rPr>
      </w:pPr>
      <w:bookmarkStart w:id="98" w:name="_Toc15396631"/>
      <w:bookmarkStart w:id="99" w:name="_Toc15153"/>
      <w:r>
        <w:rPr>
          <w:rStyle w:val="28"/>
          <w:rFonts w:hint="eastAsia" w:ascii="仿宋" w:hAnsi="仿宋" w:eastAsia="仿宋"/>
          <w:b w:val="0"/>
          <w:bCs w:val="0"/>
        </w:rPr>
        <w:t>十三、</w:t>
      </w:r>
      <w:bookmarkEnd w:id="98"/>
      <w:r>
        <w:rPr>
          <w:rStyle w:val="28"/>
          <w:rFonts w:hint="eastAsia" w:ascii="仿宋" w:hAnsi="仿宋" w:eastAsia="仿宋"/>
          <w:b w:val="0"/>
          <w:bCs w:val="0"/>
        </w:rPr>
        <w:t>财政拨款“三公”经费支出决算表</w:t>
      </w:r>
      <w:bookmarkEnd w:id="99"/>
    </w:p>
    <w:sectPr>
      <w:headerReference r:id="rId3" w:type="default"/>
      <w:footerReference r:id="rId5" w:type="default"/>
      <w:headerReference r:id="rId4" w:type="even"/>
      <w:footerReference r:id="rId6" w:type="even"/>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0AFF" w:usb1="00007843" w:usb2="00000001" w:usb3="00000000" w:csb0="400001BF" w:csb1="DFF7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11"/>
          <w:jc w:val="center"/>
        </w:pPr>
        <w:r>
          <w:fldChar w:fldCharType="begin"/>
        </w:r>
        <w:r>
          <w:instrText xml:space="preserve">PAGE   \* MERGEFORMAT</w:instrText>
        </w:r>
        <w:r>
          <w:fldChar w:fldCharType="separate"/>
        </w:r>
        <w:r>
          <w:rPr>
            <w:lang w:val="zh-CN"/>
          </w:rPr>
          <w:t>15</w:t>
        </w:r>
        <w:r>
          <w:fldChar w:fldCharType="end"/>
        </w:r>
      </w:p>
    </w:sdtContent>
  </w:sdt>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3818A09A"/>
    <w:multiLevelType w:val="singleLevel"/>
    <w:tmpl w:val="3818A09A"/>
    <w:lvl w:ilvl="0" w:tentative="0">
      <w:start w:val="1"/>
      <w:numFmt w:val="chineseCounting"/>
      <w:suff w:val="nothing"/>
      <w:lvlText w:val="%1、"/>
      <w:lvlJc w:val="left"/>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2OGFjMzE0ODBhNzFjM2NhYWM5OWQ0OTY5MTU5ZjI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0F3D30"/>
    <w:rsid w:val="00114E9B"/>
    <w:rsid w:val="00123991"/>
    <w:rsid w:val="00142216"/>
    <w:rsid w:val="00144D6A"/>
    <w:rsid w:val="0014729F"/>
    <w:rsid w:val="00157BAB"/>
    <w:rsid w:val="001654D1"/>
    <w:rsid w:val="00166E95"/>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950"/>
    <w:rsid w:val="00260C38"/>
    <w:rsid w:val="00260C9E"/>
    <w:rsid w:val="002616C0"/>
    <w:rsid w:val="00265372"/>
    <w:rsid w:val="002662AA"/>
    <w:rsid w:val="00280496"/>
    <w:rsid w:val="00294DC9"/>
    <w:rsid w:val="00295495"/>
    <w:rsid w:val="002A31DE"/>
    <w:rsid w:val="002B2613"/>
    <w:rsid w:val="002D6D05"/>
    <w:rsid w:val="002F1818"/>
    <w:rsid w:val="002F567B"/>
    <w:rsid w:val="003216A9"/>
    <w:rsid w:val="00330884"/>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64B39"/>
    <w:rsid w:val="00471401"/>
    <w:rsid w:val="00473F31"/>
    <w:rsid w:val="0048263A"/>
    <w:rsid w:val="00485945"/>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A049A"/>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460DF"/>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641D5"/>
    <w:rsid w:val="0097099F"/>
    <w:rsid w:val="00971997"/>
    <w:rsid w:val="00971FFC"/>
    <w:rsid w:val="00980214"/>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35860"/>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15FA6"/>
    <w:rsid w:val="00C33E72"/>
    <w:rsid w:val="00C354B2"/>
    <w:rsid w:val="00C35554"/>
    <w:rsid w:val="00C42709"/>
    <w:rsid w:val="00C533CC"/>
    <w:rsid w:val="00C5751C"/>
    <w:rsid w:val="00C61BFC"/>
    <w:rsid w:val="00C62B85"/>
    <w:rsid w:val="00C65438"/>
    <w:rsid w:val="00C7524A"/>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244B"/>
    <w:rsid w:val="00FD3CC1"/>
    <w:rsid w:val="00FF1E02"/>
    <w:rsid w:val="00FF30B4"/>
    <w:rsid w:val="01C32732"/>
    <w:rsid w:val="01CE08B2"/>
    <w:rsid w:val="02B075F4"/>
    <w:rsid w:val="02C220EE"/>
    <w:rsid w:val="02C866AB"/>
    <w:rsid w:val="03003232"/>
    <w:rsid w:val="03676B59"/>
    <w:rsid w:val="04D96F34"/>
    <w:rsid w:val="05191E3C"/>
    <w:rsid w:val="053A62B5"/>
    <w:rsid w:val="0563090D"/>
    <w:rsid w:val="0595464F"/>
    <w:rsid w:val="05DA07FE"/>
    <w:rsid w:val="05FC40F1"/>
    <w:rsid w:val="06D93E3E"/>
    <w:rsid w:val="06E25862"/>
    <w:rsid w:val="06F1432C"/>
    <w:rsid w:val="07083CF5"/>
    <w:rsid w:val="076F6096"/>
    <w:rsid w:val="07F51F62"/>
    <w:rsid w:val="08B1198F"/>
    <w:rsid w:val="08DE7FD2"/>
    <w:rsid w:val="09045677"/>
    <w:rsid w:val="09B545A3"/>
    <w:rsid w:val="09EC26E4"/>
    <w:rsid w:val="0A127337"/>
    <w:rsid w:val="0A2032A3"/>
    <w:rsid w:val="0A22681A"/>
    <w:rsid w:val="0A4042DA"/>
    <w:rsid w:val="0A4B2DA1"/>
    <w:rsid w:val="0ABF0394"/>
    <w:rsid w:val="0ADA7F90"/>
    <w:rsid w:val="0AFD78DD"/>
    <w:rsid w:val="0B8A37D8"/>
    <w:rsid w:val="0B970782"/>
    <w:rsid w:val="0C706F43"/>
    <w:rsid w:val="0C8573BB"/>
    <w:rsid w:val="0C8B1868"/>
    <w:rsid w:val="0DFC6444"/>
    <w:rsid w:val="0E39045D"/>
    <w:rsid w:val="0E4C52EE"/>
    <w:rsid w:val="0EA0665B"/>
    <w:rsid w:val="0EA20F58"/>
    <w:rsid w:val="0EB229D1"/>
    <w:rsid w:val="0F063405"/>
    <w:rsid w:val="0FAD112E"/>
    <w:rsid w:val="1015428D"/>
    <w:rsid w:val="102D2243"/>
    <w:rsid w:val="10433760"/>
    <w:rsid w:val="10791A5F"/>
    <w:rsid w:val="10C055FF"/>
    <w:rsid w:val="111B6524"/>
    <w:rsid w:val="112C7DF0"/>
    <w:rsid w:val="116021A5"/>
    <w:rsid w:val="11624A45"/>
    <w:rsid w:val="118107EC"/>
    <w:rsid w:val="11CC3BF0"/>
    <w:rsid w:val="11DD6519"/>
    <w:rsid w:val="11FA707D"/>
    <w:rsid w:val="126B3F80"/>
    <w:rsid w:val="12E12E71"/>
    <w:rsid w:val="131E2CFD"/>
    <w:rsid w:val="135568F4"/>
    <w:rsid w:val="136D3977"/>
    <w:rsid w:val="13F93B28"/>
    <w:rsid w:val="14060DE1"/>
    <w:rsid w:val="144143EC"/>
    <w:rsid w:val="15317466"/>
    <w:rsid w:val="15636D69"/>
    <w:rsid w:val="15B82C26"/>
    <w:rsid w:val="15BE7EFE"/>
    <w:rsid w:val="160233A8"/>
    <w:rsid w:val="16641DC9"/>
    <w:rsid w:val="1666025D"/>
    <w:rsid w:val="16BB723D"/>
    <w:rsid w:val="177C1161"/>
    <w:rsid w:val="17BC0ED9"/>
    <w:rsid w:val="17FB5AC3"/>
    <w:rsid w:val="18015F3F"/>
    <w:rsid w:val="18500A90"/>
    <w:rsid w:val="18DD7E7B"/>
    <w:rsid w:val="18FC7201"/>
    <w:rsid w:val="191E097B"/>
    <w:rsid w:val="195F2D42"/>
    <w:rsid w:val="1A256591"/>
    <w:rsid w:val="1A887A5C"/>
    <w:rsid w:val="1ABC340F"/>
    <w:rsid w:val="1AC45552"/>
    <w:rsid w:val="1AF35BA4"/>
    <w:rsid w:val="1BC57E16"/>
    <w:rsid w:val="1BE8440E"/>
    <w:rsid w:val="1BF259E0"/>
    <w:rsid w:val="1BF412F5"/>
    <w:rsid w:val="1CB80141"/>
    <w:rsid w:val="1D155CEE"/>
    <w:rsid w:val="1D166FCC"/>
    <w:rsid w:val="1D8C186A"/>
    <w:rsid w:val="1D90796E"/>
    <w:rsid w:val="1D973923"/>
    <w:rsid w:val="1DB918CB"/>
    <w:rsid w:val="1DCD7775"/>
    <w:rsid w:val="1DD05D75"/>
    <w:rsid w:val="1E453DA4"/>
    <w:rsid w:val="1EC21DA9"/>
    <w:rsid w:val="1F010C8F"/>
    <w:rsid w:val="1F7C63FB"/>
    <w:rsid w:val="1FBA5711"/>
    <w:rsid w:val="1FCC6F6B"/>
    <w:rsid w:val="20144886"/>
    <w:rsid w:val="20482300"/>
    <w:rsid w:val="20782350"/>
    <w:rsid w:val="208C23F8"/>
    <w:rsid w:val="20F57F95"/>
    <w:rsid w:val="214F0CA7"/>
    <w:rsid w:val="214F7A7A"/>
    <w:rsid w:val="21C8441D"/>
    <w:rsid w:val="22371443"/>
    <w:rsid w:val="227910C8"/>
    <w:rsid w:val="22F518CD"/>
    <w:rsid w:val="22FF6214"/>
    <w:rsid w:val="23307478"/>
    <w:rsid w:val="240371BF"/>
    <w:rsid w:val="241E2177"/>
    <w:rsid w:val="242F51F8"/>
    <w:rsid w:val="24B55427"/>
    <w:rsid w:val="24ED1072"/>
    <w:rsid w:val="24FF6CC4"/>
    <w:rsid w:val="25711CC6"/>
    <w:rsid w:val="257C02E6"/>
    <w:rsid w:val="259102D8"/>
    <w:rsid w:val="25C741E6"/>
    <w:rsid w:val="26B23CD0"/>
    <w:rsid w:val="270C1ACD"/>
    <w:rsid w:val="27842671"/>
    <w:rsid w:val="28723F14"/>
    <w:rsid w:val="28BB0CDC"/>
    <w:rsid w:val="28F01A05"/>
    <w:rsid w:val="29021EC6"/>
    <w:rsid w:val="2914700E"/>
    <w:rsid w:val="291D0D6A"/>
    <w:rsid w:val="29415F8B"/>
    <w:rsid w:val="294356F3"/>
    <w:rsid w:val="29946578"/>
    <w:rsid w:val="29AC5B2F"/>
    <w:rsid w:val="29B21BF5"/>
    <w:rsid w:val="29FD04D3"/>
    <w:rsid w:val="2AA76BFC"/>
    <w:rsid w:val="2ABA34C8"/>
    <w:rsid w:val="2ABE7A3E"/>
    <w:rsid w:val="2B8A3EC7"/>
    <w:rsid w:val="2B8A6344"/>
    <w:rsid w:val="2B982A86"/>
    <w:rsid w:val="2BAE7680"/>
    <w:rsid w:val="2BD1274B"/>
    <w:rsid w:val="2C3E7E8A"/>
    <w:rsid w:val="2CA234A8"/>
    <w:rsid w:val="2CBB7F55"/>
    <w:rsid w:val="2CC6515A"/>
    <w:rsid w:val="2D7D3301"/>
    <w:rsid w:val="2DA7741E"/>
    <w:rsid w:val="2DB40E41"/>
    <w:rsid w:val="2DBF6D36"/>
    <w:rsid w:val="2E003569"/>
    <w:rsid w:val="2E14286F"/>
    <w:rsid w:val="2E4104BE"/>
    <w:rsid w:val="2E573128"/>
    <w:rsid w:val="2EF75847"/>
    <w:rsid w:val="2EFA178C"/>
    <w:rsid w:val="2F882F45"/>
    <w:rsid w:val="301E55D0"/>
    <w:rsid w:val="30405536"/>
    <w:rsid w:val="304E16EE"/>
    <w:rsid w:val="30B46D73"/>
    <w:rsid w:val="31031D93"/>
    <w:rsid w:val="31607C0D"/>
    <w:rsid w:val="31890334"/>
    <w:rsid w:val="319F7F4E"/>
    <w:rsid w:val="31CF47B6"/>
    <w:rsid w:val="33962EB0"/>
    <w:rsid w:val="33D0798B"/>
    <w:rsid w:val="34036C94"/>
    <w:rsid w:val="343A22EE"/>
    <w:rsid w:val="344C23E9"/>
    <w:rsid w:val="348016AD"/>
    <w:rsid w:val="34DF14AF"/>
    <w:rsid w:val="34EC7728"/>
    <w:rsid w:val="35062A56"/>
    <w:rsid w:val="35374E47"/>
    <w:rsid w:val="354D51C6"/>
    <w:rsid w:val="3558570A"/>
    <w:rsid w:val="3578720D"/>
    <w:rsid w:val="35EA0EFE"/>
    <w:rsid w:val="36C23FAA"/>
    <w:rsid w:val="370D12E8"/>
    <w:rsid w:val="3761176B"/>
    <w:rsid w:val="37851E2C"/>
    <w:rsid w:val="37966DEB"/>
    <w:rsid w:val="37C8622A"/>
    <w:rsid w:val="37CF6F74"/>
    <w:rsid w:val="37EC3674"/>
    <w:rsid w:val="383D272C"/>
    <w:rsid w:val="38D13AB6"/>
    <w:rsid w:val="38EF5365"/>
    <w:rsid w:val="395D05B6"/>
    <w:rsid w:val="397E7C08"/>
    <w:rsid w:val="39AE70AB"/>
    <w:rsid w:val="39C44CC0"/>
    <w:rsid w:val="3A255BB6"/>
    <w:rsid w:val="3ACD3B57"/>
    <w:rsid w:val="3ADB0295"/>
    <w:rsid w:val="3AE87507"/>
    <w:rsid w:val="3AFD61EB"/>
    <w:rsid w:val="3B280D40"/>
    <w:rsid w:val="3B8775E7"/>
    <w:rsid w:val="3BBF61AC"/>
    <w:rsid w:val="3C0417FB"/>
    <w:rsid w:val="3C0C0783"/>
    <w:rsid w:val="3C16066D"/>
    <w:rsid w:val="3C315F2F"/>
    <w:rsid w:val="3C447AF0"/>
    <w:rsid w:val="3C532D1E"/>
    <w:rsid w:val="3CBF0AE9"/>
    <w:rsid w:val="3D51281E"/>
    <w:rsid w:val="3D864A72"/>
    <w:rsid w:val="3E592691"/>
    <w:rsid w:val="3F4F17A8"/>
    <w:rsid w:val="3F9F3A96"/>
    <w:rsid w:val="3FB853C1"/>
    <w:rsid w:val="3FC05505"/>
    <w:rsid w:val="403F4D23"/>
    <w:rsid w:val="40972CCF"/>
    <w:rsid w:val="4097376B"/>
    <w:rsid w:val="40AA659F"/>
    <w:rsid w:val="40F41D35"/>
    <w:rsid w:val="412F10C8"/>
    <w:rsid w:val="41A01FC6"/>
    <w:rsid w:val="41A24E22"/>
    <w:rsid w:val="41EE4ADF"/>
    <w:rsid w:val="42057FF7"/>
    <w:rsid w:val="42134797"/>
    <w:rsid w:val="43252782"/>
    <w:rsid w:val="43BE0A39"/>
    <w:rsid w:val="43FC7D70"/>
    <w:rsid w:val="45365E66"/>
    <w:rsid w:val="45406D1A"/>
    <w:rsid w:val="45E92540"/>
    <w:rsid w:val="46476EB4"/>
    <w:rsid w:val="4649027F"/>
    <w:rsid w:val="4670640B"/>
    <w:rsid w:val="46A208D4"/>
    <w:rsid w:val="46F77F3F"/>
    <w:rsid w:val="478B54E7"/>
    <w:rsid w:val="47EA5D49"/>
    <w:rsid w:val="48384B6E"/>
    <w:rsid w:val="4846543F"/>
    <w:rsid w:val="4864183A"/>
    <w:rsid w:val="48BF60AB"/>
    <w:rsid w:val="48FA19FD"/>
    <w:rsid w:val="491017DF"/>
    <w:rsid w:val="493C27E9"/>
    <w:rsid w:val="496F39ED"/>
    <w:rsid w:val="497365D1"/>
    <w:rsid w:val="49770F45"/>
    <w:rsid w:val="49907ABB"/>
    <w:rsid w:val="49C72C5D"/>
    <w:rsid w:val="49FF41D3"/>
    <w:rsid w:val="4A2F24D9"/>
    <w:rsid w:val="4A8F0E29"/>
    <w:rsid w:val="4BE068DB"/>
    <w:rsid w:val="4BF6002B"/>
    <w:rsid w:val="4C7958ED"/>
    <w:rsid w:val="4C9170DB"/>
    <w:rsid w:val="4D255D1B"/>
    <w:rsid w:val="4D5D39E1"/>
    <w:rsid w:val="4DDA776A"/>
    <w:rsid w:val="4ECE2238"/>
    <w:rsid w:val="4F045452"/>
    <w:rsid w:val="502119D7"/>
    <w:rsid w:val="503264DF"/>
    <w:rsid w:val="509709A5"/>
    <w:rsid w:val="50A2798F"/>
    <w:rsid w:val="51663853"/>
    <w:rsid w:val="51CD740E"/>
    <w:rsid w:val="51DB4B86"/>
    <w:rsid w:val="51E81CD0"/>
    <w:rsid w:val="525910AB"/>
    <w:rsid w:val="52D771EF"/>
    <w:rsid w:val="52E06A84"/>
    <w:rsid w:val="53130849"/>
    <w:rsid w:val="535D017F"/>
    <w:rsid w:val="53CA38BA"/>
    <w:rsid w:val="54232D0E"/>
    <w:rsid w:val="54472C35"/>
    <w:rsid w:val="547726D0"/>
    <w:rsid w:val="54817A35"/>
    <w:rsid w:val="54D26F50"/>
    <w:rsid w:val="54F63F7F"/>
    <w:rsid w:val="55333C3E"/>
    <w:rsid w:val="56095F34"/>
    <w:rsid w:val="56ED7E54"/>
    <w:rsid w:val="572F484E"/>
    <w:rsid w:val="57812BC2"/>
    <w:rsid w:val="57A876EA"/>
    <w:rsid w:val="57EF6963"/>
    <w:rsid w:val="58932747"/>
    <w:rsid w:val="58D4636D"/>
    <w:rsid w:val="58FF05FE"/>
    <w:rsid w:val="59081F11"/>
    <w:rsid w:val="59D57D96"/>
    <w:rsid w:val="5A3110AA"/>
    <w:rsid w:val="5AFC6067"/>
    <w:rsid w:val="5B393E14"/>
    <w:rsid w:val="5B667D51"/>
    <w:rsid w:val="5B784E24"/>
    <w:rsid w:val="5BBD1546"/>
    <w:rsid w:val="5C573484"/>
    <w:rsid w:val="5C7E3835"/>
    <w:rsid w:val="5CA75A75"/>
    <w:rsid w:val="5D086F45"/>
    <w:rsid w:val="5D203835"/>
    <w:rsid w:val="5D235745"/>
    <w:rsid w:val="5D4D6706"/>
    <w:rsid w:val="5D887B7A"/>
    <w:rsid w:val="5DA36667"/>
    <w:rsid w:val="5DFD7161"/>
    <w:rsid w:val="5E402BFD"/>
    <w:rsid w:val="5F5024B8"/>
    <w:rsid w:val="5FBB0B6C"/>
    <w:rsid w:val="6042008A"/>
    <w:rsid w:val="6069342C"/>
    <w:rsid w:val="607F072B"/>
    <w:rsid w:val="61700C15"/>
    <w:rsid w:val="61B87723"/>
    <w:rsid w:val="61E80460"/>
    <w:rsid w:val="61F642C5"/>
    <w:rsid w:val="62334965"/>
    <w:rsid w:val="627670D7"/>
    <w:rsid w:val="629B764B"/>
    <w:rsid w:val="62F90495"/>
    <w:rsid w:val="635D3DB0"/>
    <w:rsid w:val="63DB0C0B"/>
    <w:rsid w:val="63F34885"/>
    <w:rsid w:val="64115B91"/>
    <w:rsid w:val="64AA4875"/>
    <w:rsid w:val="64C400AD"/>
    <w:rsid w:val="64C73242"/>
    <w:rsid w:val="64CA39A1"/>
    <w:rsid w:val="64D554AE"/>
    <w:rsid w:val="655B75DA"/>
    <w:rsid w:val="65A3135E"/>
    <w:rsid w:val="65AC7364"/>
    <w:rsid w:val="65D53D3B"/>
    <w:rsid w:val="65EB68BD"/>
    <w:rsid w:val="66642445"/>
    <w:rsid w:val="666A1688"/>
    <w:rsid w:val="66952ECC"/>
    <w:rsid w:val="66D94FCE"/>
    <w:rsid w:val="66EC20AE"/>
    <w:rsid w:val="676A4D31"/>
    <w:rsid w:val="676D7B78"/>
    <w:rsid w:val="67A16134"/>
    <w:rsid w:val="67A36096"/>
    <w:rsid w:val="67DA7730"/>
    <w:rsid w:val="682B3C43"/>
    <w:rsid w:val="683E0648"/>
    <w:rsid w:val="686F0EA4"/>
    <w:rsid w:val="68C41F93"/>
    <w:rsid w:val="68EA185E"/>
    <w:rsid w:val="695D23C7"/>
    <w:rsid w:val="69630ADE"/>
    <w:rsid w:val="6990454A"/>
    <w:rsid w:val="6BC955C4"/>
    <w:rsid w:val="6C253E74"/>
    <w:rsid w:val="6C4A05C8"/>
    <w:rsid w:val="6CD468D4"/>
    <w:rsid w:val="6D3B1A89"/>
    <w:rsid w:val="6D6261FE"/>
    <w:rsid w:val="6E4504C3"/>
    <w:rsid w:val="6E593BA2"/>
    <w:rsid w:val="6EC55187"/>
    <w:rsid w:val="6F0537E2"/>
    <w:rsid w:val="6F16586D"/>
    <w:rsid w:val="6FAA5B4B"/>
    <w:rsid w:val="7005776A"/>
    <w:rsid w:val="700F07F7"/>
    <w:rsid w:val="705F07D2"/>
    <w:rsid w:val="70EB0ED2"/>
    <w:rsid w:val="71BF4EC2"/>
    <w:rsid w:val="721958EA"/>
    <w:rsid w:val="7241754D"/>
    <w:rsid w:val="7260580F"/>
    <w:rsid w:val="72734D90"/>
    <w:rsid w:val="72B8716D"/>
    <w:rsid w:val="72C214EC"/>
    <w:rsid w:val="72D6671B"/>
    <w:rsid w:val="73A735B2"/>
    <w:rsid w:val="7412278C"/>
    <w:rsid w:val="74735BA6"/>
    <w:rsid w:val="74F851F6"/>
    <w:rsid w:val="75291AB9"/>
    <w:rsid w:val="75363240"/>
    <w:rsid w:val="75862CA5"/>
    <w:rsid w:val="774E77F3"/>
    <w:rsid w:val="776668EA"/>
    <w:rsid w:val="77B77FF7"/>
    <w:rsid w:val="77DB3E79"/>
    <w:rsid w:val="77F73614"/>
    <w:rsid w:val="78055E5D"/>
    <w:rsid w:val="787839B6"/>
    <w:rsid w:val="787B1D67"/>
    <w:rsid w:val="79456370"/>
    <w:rsid w:val="794F10EF"/>
    <w:rsid w:val="79E7B28D"/>
    <w:rsid w:val="79ED7793"/>
    <w:rsid w:val="7AC42BA1"/>
    <w:rsid w:val="7B607302"/>
    <w:rsid w:val="7BB20980"/>
    <w:rsid w:val="7BED7F5C"/>
    <w:rsid w:val="7C3074CB"/>
    <w:rsid w:val="7C8D66C7"/>
    <w:rsid w:val="7CE43A4E"/>
    <w:rsid w:val="7D386176"/>
    <w:rsid w:val="7D6D1D42"/>
    <w:rsid w:val="7D7C3B40"/>
    <w:rsid w:val="7E040C0B"/>
    <w:rsid w:val="7E461B7C"/>
    <w:rsid w:val="7F7F3488"/>
    <w:rsid w:val="7F9F20EE"/>
    <w:rsid w:val="7FB665C6"/>
    <w:rsid w:val="9E3A10E2"/>
    <w:rsid w:val="F2E1F9D4"/>
    <w:rsid w:val="F788081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6">
    <w:name w:val="heading 2"/>
    <w:basedOn w:val="1"/>
    <w:next w:val="1"/>
    <w:link w:val="2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7">
    <w:name w:val="heading 3"/>
    <w:basedOn w:val="1"/>
    <w:next w:val="1"/>
    <w:link w:val="31"/>
    <w:unhideWhenUsed/>
    <w:qFormat/>
    <w:uiPriority w:val="9"/>
    <w:pPr>
      <w:keepNext/>
      <w:keepLines/>
      <w:spacing w:before="260" w:after="260" w:line="416" w:lineRule="auto"/>
      <w:outlineLvl w:val="2"/>
    </w:pPr>
    <w:rPr>
      <w:b/>
      <w:bCs/>
      <w:sz w:val="32"/>
      <w:szCs w:val="32"/>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footnote text"/>
    <w:basedOn w:val="1"/>
    <w:next w:val="3"/>
    <w:semiHidden/>
    <w:qFormat/>
    <w:uiPriority w:val="0"/>
    <w:pPr>
      <w:snapToGrid w:val="0"/>
      <w:jc w:val="left"/>
    </w:pPr>
    <w:rPr>
      <w:sz w:val="18"/>
      <w:szCs w:val="18"/>
    </w:rPr>
  </w:style>
  <w:style w:type="paragraph" w:styleId="3">
    <w:name w:val="Body Text First Indent 2"/>
    <w:basedOn w:val="4"/>
    <w:unhideWhenUsed/>
    <w:qFormat/>
    <w:uiPriority w:val="99"/>
    <w:pPr>
      <w:ind w:firstLine="420" w:firstLineChars="200"/>
    </w:pPr>
  </w:style>
  <w:style w:type="paragraph" w:styleId="4">
    <w:name w:val="Body Text Indent"/>
    <w:basedOn w:val="1"/>
    <w:next w:val="3"/>
    <w:qFormat/>
    <w:uiPriority w:val="0"/>
    <w:pPr>
      <w:spacing w:after="120"/>
      <w:ind w:leftChars="200"/>
    </w:pPr>
    <w:rPr>
      <w:rFonts w:ascii="仿宋_GB2312"/>
      <w:szCs w:val="32"/>
    </w:rPr>
  </w:style>
  <w:style w:type="paragraph" w:styleId="8">
    <w:name w:val="Body Text"/>
    <w:basedOn w:val="1"/>
    <w:link w:val="24"/>
    <w:qFormat/>
    <w:uiPriority w:val="99"/>
    <w:pPr>
      <w:spacing w:beforeLines="30"/>
    </w:pPr>
    <w:rPr>
      <w:rFonts w:ascii="仿宋_GB2312" w:eastAsia="仿宋_GB2312"/>
      <w:kern w:val="0"/>
      <w:sz w:val="30"/>
    </w:rPr>
  </w:style>
  <w:style w:type="paragraph" w:styleId="9">
    <w:name w:val="toc 3"/>
    <w:basedOn w:val="1"/>
    <w:next w:val="1"/>
    <w:unhideWhenUsed/>
    <w:qFormat/>
    <w:uiPriority w:val="39"/>
    <w:pPr>
      <w:tabs>
        <w:tab w:val="right" w:leader="dot" w:pos="8296"/>
      </w:tabs>
      <w:ind w:left="840" w:leftChars="400"/>
    </w:pPr>
  </w:style>
  <w:style w:type="paragraph" w:styleId="10">
    <w:name w:val="Balloon Text"/>
    <w:basedOn w:val="1"/>
    <w:link w:val="30"/>
    <w:semiHidden/>
    <w:unhideWhenUsed/>
    <w:qFormat/>
    <w:uiPriority w:val="99"/>
    <w:rPr>
      <w:sz w:val="18"/>
      <w:szCs w:val="18"/>
    </w:rPr>
  </w:style>
  <w:style w:type="paragraph" w:styleId="11">
    <w:name w:val="footer"/>
    <w:basedOn w:val="1"/>
    <w:link w:val="22"/>
    <w:qFormat/>
    <w:uiPriority w:val="99"/>
    <w:pPr>
      <w:tabs>
        <w:tab w:val="center" w:pos="4153"/>
        <w:tab w:val="right" w:pos="8306"/>
      </w:tabs>
      <w:snapToGrid w:val="0"/>
      <w:jc w:val="left"/>
    </w:pPr>
    <w:rPr>
      <w:rFonts w:ascii="Calibri" w:hAnsi="Calibri"/>
      <w:kern w:val="0"/>
      <w:sz w:val="18"/>
      <w:szCs w:val="18"/>
    </w:rPr>
  </w:style>
  <w:style w:type="paragraph" w:styleId="12">
    <w:name w:val="header"/>
    <w:basedOn w:val="1"/>
    <w:link w:val="20"/>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3">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4">
    <w:name w:val="toc 2"/>
    <w:basedOn w:val="1"/>
    <w:next w:val="1"/>
    <w:unhideWhenUsed/>
    <w:qFormat/>
    <w:uiPriority w:val="39"/>
    <w:pPr>
      <w:tabs>
        <w:tab w:val="right" w:leader="dot" w:pos="8296"/>
      </w:tabs>
      <w:ind w:left="420" w:leftChars="200"/>
    </w:pPr>
  </w:style>
  <w:style w:type="character" w:styleId="17">
    <w:name w:val="Strong"/>
    <w:basedOn w:val="16"/>
    <w:qFormat/>
    <w:uiPriority w:val="99"/>
    <w:rPr>
      <w:b/>
    </w:rPr>
  </w:style>
  <w:style w:type="character" w:styleId="18">
    <w:name w:val="Hyperlink"/>
    <w:basedOn w:val="16"/>
    <w:unhideWhenUsed/>
    <w:qFormat/>
    <w:uiPriority w:val="99"/>
    <w:rPr>
      <w:color w:val="0000FF" w:themeColor="hyperlink"/>
      <w:u w:val="single"/>
      <w14:textFill>
        <w14:solidFill>
          <w14:schemeClr w14:val="hlink"/>
        </w14:solidFill>
      </w14:textFill>
    </w:rPr>
  </w:style>
  <w:style w:type="character" w:customStyle="1" w:styleId="19">
    <w:name w:val="Header Char"/>
    <w:basedOn w:val="16"/>
    <w:semiHidden/>
    <w:qFormat/>
    <w:uiPriority w:val="99"/>
    <w:rPr>
      <w:rFonts w:ascii="Times New Roman" w:hAnsi="Times New Roman"/>
      <w:sz w:val="18"/>
      <w:szCs w:val="18"/>
    </w:rPr>
  </w:style>
  <w:style w:type="character" w:customStyle="1" w:styleId="20">
    <w:name w:val="页眉 字符"/>
    <w:link w:val="12"/>
    <w:semiHidden/>
    <w:qFormat/>
    <w:locked/>
    <w:uiPriority w:val="99"/>
    <w:rPr>
      <w:sz w:val="18"/>
    </w:rPr>
  </w:style>
  <w:style w:type="character" w:customStyle="1" w:styleId="21">
    <w:name w:val="Footer Char"/>
    <w:basedOn w:val="16"/>
    <w:semiHidden/>
    <w:qFormat/>
    <w:uiPriority w:val="99"/>
    <w:rPr>
      <w:rFonts w:ascii="Times New Roman" w:hAnsi="Times New Roman"/>
      <w:sz w:val="18"/>
      <w:szCs w:val="18"/>
    </w:rPr>
  </w:style>
  <w:style w:type="character" w:customStyle="1" w:styleId="22">
    <w:name w:val="页脚 字符"/>
    <w:link w:val="11"/>
    <w:qFormat/>
    <w:locked/>
    <w:uiPriority w:val="99"/>
    <w:rPr>
      <w:sz w:val="18"/>
    </w:rPr>
  </w:style>
  <w:style w:type="character" w:customStyle="1" w:styleId="23">
    <w:name w:val="Body Text Char"/>
    <w:basedOn w:val="16"/>
    <w:semiHidden/>
    <w:qFormat/>
    <w:uiPriority w:val="99"/>
    <w:rPr>
      <w:rFonts w:ascii="Times New Roman" w:hAnsi="Times New Roman"/>
      <w:szCs w:val="24"/>
    </w:rPr>
  </w:style>
  <w:style w:type="character" w:customStyle="1" w:styleId="24">
    <w:name w:val="正文文本 字符"/>
    <w:link w:val="8"/>
    <w:qFormat/>
    <w:locked/>
    <w:uiPriority w:val="99"/>
    <w:rPr>
      <w:rFonts w:ascii="仿宋_GB2312" w:hAnsi="Times New Roman" w:eastAsia="仿宋_GB2312"/>
      <w:sz w:val="24"/>
    </w:rPr>
  </w:style>
  <w:style w:type="paragraph" w:customStyle="1" w:styleId="25">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6">
    <w:name w:val="List Paragraph"/>
    <w:basedOn w:val="1"/>
    <w:qFormat/>
    <w:uiPriority w:val="34"/>
    <w:pPr>
      <w:ind w:firstLine="420" w:firstLineChars="200"/>
    </w:pPr>
  </w:style>
  <w:style w:type="character" w:customStyle="1" w:styleId="27">
    <w:name w:val="标题 1 字符"/>
    <w:basedOn w:val="16"/>
    <w:link w:val="5"/>
    <w:qFormat/>
    <w:uiPriority w:val="9"/>
    <w:rPr>
      <w:rFonts w:ascii="Times New Roman" w:hAnsi="Times New Roman"/>
      <w:b/>
      <w:bCs/>
      <w:kern w:val="44"/>
      <w:sz w:val="44"/>
      <w:szCs w:val="44"/>
    </w:rPr>
  </w:style>
  <w:style w:type="character" w:customStyle="1" w:styleId="28">
    <w:name w:val="标题 2 字符"/>
    <w:basedOn w:val="16"/>
    <w:link w:val="6"/>
    <w:qFormat/>
    <w:uiPriority w:val="9"/>
    <w:rPr>
      <w:rFonts w:asciiTheme="majorHAnsi" w:hAnsiTheme="majorHAnsi" w:eastAsiaTheme="majorEastAsia" w:cstheme="majorBidi"/>
      <w:b/>
      <w:bCs/>
      <w:kern w:val="2"/>
      <w:sz w:val="32"/>
      <w:szCs w:val="32"/>
    </w:rPr>
  </w:style>
  <w:style w:type="paragraph" w:customStyle="1" w:styleId="29">
    <w:name w:val="TOC 标题1"/>
    <w:basedOn w:val="5"/>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0">
    <w:name w:val="批注框文本 字符"/>
    <w:basedOn w:val="16"/>
    <w:link w:val="10"/>
    <w:semiHidden/>
    <w:qFormat/>
    <w:uiPriority w:val="99"/>
    <w:rPr>
      <w:rFonts w:ascii="Times New Roman" w:hAnsi="Times New Roman"/>
      <w:kern w:val="2"/>
      <w:sz w:val="18"/>
      <w:szCs w:val="18"/>
    </w:rPr>
  </w:style>
  <w:style w:type="character" w:customStyle="1" w:styleId="31">
    <w:name w:val="标题 3 字符"/>
    <w:basedOn w:val="16"/>
    <w:link w:val="7"/>
    <w:qFormat/>
    <w:uiPriority w:val="9"/>
    <w:rPr>
      <w:rFonts w:ascii="Times New Roman" w:hAnsi="Times New Roman"/>
      <w:b/>
      <w:bCs/>
      <w:kern w:val="2"/>
      <w:sz w:val="32"/>
      <w:szCs w:val="32"/>
    </w:rPr>
  </w:style>
  <w:style w:type="paragraph" w:customStyle="1" w:styleId="32">
    <w:name w:val="TOC 标题2"/>
    <w:basedOn w:val="5"/>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3">
    <w:name w:val="样式1"/>
    <w:basedOn w:val="13"/>
    <w:qFormat/>
    <w:uiPriority w:val="0"/>
    <w:rPr>
      <w:rFonts w:ascii="仿宋_GB2312" w:eastAsia="仿宋_GB2312"/>
    </w:rPr>
  </w:style>
  <w:style w:type="paragraph" w:customStyle="1" w:styleId="34">
    <w:name w:val="WPSOffice手动目录 1"/>
    <w:qFormat/>
    <w:uiPriority w:val="0"/>
    <w:pPr>
      <w:ind w:leftChars="0"/>
    </w:pPr>
    <w:rPr>
      <w:rFonts w:ascii="Times New Roman" w:hAnsi="Times New Roman" w:eastAsia="宋体" w:cs="Times New Roman"/>
      <w:sz w:val="20"/>
      <w:szCs w:val="20"/>
    </w:rPr>
  </w:style>
  <w:style w:type="paragraph" w:customStyle="1" w:styleId="35">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hart" Target="charts/chart2.xml"/><Relationship Id="rId8" Type="http://schemas.openxmlformats.org/officeDocument/2006/relationships/chart" Target="charts/chart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hart" Target="charts/chart7.xml"/><Relationship Id="rId13" Type="http://schemas.openxmlformats.org/officeDocument/2006/relationships/chart" Target="charts/chart6.xml"/><Relationship Id="rId12" Type="http://schemas.openxmlformats.org/officeDocument/2006/relationships/chart" Target="charts/chart5.xml"/><Relationship Id="rId11" Type="http://schemas.openxmlformats.org/officeDocument/2006/relationships/chart" Target="charts/chart4.xml"/><Relationship Id="rId10" Type="http://schemas.openxmlformats.org/officeDocument/2006/relationships/chart" Target="charts/chart3.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solidFill>
                  <a:schemeClr val="tx1">
                    <a:lumMod val="50000"/>
                  </a:schemeClr>
                </a:solidFill>
                <a:uFillTx/>
              </a:rPr>
              <a:t>收、支决算总计变动情况图</a:t>
            </a:r>
            <a:endParaRPr lang="zh-CN" altLang="en-US">
              <a:solidFill>
                <a:schemeClr val="tx1">
                  <a:lumMod val="50000"/>
                </a:schemeClr>
              </a:solidFill>
              <a:uFillTx/>
            </a:endParaRPr>
          </a:p>
        </c:rich>
      </c:tx>
      <c:layout/>
      <c:overlay val="0"/>
      <c:spPr>
        <a:noFill/>
        <a:ln>
          <a:noFill/>
        </a:ln>
        <a:effectLst/>
      </c:spPr>
    </c:title>
    <c:autoTitleDeleted val="0"/>
    <c:plotArea>
      <c:layout>
        <c:manualLayout>
          <c:layoutTarget val="inner"/>
          <c:xMode val="edge"/>
          <c:yMode val="edge"/>
          <c:x val="0.0868989958653278"/>
          <c:y val="0.130972842901341"/>
          <c:w val="0.888883638511518"/>
          <c:h val="0.708044001375043"/>
        </c:manualLayout>
      </c:layout>
      <c:barChart>
        <c:barDir val="col"/>
        <c:grouping val="clustered"/>
        <c:varyColors val="0"/>
        <c:ser>
          <c:idx val="0"/>
          <c:order val="0"/>
          <c:tx>
            <c:strRef>
              <c:f>Sheet1!$B$1</c:f>
              <c:strCache>
                <c:ptCount val="1"/>
                <c:pt idx="0">
                  <c:v>2024年度</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收入</c:v>
                </c:pt>
                <c:pt idx="1">
                  <c:v>支出</c:v>
                </c:pt>
              </c:strCache>
            </c:strRef>
          </c:cat>
          <c:val>
            <c:numRef>
              <c:f>Sheet1!$B$2:$B$3</c:f>
              <c:numCache>
                <c:formatCode>General</c:formatCode>
                <c:ptCount val="2"/>
                <c:pt idx="0">
                  <c:v>27840.96</c:v>
                </c:pt>
                <c:pt idx="1">
                  <c:v>27840.96</c:v>
                </c:pt>
              </c:numCache>
            </c:numRef>
          </c:val>
        </c:ser>
        <c:ser>
          <c:idx val="1"/>
          <c:order val="1"/>
          <c:tx>
            <c:strRef>
              <c:f>Sheet1!$C$1</c:f>
              <c:strCache>
                <c:ptCount val="1"/>
                <c:pt idx="0">
                  <c:v>2023年度</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收入</c:v>
                </c:pt>
                <c:pt idx="1">
                  <c:v>支出</c:v>
                </c:pt>
              </c:strCache>
            </c:strRef>
          </c:cat>
          <c:val>
            <c:numRef>
              <c:f>Sheet1!$C$2:$C$3</c:f>
              <c:numCache>
                <c:formatCode>General</c:formatCode>
                <c:ptCount val="2"/>
                <c:pt idx="0">
                  <c:v>28798.29</c:v>
                </c:pt>
                <c:pt idx="1">
                  <c:v>28798.29</c:v>
                </c:pt>
              </c:numCache>
            </c:numRef>
          </c:val>
        </c:ser>
        <c:dLbls>
          <c:showLegendKey val="0"/>
          <c:showVal val="1"/>
          <c:showCatName val="0"/>
          <c:showSerName val="0"/>
          <c:showPercent val="0"/>
          <c:showBubbleSize val="0"/>
        </c:dLbls>
        <c:gapWidth val="219"/>
        <c:overlap val="-27"/>
        <c:axId val="645858728"/>
        <c:axId val="829565038"/>
      </c:barChart>
      <c:catAx>
        <c:axId val="64585872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29565038"/>
        <c:crosses val="autoZero"/>
        <c:auto val="1"/>
        <c:lblAlgn val="ctr"/>
        <c:lblOffset val="100"/>
        <c:noMultiLvlLbl val="0"/>
      </c:catAx>
      <c:valAx>
        <c:axId val="82956503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45858728"/>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800" b="1" i="0" u="none" strike="noStrike" kern="1200" baseline="0">
                <a:solidFill>
                  <a:schemeClr val="dk1">
                    <a:lumMod val="75000"/>
                    <a:lumOff val="25000"/>
                  </a:schemeClr>
                </a:solidFill>
                <a:latin typeface="+mn-lt"/>
                <a:ea typeface="+mn-ea"/>
                <a:cs typeface="+mn-cs"/>
              </a:defRPr>
            </a:pPr>
            <a:r>
              <a:t>收入决算结构图</a:t>
            </a:r>
          </a:p>
        </c:rich>
      </c:tx>
      <c:layout/>
      <c:overlay val="0"/>
      <c:spPr>
        <a:noFill/>
        <a:ln>
          <a:noFill/>
        </a:ln>
        <a:effectLst/>
      </c:spPr>
    </c:title>
    <c:autoTitleDeleted val="0"/>
    <c:view3D>
      <c:rotX val="30"/>
      <c:rotY val="0"/>
      <c:depthPercent val="100"/>
      <c:rAngAx val="0"/>
    </c:view3D>
    <c:floor>
      <c:thickness val="0"/>
      <c:spPr>
        <a:noFill/>
        <a:effectLst/>
      </c:spPr>
    </c:floor>
    <c:sideWall>
      <c:thickness val="0"/>
      <c:spPr>
        <a:noFill/>
        <a:effectLst/>
      </c:spPr>
    </c:sideWall>
    <c:backWall>
      <c:thickness val="0"/>
      <c:spPr>
        <a:noFill/>
        <a:effectLst/>
      </c:spPr>
    </c:backWall>
    <c:plotArea>
      <c:layout>
        <c:manualLayout>
          <c:layoutTarget val="inner"/>
          <c:xMode val="edge"/>
          <c:yMode val="edge"/>
          <c:x val="0.00479769710538941"/>
          <c:y val="0.301794871794872"/>
          <c:w val="0.818077722693107"/>
          <c:h val="0.630927021696252"/>
        </c:manualLayout>
      </c:layout>
      <c:pie3DChart>
        <c:varyColors val="1"/>
        <c:ser>
          <c:idx val="0"/>
          <c:order val="0"/>
          <c:tx>
            <c:strRef>
              <c:f>Sheet1!$B$1</c:f>
              <c:strCache>
                <c:ptCount val="1"/>
                <c:pt idx="0">
                  <c:v>收入</c:v>
                </c:pt>
              </c:strCache>
            </c:strRef>
          </c:tx>
          <c:spPr>
            <a:scene3d>
              <a:camera prst="orthographicFront"/>
              <a:lightRig rig="threePt" dir="t"/>
            </a:scene3d>
            <a:sp3d contourW="9525"/>
          </c:spPr>
          <c:explosion val="0"/>
          <c:dPt>
            <c:idx val="0"/>
            <c:bubble3D val="0"/>
            <c:spPr>
              <a:solidFill>
                <a:schemeClr val="accent1"/>
              </a:solidFill>
              <a:ln>
                <a:noFill/>
              </a:ln>
              <a:effectLst>
                <a:outerShdw blurRad="254000" sx="102000" sy="102000" algn="ctr" rotWithShape="0">
                  <a:prstClr val="black">
                    <a:alpha val="20000"/>
                  </a:prstClr>
                </a:outerShdw>
              </a:effectLst>
            </c:spPr>
          </c:dPt>
          <c:dPt>
            <c:idx val="1"/>
            <c:bubble3D val="0"/>
            <c:spPr>
              <a:solidFill>
                <a:schemeClr val="accent2"/>
              </a:solidFill>
              <a:ln>
                <a:noFill/>
              </a:ln>
              <a:effectLst>
                <a:outerShdw blurRad="254000" sx="102000" sy="102000" algn="ctr" rotWithShape="0">
                  <a:prstClr val="black">
                    <a:alpha val="20000"/>
                  </a:prstClr>
                </a:outerShdw>
              </a:effectLst>
            </c:spPr>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1"/>
              <a:lstStyle/>
              <a:p>
                <a:pPr>
                  <a:defRPr lang="zh-CN" sz="1000" b="1" i="0" u="none" strike="noStrike" kern="1200" baseline="0">
                    <a:solidFill>
                      <a:schemeClr val="lt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Sheet1!$A$2:$A$3</c:f>
              <c:strCache>
                <c:ptCount val="2"/>
                <c:pt idx="0">
                  <c:v>一般公共预算</c:v>
                </c:pt>
                <c:pt idx="1">
                  <c:v>政府性基金预算</c:v>
                </c:pt>
              </c:strCache>
            </c:strRef>
          </c:cat>
          <c:val>
            <c:numRef>
              <c:f>Sheet1!$B$2:$B$3</c:f>
              <c:numCache>
                <c:formatCode>General</c:formatCode>
                <c:ptCount val="2"/>
                <c:pt idx="0">
                  <c:v>10724.47</c:v>
                </c:pt>
                <c:pt idx="1">
                  <c:v>17116.49</c:v>
                </c:pt>
              </c:numCache>
            </c:numRef>
          </c:val>
        </c:ser>
        <c:dLbls>
          <c:showLegendKey val="0"/>
          <c:showVal val="1"/>
          <c:showCatName val="0"/>
          <c:showSerName val="0"/>
          <c:showPercent val="0"/>
          <c:showBubbleSize val="0"/>
        </c:dLbls>
      </c:pie3DChart>
      <c:spPr>
        <a:noFill/>
        <a:ln>
          <a:noFill/>
        </a:ln>
        <a:effectLst/>
      </c:spPr>
    </c:plotArea>
    <c:legend>
      <c:legendPos val="r"/>
      <c:layout/>
      <c:overlay val="0"/>
      <c:spPr>
        <a:solidFill>
          <a:schemeClr val="lt1">
            <a:lumMod val="95000"/>
            <a:alpha val="39000"/>
          </a:schemeClr>
        </a:solidFill>
        <a:ln>
          <a:noFill/>
        </a:ln>
        <a:effectLst/>
      </c:spPr>
      <c:txPr>
        <a:bodyPr rot="0" spcFirstLastPara="0" vertOverflow="ellipsis" vert="horz" wrap="square" anchor="ctr" anchorCtr="1"/>
        <a:lstStyle/>
        <a:p>
          <a:pPr>
            <a:defRPr lang="zh-CN" sz="900" b="0" i="0" u="none" strike="noStrike" kern="1200" baseline="0">
              <a:solidFill>
                <a:schemeClr val="dk1">
                  <a:lumMod val="75000"/>
                  <a:lumOff val="25000"/>
                </a:schemeClr>
              </a:solidFill>
              <a:latin typeface="+mn-lt"/>
              <a:ea typeface="+mn-ea"/>
              <a:cs typeface="+mn-cs"/>
            </a:defRPr>
          </a:pPr>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solidFill>
                  <a:schemeClr val="tx1">
                    <a:lumMod val="50000"/>
                  </a:schemeClr>
                </a:solidFill>
                <a:uFillTx/>
              </a:rPr>
              <a:t>支出决算结构图</a:t>
            </a:r>
            <a:endParaRPr lang="zh-CN" altLang="en-US">
              <a:solidFill>
                <a:schemeClr val="tx1">
                  <a:lumMod val="50000"/>
                </a:schemeClr>
              </a:solidFill>
              <a:uFillTx/>
            </a:endParaRPr>
          </a:p>
        </c:rich>
      </c:tx>
      <c:layout>
        <c:manualLayout>
          <c:xMode val="edge"/>
          <c:yMode val="edge"/>
          <c:x val="0.364509929532351"/>
          <c:y val="0.0319645356976202"/>
        </c:manualLayout>
      </c:layout>
      <c:overlay val="0"/>
      <c:spPr>
        <a:noFill/>
        <a:ln>
          <a:noFill/>
        </a:ln>
        <a:effectLst/>
      </c:spPr>
    </c:title>
    <c:autoTitleDeleted val="0"/>
    <c:plotArea>
      <c:layout/>
      <c:pieChart>
        <c:varyColors val="1"/>
        <c:ser>
          <c:idx val="0"/>
          <c:order val="0"/>
          <c:tx>
            <c:strRef>
              <c:f>Sheet1!$B$1</c:f>
              <c:strCache>
                <c:ptCount val="1"/>
                <c:pt idx="0">
                  <c:v>支出决算结构</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基本支出</c:v>
                </c:pt>
                <c:pt idx="1">
                  <c:v>项目支出</c:v>
                </c:pt>
              </c:strCache>
            </c:strRef>
          </c:cat>
          <c:val>
            <c:numRef>
              <c:f>Sheet1!$B$2:$B$3</c:f>
              <c:numCache>
                <c:formatCode>General</c:formatCode>
                <c:ptCount val="2"/>
                <c:pt idx="0">
                  <c:v>1452.23</c:v>
                </c:pt>
                <c:pt idx="1">
                  <c:v>26388.72</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manualLayout>
          <c:xMode val="edge"/>
          <c:yMode val="edge"/>
          <c:x val="0.344891095451634"/>
          <c:y val="0.894527154539736"/>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spc="0" baseline="0">
                <a:solidFill>
                  <a:schemeClr val="tx1">
                    <a:lumMod val="65000"/>
                    <a:lumOff val="35000"/>
                  </a:schemeClr>
                </a:solidFill>
                <a:latin typeface="+mn-lt"/>
                <a:ea typeface="+mn-ea"/>
                <a:cs typeface="+mn-cs"/>
              </a:defRPr>
            </a:pPr>
            <a:r>
              <a:rPr lang="zh-CN" altLang="en-US" b="1">
                <a:solidFill>
                  <a:schemeClr val="tx1">
                    <a:lumMod val="50000"/>
                  </a:schemeClr>
                </a:solidFill>
              </a:rPr>
              <a:t>财政拨款</a:t>
            </a:r>
            <a:r>
              <a:rPr lang="zh-CN" altLang="en-US" b="1">
                <a:solidFill>
                  <a:schemeClr val="tx1">
                    <a:lumMod val="50000"/>
                  </a:schemeClr>
                </a:solidFill>
                <a:uFillTx/>
              </a:rPr>
              <a:t>收、支决算总计变动情况</a:t>
            </a:r>
            <a:endParaRPr lang="zh-CN" altLang="en-US" b="1">
              <a:solidFill>
                <a:schemeClr val="tx1">
                  <a:lumMod val="50000"/>
                </a:schemeClr>
              </a:solidFill>
            </a:endParaRPr>
          </a:p>
        </c:rich>
      </c:tx>
      <c:layout>
        <c:manualLayout>
          <c:xMode val="edge"/>
          <c:yMode val="edge"/>
          <c:x val="0.308568598315998"/>
          <c:y val="0.0157350517008841"/>
        </c:manualLayout>
      </c:layout>
      <c:overlay val="0"/>
      <c:spPr>
        <a:noFill/>
        <a:ln>
          <a:noFill/>
        </a:ln>
        <a:effectLst/>
      </c:spPr>
    </c:title>
    <c:autoTitleDeleted val="0"/>
    <c:plotArea>
      <c:layout>
        <c:manualLayout>
          <c:layoutTarget val="inner"/>
          <c:xMode val="edge"/>
          <c:yMode val="edge"/>
          <c:x val="0.1043970653789"/>
          <c:y val="0.0812962409226826"/>
          <c:w val="0.87555"/>
          <c:h val="0.7605"/>
        </c:manualLayout>
      </c:layout>
      <c:barChart>
        <c:barDir val="col"/>
        <c:grouping val="clustered"/>
        <c:varyColors val="0"/>
        <c:ser>
          <c:idx val="0"/>
          <c:order val="0"/>
          <c:tx>
            <c:strRef>
              <c:f>Sheet1!$B$1</c:f>
              <c:strCache>
                <c:ptCount val="1"/>
                <c:pt idx="0">
                  <c:v>2024年度</c:v>
                </c:pt>
              </c:strCache>
            </c:strRef>
          </c:tx>
          <c:spPr>
            <a:solidFill>
              <a:schemeClr val="tx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财政拨款收入</c:v>
                </c:pt>
                <c:pt idx="1">
                  <c:v>财政拨款支出</c:v>
                </c:pt>
              </c:strCache>
            </c:strRef>
          </c:cat>
          <c:val>
            <c:numRef>
              <c:f>Sheet1!$B$2:$B$3</c:f>
              <c:numCache>
                <c:formatCode>General</c:formatCode>
                <c:ptCount val="2"/>
                <c:pt idx="0">
                  <c:v>27840.96</c:v>
                </c:pt>
                <c:pt idx="1">
                  <c:v>27840.96</c:v>
                </c:pt>
              </c:numCache>
            </c:numRef>
          </c:val>
        </c:ser>
        <c:ser>
          <c:idx val="1"/>
          <c:order val="1"/>
          <c:tx>
            <c:strRef>
              <c:f>Sheet1!$C$1</c:f>
              <c:strCache>
                <c:ptCount val="1"/>
                <c:pt idx="0">
                  <c:v>2023年度</c:v>
                </c:pt>
              </c:strCache>
            </c:strRef>
          </c:tx>
          <c:spPr>
            <a:solidFill>
              <a:schemeClr val="accent4"/>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财政拨款收入</c:v>
                </c:pt>
                <c:pt idx="1">
                  <c:v>财政拨款支出</c:v>
                </c:pt>
              </c:strCache>
            </c:strRef>
          </c:cat>
          <c:val>
            <c:numRef>
              <c:f>Sheet1!$C$2:$C$3</c:f>
              <c:numCache>
                <c:formatCode>General</c:formatCode>
                <c:ptCount val="2"/>
                <c:pt idx="0">
                  <c:v>27530.85</c:v>
                </c:pt>
                <c:pt idx="1">
                  <c:v>27530.85</c:v>
                </c:pt>
              </c:numCache>
            </c:numRef>
          </c:val>
        </c:ser>
        <c:ser>
          <c:idx val="2"/>
          <c:order val="2"/>
          <c:tx>
            <c:strRef>
              <c:f>Sheet1!#REF!</c:f>
              <c:strCache>
                <c:ptCount val="1"/>
                <c:pt idx="0">
                  <c:v/>
                </c:pt>
              </c:strCache>
            </c:strRef>
          </c:tx>
          <c:spPr>
            <a:solidFill>
              <a:schemeClr val="accent3"/>
            </a:solidFill>
            <a:ln>
              <a:noFill/>
            </a:ln>
            <a:effectLst/>
          </c:spPr>
          <c:invertIfNegative val="0"/>
          <c:dLbls>
            <c:delete val="1"/>
          </c:dLbls>
          <c:cat>
            <c:strRef>
              <c:f>Sheet1!$A$2:$A$3</c:f>
              <c:strCache>
                <c:ptCount val="2"/>
                <c:pt idx="0">
                  <c:v>财政拨款收入</c:v>
                </c:pt>
                <c:pt idx="1">
                  <c:v>财政拨款支出</c:v>
                </c:pt>
              </c:strCache>
            </c:strRef>
          </c:cat>
          <c:val>
            <c:numRef>
              <c:f>Sheet1!#REF!</c:f>
              <c:numCache>
                <c:formatCode>General</c:formatCode>
                <c:ptCount val="1"/>
                <c:pt idx="0">
                  <c:v>1</c:v>
                </c:pt>
              </c:numCache>
            </c:numRef>
          </c:val>
        </c:ser>
        <c:dLbls>
          <c:showLegendKey val="0"/>
          <c:showVal val="0"/>
          <c:showCatName val="0"/>
          <c:showSerName val="0"/>
          <c:showPercent val="0"/>
          <c:showBubbleSize val="0"/>
        </c:dLbls>
        <c:gapWidth val="219"/>
        <c:overlap val="-27"/>
        <c:axId val="406143146"/>
        <c:axId val="185996679"/>
      </c:barChart>
      <c:catAx>
        <c:axId val="406143146"/>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85996679"/>
        <c:crosses val="autoZero"/>
        <c:auto val="1"/>
        <c:lblAlgn val="ctr"/>
        <c:lblOffset val="100"/>
        <c:noMultiLvlLbl val="0"/>
      </c:catAx>
      <c:valAx>
        <c:axId val="18599667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06143146"/>
        <c:crosses val="autoZero"/>
        <c:crossBetween val="between"/>
      </c:valAx>
      <c:spPr>
        <a:noFill/>
        <a:ln>
          <a:noFill/>
        </a:ln>
        <a:effectLst/>
      </c:spPr>
    </c:plotArea>
    <c:legend>
      <c:legendPos val="b"/>
      <c:legendEntry>
        <c:idx val="2"/>
        <c:delete val="1"/>
      </c:legendEntry>
      <c:layout>
        <c:manualLayout>
          <c:xMode val="edge"/>
          <c:yMode val="edge"/>
          <c:x val="0.340762753838534"/>
          <c:y val="0.929566911434138"/>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solidFill>
                  <a:schemeClr val="bg2">
                    <a:lumMod val="10000"/>
                  </a:schemeClr>
                </a:solidFill>
                <a:uFillTx/>
              </a:rPr>
              <a:t>一般公共预算财政拨款支出决算变动情况</a:t>
            </a:r>
            <a:endParaRPr lang="zh-CN" altLang="en-US">
              <a:solidFill>
                <a:schemeClr val="bg2">
                  <a:lumMod val="10000"/>
                </a:schemeClr>
              </a:solidFill>
              <a:uFillTx/>
            </a:endParaRPr>
          </a:p>
        </c:rich>
      </c:tx>
      <c:layout/>
      <c:overlay val="0"/>
      <c:spPr>
        <a:noFill/>
        <a:ln>
          <a:noFill/>
        </a:ln>
        <a:effectLst/>
      </c:spPr>
    </c:title>
    <c:autoTitleDeleted val="0"/>
    <c:plotArea>
      <c:layout/>
      <c:barChart>
        <c:barDir val="col"/>
        <c:grouping val="clustered"/>
        <c:varyColors val="0"/>
        <c:ser>
          <c:idx val="0"/>
          <c:order val="0"/>
          <c:tx>
            <c:strRef>
              <c:f>Sheet1!$A$2</c:f>
              <c:strCache>
                <c:ptCount val="1"/>
                <c:pt idx="0">
                  <c:v>2024年</c:v>
                </c:pt>
              </c:strCache>
            </c:strRef>
          </c:tx>
          <c:spPr>
            <a:gradFill>
              <a:gsLst>
                <a:gs pos="0">
                  <a:srgbClr val="012D86"/>
                </a:gs>
                <a:gs pos="100000">
                  <a:srgbClr val="0E2557"/>
                </a:gs>
              </a:gsLst>
              <a:lin ang="5400000" scaled="0"/>
            </a:gradFill>
            <a:ln>
              <a:noFill/>
            </a:ln>
            <a:effectLst/>
          </c:spPr>
          <c:invertIfNegative val="0"/>
          <c:dLbls>
            <c:delete val="1"/>
          </c:dLbls>
          <c:val>
            <c:numRef>
              <c:f>Sheet1!$B$2</c:f>
              <c:numCache>
                <c:formatCode>General</c:formatCode>
                <c:ptCount val="1"/>
                <c:pt idx="0">
                  <c:v>10724.47</c:v>
                </c:pt>
              </c:numCache>
            </c:numRef>
          </c:val>
        </c:ser>
        <c:ser>
          <c:idx val="1"/>
          <c:order val="1"/>
          <c:tx>
            <c:strRef>
              <c:f>Sheet1!$A$3</c:f>
              <c:strCache>
                <c:ptCount val="1"/>
                <c:pt idx="0">
                  <c:v>2023年</c:v>
                </c:pt>
              </c:strCache>
            </c:strRef>
          </c:tx>
          <c:spPr>
            <a:solidFill>
              <a:schemeClr val="accent2"/>
            </a:solidFill>
            <a:ln>
              <a:noFill/>
            </a:ln>
            <a:effectLst/>
          </c:spPr>
          <c:invertIfNegative val="0"/>
          <c:dLbls>
            <c:delete val="1"/>
          </c:dLbls>
          <c:val>
            <c:numRef>
              <c:f>Sheet1!$B$3</c:f>
              <c:numCache>
                <c:formatCode>General</c:formatCode>
                <c:ptCount val="1"/>
                <c:pt idx="0">
                  <c:v>27511.9</c:v>
                </c:pt>
              </c:numCache>
            </c:numRef>
          </c:val>
        </c:ser>
        <c:ser>
          <c:idx val="2"/>
          <c:order val="2"/>
          <c:tx>
            <c:strRef>
              <c:f>Sheet1!#REF!</c:f>
              <c:strCache>
                <c:ptCount val="1"/>
                <c:pt idx="0">
                  <c:v/>
                </c:pt>
              </c:strCache>
            </c:strRef>
          </c:tx>
          <c:spPr>
            <a:solidFill>
              <a:schemeClr val="accent3"/>
            </a:solidFill>
            <a:ln>
              <a:noFill/>
            </a:ln>
            <a:effectLst/>
          </c:spPr>
          <c:invertIfNegative val="0"/>
          <c:dLbls>
            <c:delete val="1"/>
          </c:dLbls>
          <c:val>
            <c:numRef>
              <c:f>Sheet1!#REF!</c:f>
              <c:numCache>
                <c:formatCode>General</c:formatCode>
                <c:ptCount val="1"/>
                <c:pt idx="0">
                  <c:v>1</c:v>
                </c:pt>
              </c:numCache>
            </c:numRef>
          </c:val>
        </c:ser>
        <c:dLbls>
          <c:showLegendKey val="0"/>
          <c:showVal val="1"/>
          <c:showCatName val="0"/>
          <c:showSerName val="0"/>
          <c:showPercent val="0"/>
          <c:showBubbleSize val="0"/>
        </c:dLbls>
        <c:gapWidth val="75"/>
        <c:overlap val="-25"/>
        <c:axId val="954681512"/>
        <c:axId val="557350736"/>
      </c:barChart>
      <c:catAx>
        <c:axId val="954681512"/>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57350736"/>
        <c:crosses val="autoZero"/>
        <c:auto val="1"/>
        <c:lblAlgn val="ctr"/>
        <c:lblOffset val="100"/>
        <c:noMultiLvlLbl val="0"/>
      </c:catAx>
      <c:valAx>
        <c:axId val="5573507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54681512"/>
        <c:crosses val="autoZero"/>
        <c:crossBetween val="between"/>
      </c:valAx>
      <c:spPr>
        <a:noFill/>
        <a:ln>
          <a:noFill/>
        </a:ln>
        <a:effectLst/>
      </c:spPr>
    </c:plotArea>
    <c:legend>
      <c:legendPos val="b"/>
      <c:legendEntry>
        <c:idx val="2"/>
        <c:delete val="1"/>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40" b="0" i="0" u="none" strike="noStrike" kern="1200" spc="0" baseline="0">
                <a:solidFill>
                  <a:schemeClr val="tx1">
                    <a:lumMod val="65000"/>
                    <a:lumOff val="35000"/>
                  </a:schemeClr>
                </a:solidFill>
                <a:latin typeface="+mn-lt"/>
                <a:ea typeface="+mn-ea"/>
                <a:cs typeface="+mn-cs"/>
              </a:defRPr>
            </a:pPr>
            <a:r>
              <a:rPr lang="zh-CN" altLang="en-US" sz="1400">
                <a:solidFill>
                  <a:schemeClr val="tx1"/>
                </a:solidFill>
                <a:uFillTx/>
              </a:rPr>
              <a:t>一般公共预算财政拨款支出决算结构</a:t>
            </a:r>
            <a:endParaRPr lang="zh-CN" altLang="en-US" sz="1400">
              <a:solidFill>
                <a:schemeClr val="tx1"/>
              </a:solidFill>
              <a:uFillTx/>
            </a:endParaRPr>
          </a:p>
        </c:rich>
      </c:tx>
      <c:layout/>
      <c:overlay val="0"/>
      <c:spPr>
        <a:noFill/>
        <a:ln>
          <a:noFill/>
        </a:ln>
        <a:effectLst/>
      </c:spPr>
    </c:title>
    <c:autoTitleDeleted val="0"/>
    <c:view3D>
      <c:rotX val="50"/>
      <c:rotY val="43"/>
      <c:depthPercent val="100"/>
      <c:rAngAx val="0"/>
      <c:perspective val="0"/>
    </c:view3D>
    <c:floor>
      <c:thickness val="0"/>
      <c:spPr>
        <a:noFill/>
        <a:effectLst/>
      </c:spPr>
    </c:floor>
    <c:sideWall>
      <c:thickness val="0"/>
      <c:spPr>
        <a:noFill/>
        <a:effectLst/>
      </c:spPr>
    </c:sideWall>
    <c:backWall>
      <c:thickness val="0"/>
      <c:spPr>
        <a:noFill/>
        <a:effectLst/>
      </c:spPr>
    </c:backWall>
    <c:plotArea>
      <c:layout/>
      <c:pie3DChart>
        <c:varyColors val="1"/>
        <c:ser>
          <c:idx val="0"/>
          <c:order val="0"/>
          <c:tx>
            <c:strRef>
              <c:f>Sheet1!$B$1</c:f>
              <c:strCache>
                <c:ptCount val="1"/>
                <c:pt idx="0">
                  <c:v>销售额</c:v>
                </c:pt>
              </c:strCache>
            </c:strRef>
          </c:tx>
          <c:explosion val="24"/>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dPt>
          <c:dPt>
            <c:idx val="6"/>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Sheet1!$A$2:$A$8</c:f>
              <c:strCache>
                <c:ptCount val="7"/>
                <c:pt idx="0">
                  <c:v>卫生健康支出</c:v>
                </c:pt>
                <c:pt idx="1">
                  <c:v>一般公共服务支出</c:v>
                </c:pt>
                <c:pt idx="2">
                  <c:v>社会保障和就业支出</c:v>
                </c:pt>
                <c:pt idx="3">
                  <c:v>农林水支出</c:v>
                </c:pt>
                <c:pt idx="4">
                  <c:v>交通运输支出</c:v>
                </c:pt>
                <c:pt idx="5">
                  <c:v>其他支出</c:v>
                </c:pt>
                <c:pt idx="6">
                  <c:v>住房保障支出</c:v>
                </c:pt>
              </c:strCache>
            </c:strRef>
          </c:cat>
          <c:val>
            <c:numRef>
              <c:f>Sheet1!$B$2:$B$8</c:f>
              <c:numCache>
                <c:formatCode>General</c:formatCode>
                <c:ptCount val="7"/>
                <c:pt idx="0">
                  <c:v>64.41</c:v>
                </c:pt>
                <c:pt idx="1">
                  <c:v>8.93</c:v>
                </c:pt>
                <c:pt idx="2">
                  <c:v>303.88</c:v>
                </c:pt>
                <c:pt idx="3">
                  <c:v>1634.03</c:v>
                </c:pt>
                <c:pt idx="4">
                  <c:v>8517.81</c:v>
                </c:pt>
                <c:pt idx="5">
                  <c:v>106.36</c:v>
                </c:pt>
                <c:pt idx="6">
                  <c:v>89.04</c:v>
                </c:pt>
              </c:numCache>
            </c:numRef>
          </c:val>
        </c:ser>
        <c:dLbls>
          <c:showLegendKey val="0"/>
          <c:showVal val="1"/>
          <c:showCatName val="0"/>
          <c:showSerName val="0"/>
          <c:showPercent val="0"/>
          <c:showBubbleSize val="0"/>
        </c:dLbls>
      </c:pie3DChart>
      <c:spPr>
        <a:noFill/>
        <a:ln>
          <a:noFill/>
        </a:ln>
        <a:effectLst/>
      </c:spPr>
    </c:plotArea>
    <c:legend>
      <c:legendPos val="r"/>
      <c:layout/>
      <c:overlay val="0"/>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solidFill>
                  <a:schemeClr val="tx1"/>
                </a:solidFill>
                <a:uFillTx/>
              </a:rPr>
              <a:t>三公经费结构图</a:t>
            </a:r>
            <a:endParaRPr lang="zh-CN" altLang="en-US">
              <a:solidFill>
                <a:schemeClr val="tx1"/>
              </a:solidFill>
              <a:uFillTx/>
            </a:endParaRPr>
          </a:p>
        </c:rich>
      </c:tx>
      <c:layout/>
      <c:overlay val="0"/>
      <c:spPr>
        <a:noFill/>
        <a:ln>
          <a:noFill/>
        </a:ln>
        <a:effectLst/>
      </c:spPr>
    </c:title>
    <c:autoTitleDeleted val="0"/>
    <c:view3D>
      <c:rotX val="30"/>
      <c:rotY val="0"/>
      <c:depthPercent val="100"/>
      <c:rAngAx val="0"/>
    </c:view3D>
    <c:floor>
      <c:thickness val="0"/>
      <c:spPr>
        <a:noFill/>
        <a:effectLst/>
      </c:spPr>
    </c:floor>
    <c:sideWall>
      <c:thickness val="0"/>
      <c:spPr>
        <a:noFill/>
        <a:effectLst/>
      </c:spPr>
    </c:sideWall>
    <c:backWall>
      <c:thickness val="0"/>
      <c:spPr>
        <a:noFill/>
        <a:effectLst/>
      </c:spPr>
    </c:backWall>
    <c:plotArea>
      <c:layout>
        <c:manualLayout>
          <c:layoutTarget val="inner"/>
          <c:xMode val="edge"/>
          <c:yMode val="edge"/>
          <c:x val="0.082325"/>
          <c:y val="0.16015"/>
          <c:w val="0.8316"/>
          <c:h val="0.669533333333333"/>
        </c:manualLayout>
      </c:layout>
      <c:pie3DChart>
        <c:varyColors val="1"/>
        <c:ser>
          <c:idx val="0"/>
          <c:order val="0"/>
          <c:tx>
            <c:strRef>
              <c:f>Sheet1!$B$1</c:f>
              <c:strCache>
                <c:ptCount val="1"/>
                <c:pt idx="0">
                  <c:v>三公经费结构图</c:v>
                </c:pt>
              </c:strCache>
            </c:strRef>
          </c:tx>
          <c:explosion val="0"/>
          <c:dPt>
            <c:idx val="0"/>
            <c:bubble3D val="0"/>
            <c:spPr>
              <a:solidFill>
                <a:schemeClr val="accent1"/>
              </a:solidFill>
              <a:ln w="25400">
                <a:solidFill>
                  <a:schemeClr val="lt1"/>
                </a:solidFill>
              </a:ln>
              <a:effectLst/>
            </c:spPr>
          </c:dPt>
          <c:dPt>
            <c:idx val="1"/>
            <c:bubble3D val="0"/>
            <c:spPr>
              <a:solidFill>
                <a:schemeClr val="accent2"/>
              </a:solidFill>
              <a:ln w="25400">
                <a:solidFill>
                  <a:schemeClr val="lt1"/>
                </a:solidFill>
              </a:ln>
              <a:effectLst/>
            </c:spPr>
          </c:dPt>
          <c:dLbls>
            <c:delete val="1"/>
          </c:dLbls>
          <c:cat>
            <c:strRef>
              <c:f>Sheet1!$A$2:$A$3</c:f>
              <c:strCache>
                <c:ptCount val="2"/>
                <c:pt idx="0">
                  <c:v>公务用车购置及运行维护费</c:v>
                </c:pt>
                <c:pt idx="1">
                  <c:v>公务接待费</c:v>
                </c:pt>
              </c:strCache>
            </c:strRef>
          </c:cat>
          <c:val>
            <c:numRef>
              <c:f>Sheet1!$B$2:$B$3</c:f>
              <c:numCache>
                <c:formatCode>General</c:formatCode>
                <c:ptCount val="2"/>
                <c:pt idx="0">
                  <c:v>2.84</c:v>
                </c:pt>
                <c:pt idx="1">
                  <c:v>1.13</c:v>
                </c:pt>
              </c:numCache>
            </c:numRef>
          </c:val>
        </c:ser>
        <c:dLbls>
          <c:showLegendKey val="0"/>
          <c:showVal val="1"/>
          <c:showCatName val="0"/>
          <c:showSerName val="0"/>
          <c:showPercent val="0"/>
          <c:showBubbleSize val="0"/>
        </c:dLbls>
      </c:pie3D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acrossLinear" id="2">
  <a:schemeClr val="accent1"/>
  <a:schemeClr val="accent2"/>
  <a:schemeClr val="accent3"/>
  <a:schemeClr val="accent4"/>
  <a:schemeClr val="accent5"/>
  <a:schemeClr val="accent6"/>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四川省财政厅</Company>
  <Pages>22</Pages>
  <Words>6780</Words>
  <Characters>7503</Characters>
  <Lines>41</Lines>
  <Paragraphs>11</Paragraphs>
  <TotalTime>40</TotalTime>
  <ScaleCrop>false</ScaleCrop>
  <LinksUpToDate>false</LinksUpToDate>
  <CharactersWithSpaces>7626</CharactersWithSpaces>
  <Application>WPS Office_11.1.0.12650_F1E327BC-269C-435d-A152-05C5408002CA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yspt</cp:lastModifiedBy>
  <cp:lastPrinted>2023-07-31T02:35:00Z</cp:lastPrinted>
  <dcterms:modified xsi:type="dcterms:W3CDTF">2025-09-09T03:07:18Z</dcterms:modified>
  <dc:title>四川省***</dc:title>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2052-11.1.0.12650</vt:lpwstr>
  </property>
  <property fmtid="{D5CDD505-2E9C-101B-9397-08002B2CF9AE}" pid="3" name="ICV">
    <vt:lpwstr>DCD793BB96C14FC4A7E6EEE4A057F8AA</vt:lpwstr>
  </property>
</Properties>
</file>