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96597"/>
      <w:bookmarkStart w:id="1" w:name="_Toc15306267"/>
      <w:bookmarkStart w:id="2" w:name="_Toc15396475"/>
      <w:bookmarkStart w:id="3" w:name="_Toc15377425"/>
      <w:bookmarkStart w:id="4" w:name="_Toc15378441"/>
      <w:bookmarkStart w:id="5" w:name="_Toc15377193"/>
    </w:p>
    <w:p>
      <w:pPr>
        <w:spacing w:line="600" w:lineRule="exact"/>
        <w:jc w:val="center"/>
        <w:outlineLvl w:val="9"/>
        <w:rPr>
          <w:rFonts w:ascii="方正小标宋简体" w:hAnsi="宋体" w:eastAsia="方正小标宋简体"/>
          <w:sz w:val="72"/>
          <w:szCs w:val="72"/>
        </w:rPr>
      </w:pPr>
    </w:p>
    <w:bookmarkEnd w:id="0"/>
    <w:bookmarkEnd w:id="1"/>
    <w:bookmarkEnd w:id="2"/>
    <w:bookmarkEnd w:id="3"/>
    <w:bookmarkEnd w:id="4"/>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26886"/>
      <w:bookmarkStart w:id="7" w:name="_Toc15075"/>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bookmarkEnd w:id="6"/>
      <w:bookmarkEnd w:id="7"/>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8" w:name="_Toc23491"/>
      <w:bookmarkStart w:id="9" w:name="_Toc18013"/>
      <w:bookmarkStart w:id="10" w:name="_Toc15396598"/>
      <w:bookmarkStart w:id="11" w:name="_Toc15378442"/>
      <w:bookmarkStart w:id="12" w:name="_Toc15396476"/>
      <w:bookmarkStart w:id="13" w:name="_Toc15377194"/>
      <w:bookmarkStart w:id="14" w:name="_Toc15377426"/>
      <w:r>
        <w:rPr>
          <w:rFonts w:hint="eastAsia" w:ascii="方正小标宋简体" w:hAnsi="方正小标宋简体" w:eastAsia="方正小标宋简体" w:cs="方正小标宋简体"/>
          <w:sz w:val="72"/>
          <w:szCs w:val="72"/>
        </w:rPr>
        <w:t>四川省</w:t>
      </w:r>
      <w:bookmarkStart w:id="15" w:name="_Toc15306268"/>
      <w:r>
        <w:rPr>
          <w:rFonts w:hint="eastAsia" w:ascii="方正小标宋简体" w:hAnsi="方正小标宋简体" w:eastAsia="方正小标宋简体" w:cs="方正小标宋简体"/>
          <w:sz w:val="72"/>
          <w:szCs w:val="72"/>
          <w:lang w:eastAsia="zh-CN"/>
        </w:rPr>
        <w:t>攀枝花市</w:t>
      </w:r>
      <w:bookmarkStart w:id="111" w:name="_GoBack"/>
      <w:bookmarkEnd w:id="111"/>
      <w:r>
        <w:rPr>
          <w:rFonts w:hint="eastAsia" w:ascii="方正小标宋简体" w:hAnsi="方正小标宋简体" w:eastAsia="方正小标宋简体" w:cs="方正小标宋简体"/>
          <w:sz w:val="72"/>
          <w:szCs w:val="72"/>
          <w:lang w:eastAsia="zh-CN"/>
        </w:rPr>
        <w:t>交通运输局</w:t>
      </w:r>
      <w:r>
        <w:rPr>
          <w:rFonts w:hint="eastAsia" w:ascii="方正小标宋简体" w:hAnsi="方正小标宋简体" w:eastAsia="方正小标宋简体" w:cs="方正小标宋简体"/>
          <w:sz w:val="72"/>
          <w:szCs w:val="72"/>
        </w:rPr>
        <w:t>部门决算</w:t>
      </w:r>
      <w:bookmarkEnd w:id="8"/>
      <w:bookmarkEnd w:id="9"/>
      <w:bookmarkEnd w:id="10"/>
      <w:bookmarkEnd w:id="11"/>
      <w:bookmarkEnd w:id="12"/>
      <w:bookmarkEnd w:id="13"/>
      <w:bookmarkEnd w:id="14"/>
      <w:bookmarkEnd w:id="15"/>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w:t>
      </w:r>
      <w:r>
        <w:rPr>
          <w:rFonts w:hint="eastAsia"/>
          <w:lang w:val="en-US" w:eastAsia="zh-CN"/>
        </w:rPr>
        <w:t>5</w:t>
      </w:r>
      <w:r>
        <w:rPr>
          <w:rFonts w:hint="eastAsia"/>
        </w:rPr>
        <w:t>年</w:t>
      </w:r>
      <w:r>
        <w:rPr>
          <w:rFonts w:hint="eastAsia"/>
          <w:lang w:val="en-US" w:eastAsia="zh-CN"/>
        </w:rPr>
        <w:t>9</w:t>
      </w:r>
      <w:r>
        <w:rPr>
          <w:rFonts w:hint="eastAsia"/>
        </w:rPr>
        <w:t>月</w:t>
      </w:r>
      <w:r>
        <w:rPr>
          <w:rFonts w:hint="eastAsia"/>
          <w:highlight w:val="none"/>
          <w:lang w:val="en-US" w:eastAsia="zh-CN"/>
        </w:rPr>
        <w:t>12</w:t>
      </w:r>
      <w:r>
        <w:rPr>
          <w:rFonts w:hint="eastAsia"/>
        </w:rPr>
        <w:t>日</w:t>
      </w:r>
    </w:p>
    <w:p/>
    <w:sdt>
      <w:sdtPr>
        <w:rPr>
          <w:rFonts w:ascii="宋体" w:hAnsi="宋体" w:eastAsia="宋体" w:cs="Times New Roman"/>
          <w:kern w:val="2"/>
          <w:sz w:val="21"/>
          <w:szCs w:val="24"/>
          <w:lang w:val="en-US" w:eastAsia="zh-CN" w:bidi="ar-SA"/>
        </w:rPr>
        <w:id w:val="147460846"/>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rPr>
          </w:pPr>
          <w:r>
            <w:fldChar w:fldCharType="begin"/>
          </w:r>
          <w:r>
            <w:instrText xml:space="preserve">TOC \o "1-2" \h \u </w:instrText>
          </w:r>
          <w:r>
            <w:fldChar w:fldCharType="separate"/>
          </w:r>
        </w:p>
        <w:p>
          <w:pPr>
            <w:pStyle w:val="56"/>
            <w:tabs>
              <w:tab w:val="right" w:leader="dot" w:pos="8306"/>
            </w:tabs>
            <w:rPr>
              <w:b/>
            </w:rPr>
          </w:pPr>
          <w:r>
            <w:rPr>
              <w:b/>
            </w:rPr>
            <w:fldChar w:fldCharType="begin"/>
          </w:r>
          <w:r>
            <w:rPr>
              <w:b/>
            </w:rPr>
            <w:instrText xml:space="preserve"> HYPERLINK \l _Toc15017 </w:instrText>
          </w:r>
          <w:r>
            <w:rPr>
              <w:b/>
            </w:rPr>
            <w:fldChar w:fldCharType="separate"/>
          </w:r>
          <w:r>
            <w:rPr>
              <w:rFonts w:hint="eastAsia" w:ascii="黑体" w:hAnsi="黑体" w:eastAsia="黑体"/>
              <w:b/>
            </w:rPr>
            <w:t xml:space="preserve">第一部分 </w:t>
          </w:r>
          <w:r>
            <w:rPr>
              <w:rFonts w:hint="eastAsia" w:ascii="黑体" w:hAnsi="黑体" w:eastAsia="黑体"/>
              <w:b/>
              <w:bCs w:val="0"/>
            </w:rPr>
            <w:t>部门概况</w:t>
          </w:r>
          <w:r>
            <w:rPr>
              <w:b/>
            </w:rPr>
            <w:tab/>
          </w:r>
          <w:r>
            <w:rPr>
              <w:b/>
            </w:rPr>
            <w:fldChar w:fldCharType="begin"/>
          </w:r>
          <w:r>
            <w:rPr>
              <w:b/>
            </w:rPr>
            <w:instrText xml:space="preserve"> PAGEREF _Toc15017 \h </w:instrText>
          </w:r>
          <w:r>
            <w:rPr>
              <w:b/>
            </w:rPr>
            <w:fldChar w:fldCharType="separate"/>
          </w:r>
          <w:r>
            <w:rPr>
              <w:b/>
            </w:rPr>
            <w:t>3</w:t>
          </w:r>
          <w:r>
            <w:rPr>
              <w:b/>
            </w:rPr>
            <w:fldChar w:fldCharType="end"/>
          </w:r>
          <w:r>
            <w:rPr>
              <w:b/>
            </w:rPr>
            <w:fldChar w:fldCharType="end"/>
          </w:r>
        </w:p>
        <w:p>
          <w:pPr>
            <w:pStyle w:val="57"/>
            <w:tabs>
              <w:tab w:val="right" w:leader="dot" w:pos="8306"/>
            </w:tabs>
          </w:pPr>
          <w:r>
            <w:fldChar w:fldCharType="begin"/>
          </w:r>
          <w:r>
            <w:instrText xml:space="preserve"> HYPERLINK \l _Toc29832 </w:instrText>
          </w:r>
          <w:r>
            <w:fldChar w:fldCharType="separate"/>
          </w:r>
          <w:r>
            <w:rPr>
              <w:rFonts w:hint="default" w:ascii="黑体" w:hAnsi="黑体" w:eastAsia="黑体"/>
            </w:rPr>
            <w:t xml:space="preserve">一、 </w:t>
          </w:r>
          <w:r>
            <w:rPr>
              <w:rFonts w:hint="eastAsia" w:ascii="黑体" w:hAnsi="黑体" w:eastAsia="黑体"/>
            </w:rPr>
            <w:t>部门职责</w:t>
          </w:r>
          <w:r>
            <w:tab/>
          </w:r>
          <w:r>
            <w:fldChar w:fldCharType="begin"/>
          </w:r>
          <w:r>
            <w:instrText xml:space="preserve"> PAGEREF _Toc29832 \h </w:instrText>
          </w:r>
          <w:r>
            <w:fldChar w:fldCharType="separate"/>
          </w:r>
          <w:r>
            <w:t>3</w:t>
          </w:r>
          <w:r>
            <w:fldChar w:fldCharType="end"/>
          </w:r>
          <w:r>
            <w:fldChar w:fldCharType="end"/>
          </w:r>
        </w:p>
        <w:p>
          <w:pPr>
            <w:pStyle w:val="57"/>
            <w:tabs>
              <w:tab w:val="right" w:leader="dot" w:pos="8306"/>
            </w:tabs>
          </w:pPr>
          <w:r>
            <w:fldChar w:fldCharType="begin"/>
          </w:r>
          <w:r>
            <w:instrText xml:space="preserve"> HYPERLINK \l _Toc12758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_Toc12758 \h </w:instrText>
          </w:r>
          <w:r>
            <w:fldChar w:fldCharType="separate"/>
          </w:r>
          <w:r>
            <w:t>5</w:t>
          </w:r>
          <w:r>
            <w:fldChar w:fldCharType="end"/>
          </w:r>
          <w:r>
            <w:fldChar w:fldCharType="end"/>
          </w:r>
        </w:p>
        <w:p>
          <w:pPr>
            <w:pStyle w:val="56"/>
            <w:tabs>
              <w:tab w:val="right" w:leader="dot" w:pos="8306"/>
            </w:tabs>
            <w:rPr>
              <w:b/>
            </w:rPr>
          </w:pPr>
          <w:r>
            <w:rPr>
              <w:b/>
            </w:rPr>
            <w:fldChar w:fldCharType="begin"/>
          </w:r>
          <w:r>
            <w:rPr>
              <w:b/>
            </w:rPr>
            <w:instrText xml:space="preserve"> HYPERLINK \l _Toc27550 </w:instrText>
          </w:r>
          <w:r>
            <w:rPr>
              <w:b/>
            </w:rPr>
            <w:fldChar w:fldCharType="separate"/>
          </w:r>
          <w:r>
            <w:rPr>
              <w:rFonts w:hint="eastAsia" w:ascii="黑体" w:hAnsi="黑体" w:eastAsia="黑体"/>
              <w:b/>
            </w:rPr>
            <w:t>第二部分 202</w:t>
          </w:r>
          <w:r>
            <w:rPr>
              <w:rFonts w:hint="eastAsia" w:ascii="黑体" w:hAnsi="黑体" w:eastAsia="黑体"/>
              <w:b/>
              <w:lang w:val="en-US" w:eastAsia="zh-CN"/>
            </w:rPr>
            <w:t>4</w:t>
          </w:r>
          <w:r>
            <w:rPr>
              <w:rFonts w:hint="eastAsia" w:ascii="黑体" w:hAnsi="黑体" w:eastAsia="黑体"/>
              <w:b/>
            </w:rPr>
            <w:t>年度</w:t>
          </w:r>
          <w:r>
            <w:rPr>
              <w:rFonts w:hint="eastAsia" w:ascii="黑体" w:hAnsi="黑体" w:eastAsia="黑体"/>
              <w:b/>
              <w:bCs/>
            </w:rPr>
            <w:t>部门决算情况说明</w:t>
          </w:r>
          <w:r>
            <w:rPr>
              <w:b/>
            </w:rPr>
            <w:tab/>
          </w:r>
          <w:r>
            <w:rPr>
              <w:b/>
            </w:rPr>
            <w:fldChar w:fldCharType="begin"/>
          </w:r>
          <w:r>
            <w:rPr>
              <w:b/>
            </w:rPr>
            <w:instrText xml:space="preserve"> PAGEREF _Toc27550 \h </w:instrText>
          </w:r>
          <w:r>
            <w:rPr>
              <w:b/>
            </w:rPr>
            <w:fldChar w:fldCharType="separate"/>
          </w:r>
          <w:r>
            <w:rPr>
              <w:b/>
            </w:rPr>
            <w:t>6</w:t>
          </w:r>
          <w:r>
            <w:rPr>
              <w:b/>
            </w:rPr>
            <w:fldChar w:fldCharType="end"/>
          </w:r>
          <w:r>
            <w:rPr>
              <w:b/>
            </w:rPr>
            <w:fldChar w:fldCharType="end"/>
          </w:r>
        </w:p>
        <w:p>
          <w:pPr>
            <w:pStyle w:val="57"/>
            <w:tabs>
              <w:tab w:val="right" w:leader="dot" w:pos="8306"/>
            </w:tabs>
          </w:pPr>
          <w:r>
            <w:fldChar w:fldCharType="begin"/>
          </w:r>
          <w:r>
            <w:instrText xml:space="preserve"> HYPERLINK \l _Toc4574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_Toc4574 \h </w:instrText>
          </w:r>
          <w:r>
            <w:fldChar w:fldCharType="separate"/>
          </w:r>
          <w:r>
            <w:t>6</w:t>
          </w:r>
          <w:r>
            <w:fldChar w:fldCharType="end"/>
          </w:r>
          <w:r>
            <w:fldChar w:fldCharType="end"/>
          </w:r>
        </w:p>
        <w:p>
          <w:pPr>
            <w:pStyle w:val="57"/>
            <w:tabs>
              <w:tab w:val="right" w:leader="dot" w:pos="8306"/>
            </w:tabs>
          </w:pPr>
          <w:r>
            <w:fldChar w:fldCharType="begin"/>
          </w:r>
          <w:r>
            <w:instrText xml:space="preserve"> HYPERLINK \l _Toc27204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_Toc27204 \h </w:instrText>
          </w:r>
          <w:r>
            <w:fldChar w:fldCharType="separate"/>
          </w:r>
          <w:r>
            <w:t>6</w:t>
          </w:r>
          <w:r>
            <w:fldChar w:fldCharType="end"/>
          </w:r>
          <w:r>
            <w:fldChar w:fldCharType="end"/>
          </w:r>
        </w:p>
        <w:p>
          <w:pPr>
            <w:pStyle w:val="57"/>
            <w:tabs>
              <w:tab w:val="right" w:leader="dot" w:pos="8306"/>
            </w:tabs>
          </w:pPr>
          <w:r>
            <w:fldChar w:fldCharType="begin"/>
          </w:r>
          <w:r>
            <w:instrText xml:space="preserve"> HYPERLINK \l _Toc12892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_Toc12892 \h </w:instrText>
          </w:r>
          <w:r>
            <w:fldChar w:fldCharType="separate"/>
          </w:r>
          <w:r>
            <w:t>7</w:t>
          </w:r>
          <w:r>
            <w:fldChar w:fldCharType="end"/>
          </w:r>
          <w:r>
            <w:fldChar w:fldCharType="end"/>
          </w:r>
        </w:p>
        <w:p>
          <w:pPr>
            <w:pStyle w:val="57"/>
            <w:tabs>
              <w:tab w:val="right" w:leader="dot" w:pos="8306"/>
            </w:tabs>
          </w:pPr>
          <w:r>
            <w:fldChar w:fldCharType="begin"/>
          </w:r>
          <w:r>
            <w:instrText xml:space="preserve"> HYPERLINK \l _Toc13351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_Toc13351 \h </w:instrText>
          </w:r>
          <w:r>
            <w:fldChar w:fldCharType="separate"/>
          </w:r>
          <w:r>
            <w:t>7</w:t>
          </w:r>
          <w:r>
            <w:fldChar w:fldCharType="end"/>
          </w:r>
          <w:r>
            <w:fldChar w:fldCharType="end"/>
          </w:r>
        </w:p>
        <w:p>
          <w:pPr>
            <w:pStyle w:val="57"/>
            <w:tabs>
              <w:tab w:val="right" w:leader="dot" w:pos="8306"/>
            </w:tabs>
          </w:pPr>
          <w:r>
            <w:fldChar w:fldCharType="begin"/>
          </w:r>
          <w:r>
            <w:instrText xml:space="preserve"> HYPERLINK \l _Toc6453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_Toc6453 \h </w:instrText>
          </w:r>
          <w:r>
            <w:fldChar w:fldCharType="separate"/>
          </w:r>
          <w:r>
            <w:t>8</w:t>
          </w:r>
          <w:r>
            <w:fldChar w:fldCharType="end"/>
          </w:r>
          <w:r>
            <w:fldChar w:fldCharType="end"/>
          </w:r>
        </w:p>
        <w:p>
          <w:pPr>
            <w:pStyle w:val="57"/>
            <w:tabs>
              <w:tab w:val="right" w:leader="dot" w:pos="8306"/>
            </w:tabs>
          </w:pPr>
          <w:r>
            <w:fldChar w:fldCharType="begin"/>
          </w:r>
          <w:r>
            <w:instrText xml:space="preserve"> HYPERLINK \l _Toc6989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_Toc6989 \h </w:instrText>
          </w:r>
          <w:r>
            <w:fldChar w:fldCharType="separate"/>
          </w:r>
          <w:r>
            <w:t>13</w:t>
          </w:r>
          <w:r>
            <w:fldChar w:fldCharType="end"/>
          </w:r>
          <w:r>
            <w:fldChar w:fldCharType="end"/>
          </w:r>
        </w:p>
        <w:p>
          <w:pPr>
            <w:pStyle w:val="57"/>
            <w:tabs>
              <w:tab w:val="right" w:leader="dot" w:pos="8306"/>
            </w:tabs>
          </w:pPr>
          <w:r>
            <w:fldChar w:fldCharType="begin"/>
          </w:r>
          <w:r>
            <w:instrText xml:space="preserve"> HYPERLINK \l _Toc18413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_Toc18413 \h </w:instrText>
          </w:r>
          <w:r>
            <w:fldChar w:fldCharType="separate"/>
          </w:r>
          <w:r>
            <w:t>14</w:t>
          </w:r>
          <w:r>
            <w:fldChar w:fldCharType="end"/>
          </w:r>
          <w:r>
            <w:fldChar w:fldCharType="end"/>
          </w:r>
        </w:p>
        <w:p>
          <w:pPr>
            <w:pStyle w:val="57"/>
            <w:tabs>
              <w:tab w:val="right" w:leader="dot" w:pos="8306"/>
            </w:tabs>
          </w:pPr>
          <w:r>
            <w:fldChar w:fldCharType="begin"/>
          </w:r>
          <w:r>
            <w:instrText xml:space="preserve"> HYPERLINK \l _Toc5439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_Toc5439 \h </w:instrText>
          </w:r>
          <w:r>
            <w:fldChar w:fldCharType="separate"/>
          </w:r>
          <w:r>
            <w:t>16</w:t>
          </w:r>
          <w:r>
            <w:fldChar w:fldCharType="end"/>
          </w:r>
          <w:r>
            <w:fldChar w:fldCharType="end"/>
          </w:r>
        </w:p>
        <w:p>
          <w:pPr>
            <w:pStyle w:val="57"/>
            <w:tabs>
              <w:tab w:val="right" w:leader="dot" w:pos="8306"/>
            </w:tabs>
          </w:pPr>
          <w:r>
            <w:fldChar w:fldCharType="begin"/>
          </w:r>
          <w:r>
            <w:instrText xml:space="preserve"> HYPERLINK \l _Toc12260 </w:instrText>
          </w:r>
          <w:r>
            <w:fldChar w:fldCharType="separate"/>
          </w:r>
          <w:r>
            <w:rPr>
              <w:rFonts w:hint="eastAsia" w:ascii="黑体" w:hAnsi="黑体" w:eastAsia="黑体"/>
            </w:rPr>
            <w:t>九、 国有资本经营预算支出决算情况说明</w:t>
          </w:r>
          <w:r>
            <w:tab/>
          </w:r>
          <w:r>
            <w:fldChar w:fldCharType="begin"/>
          </w:r>
          <w:r>
            <w:instrText xml:space="preserve"> PAGEREF _Toc12260 \h </w:instrText>
          </w:r>
          <w:r>
            <w:fldChar w:fldCharType="separate"/>
          </w:r>
          <w:r>
            <w:t>16</w:t>
          </w:r>
          <w:r>
            <w:fldChar w:fldCharType="end"/>
          </w:r>
          <w:r>
            <w:fldChar w:fldCharType="end"/>
          </w:r>
        </w:p>
        <w:p>
          <w:pPr>
            <w:pStyle w:val="57"/>
            <w:tabs>
              <w:tab w:val="right" w:leader="dot" w:pos="8306"/>
            </w:tabs>
          </w:pPr>
          <w:r>
            <w:fldChar w:fldCharType="begin"/>
          </w:r>
          <w:r>
            <w:instrText xml:space="preserve"> HYPERLINK \l _Toc9105 </w:instrText>
          </w:r>
          <w:r>
            <w:fldChar w:fldCharType="separate"/>
          </w:r>
          <w:r>
            <w:rPr>
              <w:rFonts w:hint="eastAsia" w:ascii="黑体" w:hAnsi="黑体" w:eastAsia="黑体"/>
            </w:rPr>
            <w:t>十、 其他重要事项的情况说明</w:t>
          </w:r>
          <w:r>
            <w:tab/>
          </w:r>
          <w:r>
            <w:fldChar w:fldCharType="begin"/>
          </w:r>
          <w:r>
            <w:instrText xml:space="preserve"> PAGEREF _Toc9105 \h </w:instrText>
          </w:r>
          <w:r>
            <w:fldChar w:fldCharType="separate"/>
          </w:r>
          <w:r>
            <w:t>17</w:t>
          </w:r>
          <w:r>
            <w:fldChar w:fldCharType="end"/>
          </w:r>
          <w:r>
            <w:fldChar w:fldCharType="end"/>
          </w:r>
        </w:p>
        <w:p>
          <w:pPr>
            <w:pStyle w:val="56"/>
            <w:tabs>
              <w:tab w:val="right" w:leader="dot" w:pos="8306"/>
            </w:tabs>
            <w:rPr>
              <w:b/>
            </w:rPr>
          </w:pPr>
          <w:r>
            <w:rPr>
              <w:b/>
            </w:rPr>
            <w:fldChar w:fldCharType="begin"/>
          </w:r>
          <w:r>
            <w:rPr>
              <w:b/>
            </w:rPr>
            <w:instrText xml:space="preserve"> HYPERLINK \l _Toc23400 </w:instrText>
          </w:r>
          <w:r>
            <w:rPr>
              <w:b/>
            </w:rPr>
            <w:fldChar w:fldCharType="separate"/>
          </w:r>
          <w:r>
            <w:rPr>
              <w:rFonts w:hint="eastAsia" w:ascii="黑体" w:hAnsi="黑体" w:eastAsia="黑体"/>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_Toc23400 \h </w:instrText>
          </w:r>
          <w:r>
            <w:rPr>
              <w:b/>
            </w:rPr>
            <w:fldChar w:fldCharType="separate"/>
          </w:r>
          <w:r>
            <w:rPr>
              <w:b/>
            </w:rPr>
            <w:t>19</w:t>
          </w:r>
          <w:r>
            <w:rPr>
              <w:b/>
            </w:rPr>
            <w:fldChar w:fldCharType="end"/>
          </w:r>
          <w:r>
            <w:rPr>
              <w:b/>
            </w:rPr>
            <w:fldChar w:fldCharType="end"/>
          </w:r>
        </w:p>
        <w:p>
          <w:pPr>
            <w:pStyle w:val="56"/>
            <w:tabs>
              <w:tab w:val="right" w:leader="dot" w:pos="8306"/>
            </w:tabs>
            <w:rPr>
              <w:b/>
            </w:rPr>
          </w:pPr>
          <w:r>
            <w:rPr>
              <w:b/>
            </w:rPr>
            <w:fldChar w:fldCharType="begin"/>
          </w:r>
          <w:r>
            <w:rPr>
              <w:b/>
            </w:rPr>
            <w:instrText xml:space="preserve"> HYPERLINK \l _Toc8765 </w:instrText>
          </w:r>
          <w:r>
            <w:rPr>
              <w:b/>
            </w:rPr>
            <w:fldChar w:fldCharType="separate"/>
          </w:r>
          <w:r>
            <w:rPr>
              <w:rFonts w:hint="eastAsia" w:ascii="黑体" w:hAnsi="黑体" w:eastAsia="黑体"/>
              <w:b/>
            </w:rPr>
            <w:t>第四部分 附件</w:t>
          </w:r>
          <w:r>
            <w:rPr>
              <w:b/>
            </w:rPr>
            <w:tab/>
          </w:r>
          <w:r>
            <w:rPr>
              <w:b/>
            </w:rPr>
            <w:fldChar w:fldCharType="begin"/>
          </w:r>
          <w:r>
            <w:rPr>
              <w:b/>
            </w:rPr>
            <w:instrText xml:space="preserve"> PAGEREF _Toc8765 \h </w:instrText>
          </w:r>
          <w:r>
            <w:rPr>
              <w:b/>
            </w:rPr>
            <w:fldChar w:fldCharType="separate"/>
          </w:r>
          <w:r>
            <w:rPr>
              <w:b/>
            </w:rPr>
            <w:t>24</w:t>
          </w:r>
          <w:r>
            <w:rPr>
              <w:b/>
            </w:rPr>
            <w:fldChar w:fldCharType="end"/>
          </w:r>
          <w:r>
            <w:rPr>
              <w:b/>
            </w:rPr>
            <w:fldChar w:fldCharType="end"/>
          </w:r>
        </w:p>
        <w:p>
          <w:pPr>
            <w:pStyle w:val="56"/>
            <w:tabs>
              <w:tab w:val="right" w:leader="dot" w:pos="8306"/>
            </w:tabs>
            <w:rPr>
              <w:b/>
            </w:rPr>
          </w:pPr>
          <w:r>
            <w:rPr>
              <w:b/>
            </w:rPr>
            <w:fldChar w:fldCharType="begin"/>
          </w:r>
          <w:r>
            <w:rPr>
              <w:b/>
            </w:rPr>
            <w:instrText xml:space="preserve"> HYPERLINK \l _Toc19940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_Toc19940 \h </w:instrText>
          </w:r>
          <w:r>
            <w:rPr>
              <w:b/>
            </w:rPr>
            <w:fldChar w:fldCharType="separate"/>
          </w:r>
          <w:r>
            <w:rPr>
              <w:b/>
            </w:rPr>
            <w:t>192</w:t>
          </w:r>
          <w:r>
            <w:rPr>
              <w:b/>
            </w:rPr>
            <w:fldChar w:fldCharType="end"/>
          </w:r>
          <w:r>
            <w:rPr>
              <w:b/>
            </w:rPr>
            <w:fldChar w:fldCharType="end"/>
          </w:r>
        </w:p>
        <w:p>
          <w:pPr>
            <w:pStyle w:val="57"/>
            <w:tabs>
              <w:tab w:val="right" w:leader="dot" w:pos="8306"/>
            </w:tabs>
          </w:pPr>
          <w:r>
            <w:fldChar w:fldCharType="begin"/>
          </w:r>
          <w:r>
            <w:instrText xml:space="preserve"> HYPERLINK \l _Toc10480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_Toc10480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_Toc8821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_Toc8821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_Toc26579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_Toc26579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_Toc19492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_Toc19492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_Toc25444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_Toc25444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_Toc27836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_Toc27836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_Toc20576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_Toc20576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_Toc8093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_Toc8093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_Toc6103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_Toc6103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_Toc16391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_Toc16391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_Toc3279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_Toc3279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_Toc11933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_Toc11933 \h </w:instrText>
          </w:r>
          <w:r>
            <w:fldChar w:fldCharType="separate"/>
          </w:r>
          <w:r>
            <w:t>192</w:t>
          </w:r>
          <w:r>
            <w:fldChar w:fldCharType="end"/>
          </w:r>
          <w:r>
            <w:fldChar w:fldCharType="end"/>
          </w:r>
        </w:p>
        <w:p>
          <w:pPr>
            <w:pStyle w:val="57"/>
            <w:tabs>
              <w:tab w:val="right" w:leader="dot" w:pos="8306"/>
            </w:tabs>
          </w:pPr>
          <w:r>
            <w:fldChar w:fldCharType="begin"/>
          </w:r>
          <w:r>
            <w:instrText xml:space="preserve"> HYPERLINK \l _Toc26669 </w:instrText>
          </w:r>
          <w:r>
            <w:fldChar w:fldCharType="separate"/>
          </w:r>
          <w:r>
            <w:rPr>
              <w:rFonts w:hint="eastAsia" w:ascii="仿宋" w:hAnsi="仿宋" w:eastAsia="仿宋"/>
              <w:bCs w:val="0"/>
            </w:rPr>
            <w:t>十三、财政拨款“三公”经费支出决算表</w:t>
          </w:r>
          <w:r>
            <w:tab/>
          </w:r>
          <w:r>
            <w:fldChar w:fldCharType="begin"/>
          </w:r>
          <w:r>
            <w:instrText xml:space="preserve"> PAGEREF _Toc26669 \h </w:instrText>
          </w:r>
          <w:r>
            <w:fldChar w:fldCharType="separate"/>
          </w:r>
          <w:r>
            <w:t>192</w:t>
          </w:r>
          <w:r>
            <w:fldChar w:fldCharType="end"/>
          </w:r>
          <w:r>
            <w:fldChar w:fldCharType="end"/>
          </w:r>
        </w:p>
        <w:p>
          <w:r>
            <w:rPr>
              <w:b/>
            </w:rPr>
            <w:fldChar w:fldCharType="end"/>
          </w:r>
        </w:p>
      </w:sdtContent>
    </w:sdt>
    <w:p>
      <w:pPr>
        <w:pStyle w:val="3"/>
        <w:jc w:val="center"/>
        <w:rPr>
          <w:rStyle w:val="32"/>
          <w:rFonts w:ascii="黑体" w:hAnsi="黑体" w:eastAsia="黑体"/>
          <w:b/>
          <w:bCs w:val="0"/>
        </w:rPr>
      </w:pPr>
      <w:bookmarkStart w:id="16" w:name="_Toc15017"/>
      <w:bookmarkStart w:id="17" w:name="_Toc15396599"/>
      <w:bookmarkStart w:id="18" w:name="_Toc15377196"/>
      <w:r>
        <w:rPr>
          <w:rFonts w:hint="eastAsia" w:ascii="黑体" w:hAnsi="黑体" w:eastAsia="黑体"/>
          <w:b w:val="0"/>
        </w:rPr>
        <w:t xml:space="preserve">第一部分 </w:t>
      </w:r>
      <w:r>
        <w:rPr>
          <w:rStyle w:val="32"/>
          <w:rFonts w:hint="eastAsia" w:ascii="黑体" w:hAnsi="黑体" w:eastAsia="黑体"/>
          <w:b w:val="0"/>
          <w:bCs w:val="0"/>
        </w:rPr>
        <w:t>部门概况</w:t>
      </w:r>
      <w:bookmarkEnd w:id="16"/>
      <w:bookmarkEnd w:id="17"/>
      <w:bookmarkEnd w:id="18"/>
    </w:p>
    <w:p>
      <w:pPr>
        <w:widowControl/>
        <w:jc w:val="left"/>
        <w:rPr>
          <w:rFonts w:ascii="黑体" w:eastAsia="黑体"/>
          <w:sz w:val="32"/>
          <w:szCs w:val="32"/>
        </w:rPr>
      </w:pPr>
    </w:p>
    <w:p>
      <w:pPr>
        <w:pStyle w:val="4"/>
        <w:numPr>
          <w:ilvl w:val="0"/>
          <w:numId w:val="1"/>
        </w:numPr>
        <w:rPr>
          <w:rFonts w:ascii="黑体" w:hAnsi="黑体" w:eastAsia="黑体"/>
          <w:b w:val="0"/>
        </w:rPr>
      </w:pPr>
      <w:bookmarkStart w:id="19" w:name="_Toc29832"/>
      <w:r>
        <w:rPr>
          <w:rFonts w:hint="eastAsia" w:ascii="黑体" w:hAnsi="黑体" w:eastAsia="黑体"/>
          <w:b w:val="0"/>
        </w:rPr>
        <w:t>部门职责</w:t>
      </w:r>
      <w:bookmarkEnd w:id="19"/>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交通运输行业的方针、政策和法律、法规，贯彻执行省地方性法规、规章、交通运输行业规划、政策和规范性文件。组织拟订并监督实施公路、水路等行业发展战略、政策，会同有关部门组织编制综合运输体系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（2）负责本系统、本部门依法行政工作，落实行政执法责任制；指导公路、水路行业有关体制改革和机制转换工作；参与拟定物流业发展战略和规划。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（3）承担道路、水路交通运输市场监管责任，组织实施并监督执行道路、水路运输有关政策、技术标准和运营规范；指导城乡客运管理工作，指导出租车行业管理工作；会同有关部门制定运价。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和参与事故调查处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（5）负责提出公路、水路固定资产投资规模和方向、市财政资金安排建议，按照程序报批国家、省、市规划内和年度计划规模内固定资产投资项目。指导交通运输行业审计。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承担公路、水路建设市场监管工作。组织实施并监督执行公路、水路工程建设相关政策、制度、技术标准，组织协调公路、水路有关重点工程建设，负责工程质量、安全生产监督管理工作；负责对交通行业和产业项目的招投标活动进行监督、指导；指导交通运输基础设施管理和维护，承担有关重要设施的管理和维护；按规定负责港口规划和港口岸线管理工作，指导交通运输行业特许经营管理，会同有关部门组织实施交通运输行业职业资格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指导公路、水路行业安全生产和应急管理工作。按规定组织协调国家、省、市重点物资、危险货物运输和紧急客货运输，负责全市干线路网运行监测和协调；组织协调地方交通战备工作，承担国防动员有关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担交通运输科技项目开发和研究的组织实施工作，负责交通运输科研成果的推广、应用工作。指导全市交通运输信息化建设，监测分析运行情况，开展相关统计工作，发布有关信息。指导公路水路行业环境保护和节能减排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（9）负责公路水路有关涉外工作，开展经济技术交流合作，指导全市交通运输行业招商引资和利用外部资金工作。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（10）承担市政府公布的有关行政审批事项。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（11）承办市政府交办的其他事项</w:t>
      </w:r>
    </w:p>
    <w:p>
      <w:pPr>
        <w:pStyle w:val="4"/>
        <w:rPr>
          <w:rStyle w:val="33"/>
          <w:b w:val="0"/>
          <w:bCs w:val="0"/>
        </w:rPr>
      </w:pPr>
      <w:bookmarkStart w:id="20" w:name="_Toc15396601"/>
      <w:bookmarkStart w:id="21" w:name="_Toc12758"/>
      <w:bookmarkStart w:id="22" w:name="_Toc15377200"/>
      <w:r>
        <w:rPr>
          <w:rFonts w:hint="eastAsia" w:ascii="黑体" w:eastAsia="黑体"/>
          <w:b w:val="0"/>
        </w:rPr>
        <w:t>二、</w:t>
      </w:r>
      <w:r>
        <w:rPr>
          <w:rFonts w:hint="eastAsia" w:ascii="黑体" w:hAnsi="黑体" w:eastAsia="黑体"/>
          <w:b w:val="0"/>
        </w:rPr>
        <w:t>机</w:t>
      </w:r>
      <w:r>
        <w:rPr>
          <w:rStyle w:val="33"/>
          <w:rFonts w:hint="eastAsia" w:ascii="黑体" w:hAnsi="黑体" w:eastAsia="黑体"/>
          <w:b w:val="0"/>
          <w:bCs w:val="0"/>
        </w:rPr>
        <w:t>构设置</w:t>
      </w:r>
      <w:bookmarkEnd w:id="20"/>
      <w:bookmarkEnd w:id="21"/>
      <w:bookmarkEnd w:id="22"/>
    </w:p>
    <w:p>
      <w:pPr>
        <w:ind w:firstLine="800" w:firstLineChars="250"/>
        <w:rPr>
          <w:rFonts w:ascii="仿宋" w:hAnsi="仿宋" w:eastAsia="仿宋"/>
          <w:color w:val="auto"/>
          <w:sz w:val="32"/>
          <w:szCs w:val="32"/>
        </w:rPr>
      </w:pPr>
      <w:r>
        <w:rPr>
          <w:rFonts w:hint="eastAsia" w:ascii="仿宋" w:hAnsi="仿宋" w:eastAsia="仿宋" w:cs="仿宋"/>
          <w:color w:val="auto"/>
          <w:sz w:val="32"/>
          <w:szCs w:val="32"/>
        </w:rPr>
        <w:t>四川省攀枝花市交通运输局下属二级预算单</w:t>
      </w:r>
      <w:r>
        <w:rPr>
          <w:rFonts w:hint="eastAsia" w:ascii="仿宋" w:hAnsi="仿宋" w:eastAsia="仿宋"/>
          <w:color w:val="auto"/>
          <w:sz w:val="32"/>
          <w:szCs w:val="32"/>
        </w:rPr>
        <w:t>位</w:t>
      </w:r>
      <w:r>
        <w:rPr>
          <w:rFonts w:hint="eastAsia" w:eastAsia="仿宋"/>
          <w:color w:val="auto"/>
          <w:sz w:val="32"/>
          <w:szCs w:val="32"/>
          <w:lang w:val="en-US" w:eastAsia="zh-CN"/>
        </w:rPr>
        <w:t>7</w:t>
      </w:r>
      <w:r>
        <w:rPr>
          <w:rFonts w:hint="eastAsia" w:ascii="仿宋" w:hAnsi="仿宋" w:eastAsia="仿宋"/>
          <w:color w:val="auto"/>
          <w:sz w:val="32"/>
          <w:szCs w:val="32"/>
        </w:rPr>
        <w:t>个，其中行政单位</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个，参照公务员法管理的事业单位</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个，其他事业单位</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 w:hAnsi="仿宋" w:eastAsia="仿宋"/>
          <w:sz w:val="32"/>
          <w:szCs w:val="32"/>
          <w:lang w:eastAsia="zh-CN"/>
        </w:rPr>
        <w:t>攀枝花市交通运输局</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年度部门决算编制范围的二级预算单位包括：</w:t>
      </w:r>
    </w:p>
    <w:p>
      <w:pPr>
        <w:ind w:firstLine="640" w:firstLineChars="200"/>
        <w:rPr>
          <w:rFonts w:hint="eastAsia" w:ascii="仿宋_GB2312" w:hAnsi="仿宋_GB2312" w:eastAsia="仿宋_GB2312" w:cs="仿宋_GB2312"/>
          <w:sz w:val="32"/>
          <w:szCs w:val="32"/>
          <w:lang w:val="en-US" w:eastAsia="zh-CN"/>
        </w:rPr>
      </w:pPr>
      <w:bookmarkStart w:id="23" w:name="_Toc15377433"/>
      <w:bookmarkStart w:id="24" w:name="_Toc15377202"/>
      <w:bookmarkStart w:id="25" w:name="_Toc15378449"/>
      <w:bookmarkStart w:id="26" w:name="_Toc15306276"/>
      <w:r>
        <w:rPr>
          <w:rFonts w:hint="eastAsia" w:ascii="仿宋_GB2312" w:hAnsi="仿宋_GB2312" w:eastAsia="仿宋_GB2312" w:cs="仿宋_GB2312"/>
          <w:sz w:val="32"/>
          <w:szCs w:val="32"/>
        </w:rPr>
        <w:t>1、攀枝花市交通建设工程</w:t>
      </w:r>
      <w:bookmarkEnd w:id="23"/>
      <w:bookmarkEnd w:id="24"/>
      <w:bookmarkEnd w:id="25"/>
      <w:bookmarkEnd w:id="26"/>
      <w:r>
        <w:rPr>
          <w:rFonts w:hint="eastAsia" w:ascii="仿宋_GB2312" w:hAnsi="仿宋_GB2312" w:eastAsia="仿宋_GB2312" w:cs="仿宋_GB2312"/>
          <w:sz w:val="32"/>
          <w:szCs w:val="32"/>
          <w:lang w:val="en-US" w:eastAsia="zh-CN"/>
        </w:rPr>
        <w:t>服务中心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2、攀枝花市交通运输</w:t>
      </w:r>
      <w:r>
        <w:rPr>
          <w:rFonts w:hint="eastAsia" w:ascii="仿宋_GB2312" w:hAnsi="仿宋_GB2312" w:eastAsia="仿宋_GB2312" w:cs="仿宋_GB2312"/>
          <w:sz w:val="32"/>
          <w:szCs w:val="32"/>
          <w:lang w:val="en-US" w:eastAsia="zh-CN"/>
        </w:rPr>
        <w:t>服务中心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3、攀枝花市交通运输综合行政执法支队</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4、攀枝花市</w:t>
      </w:r>
      <w:r>
        <w:rPr>
          <w:rFonts w:hint="eastAsia" w:ascii="仿宋_GB2312" w:hAnsi="仿宋_GB2312" w:eastAsia="仿宋_GB2312" w:cs="仿宋_GB2312"/>
          <w:sz w:val="32"/>
          <w:szCs w:val="32"/>
          <w:lang w:val="en-US" w:eastAsia="zh-CN"/>
        </w:rPr>
        <w:t>航务海事中心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5、攀枝花市</w:t>
      </w:r>
      <w:r>
        <w:rPr>
          <w:rFonts w:hint="eastAsia" w:ascii="仿宋_GB2312" w:hAnsi="仿宋_GB2312" w:eastAsia="仿宋_GB2312" w:cs="仿宋_GB2312"/>
          <w:sz w:val="32"/>
          <w:szCs w:val="32"/>
          <w:lang w:val="en-US" w:eastAsia="zh-CN"/>
        </w:rPr>
        <w:t>公路事业发展中心</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攀枝花市交通建设工程质量监督站</w:t>
      </w:r>
      <w:r>
        <w:rPr>
          <w:rFonts w:hint="eastAsia" w:ascii="仿宋_GB2312" w:hAnsi="仿宋_GB2312" w:eastAsia="仿宋_GB2312" w:cs="仿宋_GB2312"/>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6、攀枝花市公路养护总段。</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pPr>
      <w:bookmarkStart w:id="27" w:name="_Toc15396602"/>
      <w:bookmarkStart w:id="28" w:name="_Toc27550"/>
      <w:bookmarkStart w:id="29" w:name="_Toc15377204"/>
      <w:r>
        <w:rPr>
          <w:rFonts w:hint="eastAsia" w:ascii="黑体" w:hAnsi="黑体" w:eastAsia="黑体"/>
          <w:b w:val="0"/>
        </w:rPr>
        <w:t>第二部分 202</w:t>
      </w:r>
      <w:r>
        <w:rPr>
          <w:rFonts w:hint="eastAsia" w:ascii="黑体" w:hAnsi="黑体" w:eastAsia="黑体"/>
          <w:b w:val="0"/>
          <w:lang w:val="en-US" w:eastAsia="zh-CN"/>
        </w:rPr>
        <w:t>4</w:t>
      </w:r>
      <w:r>
        <w:rPr>
          <w:rFonts w:hint="eastAsia" w:ascii="黑体" w:hAnsi="黑体" w:eastAsia="黑体"/>
          <w:b w:val="0"/>
        </w:rPr>
        <w:t>年度</w:t>
      </w:r>
      <w:r>
        <w:rPr>
          <w:rStyle w:val="32"/>
          <w:rFonts w:hint="eastAsia" w:ascii="黑体" w:hAnsi="黑体" w:eastAsia="黑体"/>
          <w:b w:val="0"/>
          <w:bCs/>
        </w:rPr>
        <w:t>部门决算情况说明</w:t>
      </w:r>
      <w:bookmarkEnd w:id="27"/>
      <w:bookmarkEnd w:id="28"/>
      <w:bookmarkEnd w:id="29"/>
    </w:p>
    <w:p>
      <w:pPr>
        <w:pStyle w:val="31"/>
        <w:numPr>
          <w:ilvl w:val="0"/>
          <w:numId w:val="2"/>
        </w:numPr>
        <w:spacing w:line="600" w:lineRule="exact"/>
        <w:ind w:firstLineChars="0"/>
        <w:outlineLvl w:val="1"/>
        <w:rPr>
          <w:rStyle w:val="33"/>
          <w:rFonts w:ascii="黑体" w:hAnsi="黑体" w:eastAsia="黑体"/>
          <w:b w:val="0"/>
        </w:rPr>
      </w:pPr>
      <w:bookmarkStart w:id="30" w:name="_Toc4574"/>
      <w:bookmarkStart w:id="31" w:name="_Toc15396603"/>
      <w:bookmarkStart w:id="32" w:name="_Toc15377205"/>
      <w:r>
        <w:rPr>
          <w:rFonts w:hint="eastAsia" w:ascii="黑体" w:hAnsi="黑体" w:eastAsia="黑体"/>
          <w:sz w:val="32"/>
          <w:szCs w:val="32"/>
        </w:rPr>
        <w:t>收</w:t>
      </w:r>
      <w:r>
        <w:rPr>
          <w:rStyle w:val="33"/>
          <w:rFonts w:hint="eastAsia" w:ascii="黑体" w:hAnsi="黑体" w:eastAsia="黑体"/>
          <w:b w:val="0"/>
        </w:rPr>
        <w:t>入支出决算总体情况说明</w:t>
      </w:r>
      <w:bookmarkEnd w:id="30"/>
      <w:bookmarkEnd w:id="31"/>
      <w:bookmarkEnd w:id="32"/>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sz w:val="32"/>
          <w:szCs w:val="32"/>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43060.4</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w:t>
      </w:r>
      <w:r>
        <w:rPr>
          <w:rFonts w:hint="eastAsia" w:ascii="Times New Roman" w:hAnsi="Times New Roman" w:eastAsia="仿宋_GB2312" w:cs="仿宋_GB2312"/>
          <w:color w:val="auto"/>
          <w:sz w:val="32"/>
          <w:szCs w:val="32"/>
          <w:highlight w:val="none"/>
          <w:lang w:eastAsia="zh-CN"/>
        </w:rPr>
        <w:t>增加</w:t>
      </w:r>
      <w:r>
        <w:rPr>
          <w:rFonts w:hint="eastAsia" w:ascii="Times New Roman" w:hAnsi="Times New Roman" w:eastAsia="仿宋_GB2312" w:cs="仿宋_GB2312"/>
          <w:color w:val="auto"/>
          <w:sz w:val="32"/>
          <w:szCs w:val="32"/>
          <w:highlight w:val="none"/>
          <w:lang w:val="en-US" w:eastAsia="zh-CN"/>
        </w:rPr>
        <w:t>6139.21</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增长</w:t>
      </w:r>
      <w:r>
        <w:rPr>
          <w:rFonts w:hint="eastAsia" w:ascii="Times New Roman" w:hAnsi="Times New Roman" w:eastAsia="仿宋_GB2312" w:cs="仿宋_GB2312"/>
          <w:color w:val="auto"/>
          <w:sz w:val="32"/>
          <w:szCs w:val="32"/>
          <w:highlight w:val="none"/>
          <w:lang w:val="en-US" w:eastAsia="zh-CN"/>
        </w:rPr>
        <w:t>16.63</w:t>
      </w:r>
      <w:r>
        <w:rPr>
          <w:rFonts w:hint="eastAsia" w:ascii="Times New Roman" w:hAnsi="Times New Roman" w:eastAsia="仿宋_GB2312" w:cs="仿宋_GB2312"/>
          <w:color w:val="auto"/>
          <w:sz w:val="32"/>
          <w:szCs w:val="32"/>
          <w:highlight w:val="none"/>
        </w:rPr>
        <w:t>%。主要变动原因是</w:t>
      </w:r>
      <w:r>
        <w:rPr>
          <w:rFonts w:hint="eastAsia" w:ascii="Times New Roman" w:hAnsi="Times New Roman" w:eastAsia="仿宋_GB2312" w:cs="仿宋_GB2312"/>
          <w:color w:val="auto"/>
          <w:sz w:val="32"/>
          <w:szCs w:val="32"/>
          <w:highlight w:val="none"/>
          <w:lang w:eastAsia="zh-CN"/>
        </w:rPr>
        <w:t>项目支出安排增加。</w:t>
      </w:r>
    </w:p>
    <w:p>
      <w:pPr>
        <w:spacing w:line="600" w:lineRule="exact"/>
        <w:ind w:firstLine="640" w:firstLineChars="200"/>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285115</wp:posOffset>
            </wp:positionH>
            <wp:positionV relativeFrom="paragraph">
              <wp:posOffset>195580</wp:posOffset>
            </wp:positionV>
            <wp:extent cx="4711065" cy="4010660"/>
            <wp:effectExtent l="4445" t="4445" r="8890" b="2349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31"/>
        <w:numPr>
          <w:ilvl w:val="0"/>
          <w:numId w:val="2"/>
        </w:numPr>
        <w:spacing w:line="600" w:lineRule="exact"/>
        <w:ind w:firstLineChars="0"/>
        <w:outlineLvl w:val="1"/>
        <w:rPr>
          <w:rStyle w:val="33"/>
          <w:rFonts w:ascii="黑体" w:hAnsi="黑体" w:eastAsia="黑体"/>
          <w:b w:val="0"/>
        </w:rPr>
      </w:pPr>
      <w:bookmarkStart w:id="33" w:name="_Toc27204"/>
      <w:bookmarkStart w:id="34" w:name="_Toc15377206"/>
      <w:bookmarkStart w:id="35" w:name="_Toc15396604"/>
      <w:r>
        <w:rPr>
          <w:rFonts w:hint="eastAsia" w:ascii="黑体" w:hAnsi="黑体" w:eastAsia="黑体"/>
          <w:sz w:val="32"/>
          <w:szCs w:val="32"/>
        </w:rPr>
        <w:t>收</w:t>
      </w:r>
      <w:r>
        <w:rPr>
          <w:rStyle w:val="33"/>
          <w:rFonts w:hint="eastAsia" w:ascii="黑体" w:hAnsi="黑体" w:eastAsia="黑体"/>
          <w:b w:val="0"/>
        </w:rPr>
        <w:t>入决算情况说明</w:t>
      </w:r>
      <w:bookmarkEnd w:id="33"/>
      <w:bookmarkEnd w:id="34"/>
      <w:bookmarkEnd w:id="35"/>
    </w:p>
    <w:p>
      <w:pPr>
        <w:spacing w:line="600" w:lineRule="exact"/>
        <w:ind w:firstLine="640" w:firstLineChars="200"/>
        <w:outlineLvl w:val="9"/>
        <w:rPr>
          <w:rFonts w:ascii="仿宋" w:hAnsi="仿宋" w:eastAsia="仿宋"/>
          <w:sz w:val="32"/>
          <w:szCs w:val="32"/>
        </w:rPr>
      </w:pPr>
      <w:bookmarkStart w:id="36" w:name="_Toc32135"/>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43060.4万元，其中：一般公共预算财政拨款收入25893.51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60.13</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17166.89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39.86%</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661670</wp:posOffset>
            </wp:positionH>
            <wp:positionV relativeFrom="paragraph">
              <wp:posOffset>131445</wp:posOffset>
            </wp:positionV>
            <wp:extent cx="4109720" cy="2492375"/>
            <wp:effectExtent l="4445" t="4445" r="19685" b="177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36"/>
    </w:p>
    <w:p>
      <w:pPr>
        <w:pStyle w:val="31"/>
        <w:numPr>
          <w:ilvl w:val="0"/>
          <w:numId w:val="2"/>
        </w:numPr>
        <w:spacing w:line="600" w:lineRule="exact"/>
        <w:ind w:firstLineChars="0"/>
        <w:outlineLvl w:val="1"/>
        <w:rPr>
          <w:rStyle w:val="33"/>
          <w:rFonts w:ascii="黑体" w:hAnsi="黑体" w:eastAsia="黑体"/>
          <w:b w:val="0"/>
        </w:rPr>
      </w:pPr>
      <w:bookmarkStart w:id="37" w:name="_Toc15396605"/>
      <w:bookmarkStart w:id="38" w:name="_Toc12892"/>
      <w:bookmarkStart w:id="39" w:name="_Toc15377207"/>
      <w:r>
        <w:rPr>
          <w:rFonts w:hint="eastAsia" w:ascii="黑体" w:hAnsi="黑体" w:eastAsia="黑体"/>
          <w:sz w:val="32"/>
          <w:szCs w:val="32"/>
        </w:rPr>
        <w:t>支</w:t>
      </w:r>
      <w:r>
        <w:rPr>
          <w:rStyle w:val="33"/>
          <w:rFonts w:hint="eastAsia" w:ascii="黑体" w:hAnsi="黑体" w:eastAsia="黑体"/>
          <w:b w:val="0"/>
        </w:rPr>
        <w:t>出决算情况说明</w:t>
      </w:r>
      <w:bookmarkEnd w:id="37"/>
      <w:bookmarkEnd w:id="38"/>
      <w:bookmarkEnd w:id="39"/>
    </w:p>
    <w:p>
      <w:pPr>
        <w:spacing w:line="600" w:lineRule="exact"/>
        <w:ind w:firstLine="640" w:firstLineChars="200"/>
        <w:outlineLvl w:val="1"/>
        <w:rPr>
          <w:rFonts w:hint="eastAsia" w:ascii="仿宋" w:hAnsi="仿宋" w:eastAsia="仿宋_GB2312"/>
          <w:sz w:val="32"/>
          <w:szCs w:val="32"/>
          <w:lang w:eastAsia="zh-CN"/>
        </w:rPr>
      </w:pPr>
      <w:bookmarkStart w:id="40" w:name="_Toc22225"/>
      <w:bookmarkStart w:id="41" w:name="_Toc29586"/>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43060.4</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15857.92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36.82</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27202.48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63.17</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w:t>
      </w:r>
    </w:p>
    <w:bookmarkEnd w:id="40"/>
    <w:bookmarkEnd w:id="41"/>
    <w:p>
      <w:pPr>
        <w:spacing w:line="600" w:lineRule="exact"/>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295275</wp:posOffset>
            </wp:positionH>
            <wp:positionV relativeFrom="paragraph">
              <wp:posOffset>111760</wp:posOffset>
            </wp:positionV>
            <wp:extent cx="4675505" cy="2578735"/>
            <wp:effectExtent l="4445" t="4445" r="6350" b="762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33"/>
          <w:rFonts w:ascii="黑体" w:hAnsi="黑体" w:eastAsia="黑体"/>
          <w:b w:val="0"/>
        </w:rPr>
      </w:pPr>
      <w:bookmarkStart w:id="42" w:name="_Toc13351"/>
      <w:bookmarkStart w:id="43" w:name="_Toc15396606"/>
      <w:bookmarkStart w:id="44" w:name="_Toc15377208"/>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42"/>
      <w:bookmarkEnd w:id="43"/>
      <w:bookmarkEnd w:id="44"/>
    </w:p>
    <w:p>
      <w:pPr>
        <w:spacing w:line="600" w:lineRule="exact"/>
        <w:ind w:firstLine="640"/>
        <w:rPr>
          <w:rFonts w:hint="eastAsia"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43060.4</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万元。与2023年度相比，财政拨款收入总计、支出总计各增加7406.65万元，增长20.77%。主要变动原因是项目支出增加。</w:t>
      </w:r>
    </w:p>
    <w:p>
      <w:pPr>
        <w:spacing w:line="600" w:lineRule="exact"/>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671830</wp:posOffset>
            </wp:positionH>
            <wp:positionV relativeFrom="paragraph">
              <wp:posOffset>302260</wp:posOffset>
            </wp:positionV>
            <wp:extent cx="4820920" cy="3084195"/>
            <wp:effectExtent l="4445" t="5080" r="13335" b="1587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outlineLvl w:val="1"/>
        <w:rPr>
          <w:rStyle w:val="33"/>
          <w:rFonts w:ascii="黑体" w:hAnsi="黑体" w:eastAsia="黑体"/>
          <w:b w:val="0"/>
        </w:rPr>
      </w:pPr>
      <w:bookmarkStart w:id="45" w:name="_Toc15377209"/>
      <w:bookmarkStart w:id="46" w:name="_Toc6453"/>
      <w:bookmarkStart w:id="47" w:name="_Toc15396607"/>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45"/>
      <w:bookmarkEnd w:id="46"/>
      <w:bookmarkEnd w:id="47"/>
    </w:p>
    <w:p>
      <w:pPr>
        <w:spacing w:line="600" w:lineRule="exact"/>
        <w:ind w:firstLine="643" w:firstLineChars="200"/>
        <w:outlineLvl w:val="2"/>
        <w:rPr>
          <w:rFonts w:ascii="仿宋" w:hAnsi="仿宋" w:eastAsia="仿宋"/>
          <w:b/>
          <w:sz w:val="32"/>
          <w:szCs w:val="32"/>
        </w:rPr>
      </w:pPr>
      <w:bookmarkStart w:id="48" w:name="_Toc15377210"/>
      <w:r>
        <w:rPr>
          <w:rFonts w:hint="eastAsia" w:ascii="仿宋" w:hAnsi="仿宋" w:eastAsia="仿宋"/>
          <w:b/>
          <w:sz w:val="32"/>
          <w:szCs w:val="32"/>
        </w:rPr>
        <w:t>（一）一般公共预算财政拨款支出决算总体情况</w:t>
      </w:r>
      <w:bookmarkEnd w:id="48"/>
    </w:p>
    <w:p>
      <w:pPr>
        <w:spacing w:line="600" w:lineRule="exact"/>
        <w:ind w:firstLine="640"/>
        <w:rPr>
          <w:rFonts w:hint="eastAsia" w:ascii="仿宋" w:hAnsi="仿宋" w:eastAsia="仿宋"/>
          <w:sz w:val="32"/>
          <w:szCs w:val="32"/>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25893.51</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60.13</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%。与2023年度相比，一般公共预算财政拨款支出减少9741.3万元，下降27.34%。主要变动原因是项目支出减少。</w:t>
      </w:r>
    </w:p>
    <w:p>
      <w:pPr>
        <w:pStyle w:val="2"/>
        <w:rPr>
          <w:rFonts w:hint="eastAsia" w:ascii="仿宋" w:hAnsi="仿宋" w:eastAsia="仿宋"/>
          <w:sz w:val="32"/>
          <w:szCs w:val="32"/>
        </w:rPr>
      </w:pPr>
    </w:p>
    <w:p>
      <w:pPr>
        <w:pStyle w:val="2"/>
        <w:ind w:left="1277" w:leftChars="608" w:firstLine="6720" w:firstLineChars="2100"/>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440690</wp:posOffset>
            </wp:positionH>
            <wp:positionV relativeFrom="paragraph">
              <wp:posOffset>175895</wp:posOffset>
            </wp:positionV>
            <wp:extent cx="4603750" cy="3376930"/>
            <wp:effectExtent l="5080" t="4445" r="20320"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lang w:val="en-US" w:eastAsia="zh-CN"/>
        </w:rPr>
        <w:t xml:space="preserve"> </w:t>
      </w:r>
    </w:p>
    <w:p>
      <w:pPr>
        <w:spacing w:line="600" w:lineRule="exact"/>
        <w:ind w:firstLine="643" w:firstLineChars="200"/>
        <w:rPr>
          <w:rFonts w:ascii="仿宋" w:hAnsi="仿宋" w:eastAsia="仿宋"/>
          <w:b/>
          <w:sz w:val="32"/>
          <w:szCs w:val="32"/>
        </w:rPr>
      </w:pPr>
      <w:bookmarkStart w:id="49" w:name="_Toc15377211"/>
      <w:r>
        <w:rPr>
          <w:rFonts w:hint="eastAsia" w:ascii="仿宋" w:hAnsi="仿宋" w:eastAsia="仿宋"/>
          <w:b/>
          <w:sz w:val="32"/>
          <w:szCs w:val="32"/>
        </w:rPr>
        <w:t>（二）一般公共预算财政拨款支出决算结构情况</w:t>
      </w:r>
      <w:bookmarkEnd w:id="49"/>
    </w:p>
    <w:p>
      <w:pPr>
        <w:spacing w:line="600" w:lineRule="exact"/>
        <w:ind w:firstLine="640"/>
        <w:rPr>
          <w:rFonts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25893.51</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仿宋" w:hAnsi="仿宋" w:eastAsia="仿宋"/>
          <w:sz w:val="32"/>
          <w:szCs w:val="32"/>
        </w:rPr>
        <w:t>，主要用于以下方面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b/>
          <w:bCs/>
          <w:sz w:val="32"/>
          <w:szCs w:val="32"/>
          <w:lang w:val="en-US" w:eastAsia="zh-CN"/>
        </w:rPr>
        <w:t>11.01</w:t>
      </w:r>
      <w:r>
        <w:rPr>
          <w:rFonts w:hint="eastAsia" w:ascii="仿宋" w:hAnsi="仿宋" w:eastAsia="仿宋"/>
          <w:sz w:val="32"/>
          <w:szCs w:val="32"/>
        </w:rPr>
        <w:t>万元，占</w:t>
      </w:r>
      <w:r>
        <w:rPr>
          <w:rFonts w:hint="eastAsia" w:ascii="仿宋" w:hAnsi="仿宋" w:eastAsia="仿宋"/>
          <w:sz w:val="32"/>
          <w:szCs w:val="32"/>
          <w:lang w:val="en-US" w:eastAsia="zh-CN"/>
        </w:rPr>
        <w:t>0.04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4790.91</w:t>
      </w:r>
      <w:r>
        <w:rPr>
          <w:rFonts w:hint="eastAsia" w:ascii="仿宋" w:hAnsi="仿宋" w:eastAsia="仿宋"/>
          <w:sz w:val="32"/>
          <w:szCs w:val="32"/>
        </w:rPr>
        <w:t>万元，占</w:t>
      </w:r>
      <w:r>
        <w:rPr>
          <w:rFonts w:hint="eastAsia" w:ascii="仿宋" w:hAnsi="仿宋" w:eastAsia="仿宋"/>
          <w:sz w:val="32"/>
          <w:szCs w:val="32"/>
          <w:lang w:val="en-US" w:eastAsia="zh-CN"/>
        </w:rPr>
        <w:t>18.5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706.93</w:t>
      </w:r>
      <w:r>
        <w:rPr>
          <w:rFonts w:hint="eastAsia" w:ascii="仿宋" w:hAnsi="仿宋" w:eastAsia="仿宋"/>
          <w:sz w:val="32"/>
          <w:szCs w:val="32"/>
        </w:rPr>
        <w:t>万元，占</w:t>
      </w:r>
      <w:r>
        <w:rPr>
          <w:rFonts w:hint="eastAsia" w:ascii="仿宋" w:hAnsi="仿宋" w:eastAsia="仿宋"/>
          <w:sz w:val="32"/>
          <w:szCs w:val="32"/>
          <w:lang w:val="en-US" w:eastAsia="zh-CN"/>
        </w:rPr>
        <w:t>2.73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农林水支出</w:t>
      </w:r>
      <w:r>
        <w:rPr>
          <w:rFonts w:hint="eastAsia" w:ascii="仿宋" w:hAnsi="仿宋" w:eastAsia="仿宋"/>
          <w:b/>
          <w:bCs/>
          <w:sz w:val="32"/>
          <w:szCs w:val="32"/>
          <w:lang w:val="en-US" w:eastAsia="zh-CN"/>
        </w:rPr>
        <w:t>1634.03</w:t>
      </w:r>
      <w:r>
        <w:rPr>
          <w:rFonts w:hint="eastAsia" w:ascii="仿宋" w:hAnsi="仿宋" w:eastAsia="仿宋"/>
          <w:b w:val="0"/>
          <w:bCs w:val="0"/>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lang w:val="en-US" w:eastAsia="zh-CN"/>
        </w:rPr>
        <w:t>6.31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交通运输支出</w:t>
      </w:r>
      <w:r>
        <w:rPr>
          <w:rFonts w:hint="eastAsia" w:ascii="仿宋" w:hAnsi="仿宋" w:eastAsia="仿宋"/>
          <w:b/>
          <w:bCs/>
          <w:sz w:val="32"/>
          <w:szCs w:val="32"/>
          <w:lang w:val="en-US" w:eastAsia="zh-CN"/>
        </w:rPr>
        <w:t>17696.44</w:t>
      </w:r>
      <w:r>
        <w:rPr>
          <w:rFonts w:hint="eastAsia" w:ascii="仿宋" w:hAnsi="仿宋" w:eastAsia="仿宋"/>
          <w:b w:val="0"/>
          <w:bCs w:val="0"/>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lang w:val="en-US" w:eastAsia="zh-CN"/>
        </w:rPr>
        <w:t>68.34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b/>
          <w:bCs/>
          <w:sz w:val="32"/>
          <w:szCs w:val="32"/>
          <w:lang w:val="en-US" w:eastAsia="zh-CN"/>
        </w:rPr>
        <w:t>947.26</w:t>
      </w:r>
      <w:r>
        <w:rPr>
          <w:rFonts w:hint="eastAsia" w:ascii="仿宋" w:hAnsi="仿宋" w:eastAsia="仿宋"/>
          <w:sz w:val="32"/>
          <w:szCs w:val="32"/>
        </w:rPr>
        <w:t>万元，占</w:t>
      </w:r>
      <w:r>
        <w:rPr>
          <w:rFonts w:hint="eastAsia" w:ascii="仿宋" w:hAnsi="仿宋" w:eastAsia="仿宋"/>
          <w:sz w:val="32"/>
          <w:szCs w:val="32"/>
          <w:lang w:val="en-US" w:eastAsia="zh-CN"/>
        </w:rPr>
        <w:t>3.66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灾害防治及应急管理支出</w:t>
      </w:r>
      <w:r>
        <w:rPr>
          <w:rFonts w:hint="eastAsia" w:ascii="仿宋" w:hAnsi="仿宋" w:eastAsia="仿宋"/>
          <w:b/>
          <w:bCs/>
          <w:sz w:val="32"/>
          <w:szCs w:val="32"/>
          <w:lang w:val="en-US" w:eastAsia="zh-CN"/>
        </w:rPr>
        <w:t>0.57</w:t>
      </w:r>
      <w:r>
        <w:rPr>
          <w:rFonts w:hint="eastAsia" w:ascii="仿宋" w:hAnsi="仿宋" w:eastAsia="仿宋"/>
          <w:b w:val="0"/>
          <w:bCs w:val="0"/>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lang w:val="en-US" w:eastAsia="zh-CN"/>
        </w:rPr>
        <w:t>0.01</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b/>
          <w:bCs/>
          <w:sz w:val="32"/>
          <w:szCs w:val="32"/>
          <w:lang w:eastAsia="zh-CN"/>
        </w:rPr>
        <w:t>其他支出</w:t>
      </w:r>
      <w:r>
        <w:rPr>
          <w:rFonts w:hint="eastAsia" w:ascii="仿宋" w:hAnsi="仿宋" w:eastAsia="仿宋"/>
          <w:sz w:val="32"/>
          <w:szCs w:val="32"/>
          <w:lang w:val="en-US" w:eastAsia="zh-CN"/>
        </w:rPr>
        <w:t>106.36万元，占0.41%</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r>
        <w:rPr>
          <w:rFonts w:hint="eastAsia" w:ascii="仿宋" w:hAnsi="仿宋" w:eastAsia="仿宋"/>
          <w:sz w:val="32"/>
          <w:szCs w:val="32"/>
          <w:lang w:eastAsia="zh-CN"/>
        </w:rPr>
        <w:drawing>
          <wp:inline distT="0" distB="0" distL="114300" distR="114300">
            <wp:extent cx="5080000" cy="4901565"/>
            <wp:effectExtent l="4445" t="4445" r="20955" b="889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50" w:name="_Toc15377212"/>
      <w:r>
        <w:rPr>
          <w:rFonts w:hint="eastAsia" w:ascii="仿宋" w:hAnsi="仿宋" w:eastAsia="仿宋"/>
          <w:b/>
          <w:sz w:val="32"/>
          <w:szCs w:val="32"/>
        </w:rPr>
        <w:t>（三）一般公共预算财政拨款支出决算具体情况</w:t>
      </w:r>
      <w:bookmarkEnd w:id="50"/>
    </w:p>
    <w:p>
      <w:pPr>
        <w:spacing w:line="600" w:lineRule="exact"/>
        <w:ind w:firstLine="640"/>
        <w:rPr>
          <w:rFonts w:ascii="仿宋" w:hAnsi="仿宋" w:eastAsia="仿宋"/>
          <w:sz w:val="32"/>
          <w:szCs w:val="32"/>
        </w:rPr>
      </w:pPr>
      <w:bookmarkStart w:id="51" w:name="_Toc15378460"/>
      <w:bookmarkStart w:id="52" w:name="_Toc15377444"/>
      <w:bookmarkStart w:id="53" w:name="_Toc15377213"/>
      <w:bookmarkStart w:id="54" w:name="_Toc15377214"/>
      <w:bookmarkStart w:id="55" w:name="_Toc15396608"/>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25893.51</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完成预算100%。其中：</w:t>
      </w:r>
      <w:bookmarkEnd w:id="51"/>
      <w:bookmarkEnd w:id="52"/>
      <w:bookmarkEnd w:id="53"/>
    </w:p>
    <w:p>
      <w:pPr>
        <w:numPr>
          <w:ilvl w:val="0"/>
          <w:numId w:val="0"/>
        </w:num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1.一般公共服务支出（类）组织事务（款）其他组织事务支出（项）：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11.01</w:t>
      </w:r>
      <w:r>
        <w:rPr>
          <w:rFonts w:hint="eastAsia" w:ascii="仿宋_GB2312" w:hAnsi="仿宋_GB2312" w:eastAsia="仿宋_GB2312" w:cs="仿宋_GB2312"/>
          <w:b w:val="0"/>
          <w:bCs/>
          <w:sz w:val="32"/>
          <w:szCs w:val="32"/>
        </w:rPr>
        <w:t>万元，完成预算100%。</w:t>
      </w:r>
    </w:p>
    <w:p>
      <w:pPr>
        <w:pStyle w:val="2"/>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w:t>
      </w:r>
      <w:r>
        <w:rPr>
          <w:rFonts w:hint="eastAsia" w:ascii="仿宋_GB2312" w:hAnsi="仿宋_GB2312" w:eastAsia="仿宋_GB2312" w:cs="仿宋_GB2312"/>
          <w:b w:val="0"/>
          <w:bCs/>
          <w:sz w:val="32"/>
          <w:szCs w:val="32"/>
        </w:rPr>
        <w:t>社会保障和就业支出（类）人力资源和社会保障管理事务（款）其他人力资源和社会保障管理事务支出（项）:支出决算为</w:t>
      </w:r>
      <w:r>
        <w:rPr>
          <w:rFonts w:hint="eastAsia" w:hAnsi="仿宋_GB2312" w:cs="仿宋_GB2312"/>
          <w:b w:val="0"/>
          <w:bCs/>
          <w:sz w:val="32"/>
          <w:szCs w:val="32"/>
          <w:lang w:val="en-US" w:eastAsia="zh-CN"/>
        </w:rPr>
        <w:t>4.27</w:t>
      </w:r>
      <w:r>
        <w:rPr>
          <w:rFonts w:hint="eastAsia" w:ascii="仿宋_GB2312" w:hAnsi="仿宋_GB2312" w:eastAsia="仿宋_GB2312" w:cs="仿宋_GB2312"/>
          <w:b w:val="0"/>
          <w:bCs/>
          <w:sz w:val="32"/>
          <w:szCs w:val="32"/>
        </w:rPr>
        <w:t>万元，完成预算100%。</w:t>
      </w:r>
    </w:p>
    <w:p>
      <w:pPr>
        <w:pStyle w:val="2"/>
        <w:ind w:firstLine="640" w:firstLineChars="20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3.</w:t>
      </w:r>
      <w:r>
        <w:rPr>
          <w:rFonts w:hint="eastAsia" w:ascii="仿宋_GB2312" w:hAnsi="仿宋_GB2312" w:eastAsia="仿宋_GB2312" w:cs="仿宋_GB2312"/>
          <w:b w:val="0"/>
          <w:bCs/>
          <w:sz w:val="32"/>
          <w:szCs w:val="32"/>
        </w:rPr>
        <w:t>社会保障和就业支出（类）行政事业单位养老支出（款）</w:t>
      </w:r>
      <w:r>
        <w:rPr>
          <w:rFonts w:hint="eastAsia" w:hAnsi="仿宋_GB2312" w:cs="仿宋_GB2312"/>
          <w:b w:val="0"/>
          <w:bCs/>
          <w:sz w:val="32"/>
          <w:szCs w:val="32"/>
          <w:lang w:eastAsia="zh-CN"/>
        </w:rPr>
        <w:t>行政</w:t>
      </w:r>
      <w:r>
        <w:rPr>
          <w:rFonts w:hint="eastAsia" w:ascii="仿宋_GB2312" w:hAnsi="仿宋_GB2312" w:eastAsia="仿宋_GB2312" w:cs="仿宋_GB2312"/>
          <w:b w:val="0"/>
          <w:bCs/>
          <w:sz w:val="32"/>
          <w:szCs w:val="32"/>
        </w:rPr>
        <w:t>单位离退休（项）:支出决算为</w:t>
      </w:r>
      <w:r>
        <w:rPr>
          <w:rFonts w:hint="eastAsia" w:hAnsi="仿宋_GB2312" w:cs="仿宋_GB2312"/>
          <w:b w:val="0"/>
          <w:bCs/>
          <w:sz w:val="32"/>
          <w:szCs w:val="32"/>
          <w:lang w:val="en-US" w:eastAsia="zh-CN"/>
        </w:rPr>
        <w:t>393.46</w:t>
      </w:r>
      <w:r>
        <w:rPr>
          <w:rFonts w:hint="eastAsia" w:ascii="仿宋_GB2312" w:hAnsi="仿宋_GB2312" w:eastAsia="仿宋_GB2312" w:cs="仿宋_GB2312"/>
          <w:b w:val="0"/>
          <w:bCs/>
          <w:sz w:val="32"/>
          <w:szCs w:val="32"/>
        </w:rPr>
        <w:t>万元，完成预算100%。</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社会保障和就业支出（类）行政事业单位养老支出（款）</w:t>
      </w:r>
      <w:r>
        <w:rPr>
          <w:rFonts w:hint="eastAsia" w:ascii="仿宋_GB2312" w:hAnsi="仿宋_GB2312" w:eastAsia="仿宋_GB2312" w:cs="仿宋_GB2312"/>
          <w:b w:val="0"/>
          <w:bCs/>
          <w:sz w:val="32"/>
          <w:szCs w:val="32"/>
          <w:lang w:eastAsia="zh-CN"/>
        </w:rPr>
        <w:t>事业</w:t>
      </w:r>
      <w:r>
        <w:rPr>
          <w:rFonts w:hint="eastAsia" w:ascii="仿宋_GB2312" w:hAnsi="仿宋_GB2312" w:eastAsia="仿宋_GB2312" w:cs="仿宋_GB2312"/>
          <w:b w:val="0"/>
          <w:bCs/>
          <w:sz w:val="32"/>
          <w:szCs w:val="32"/>
        </w:rPr>
        <w:t>单位离退休（项）:支出决算为</w:t>
      </w:r>
      <w:r>
        <w:rPr>
          <w:rFonts w:hint="eastAsia" w:ascii="仿宋_GB2312" w:hAnsi="仿宋_GB2312" w:eastAsia="仿宋_GB2312" w:cs="仿宋_GB2312"/>
          <w:b w:val="0"/>
          <w:bCs/>
          <w:sz w:val="32"/>
          <w:szCs w:val="32"/>
          <w:lang w:val="en-US" w:eastAsia="zh-CN"/>
        </w:rPr>
        <w:t>2697.37</w:t>
      </w:r>
      <w:r>
        <w:rPr>
          <w:rFonts w:hint="eastAsia" w:ascii="仿宋_GB2312" w:hAnsi="仿宋_GB2312" w:eastAsia="仿宋_GB2312" w:cs="仿宋_GB2312"/>
          <w:b w:val="0"/>
          <w:bCs/>
          <w:sz w:val="32"/>
          <w:szCs w:val="32"/>
        </w:rPr>
        <w:t>万元，完成预算100%。</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.社会保障和就业支出（类）行政事业单位养老支出（款）机关事业单位基本养老保险缴费支出（项）:支出决算为</w:t>
      </w:r>
      <w:r>
        <w:rPr>
          <w:rFonts w:hint="eastAsia" w:ascii="仿宋_GB2312" w:hAnsi="仿宋_GB2312" w:eastAsia="仿宋_GB2312" w:cs="仿宋_GB2312"/>
          <w:b w:val="0"/>
          <w:bCs/>
          <w:sz w:val="32"/>
          <w:szCs w:val="32"/>
          <w:lang w:val="en-US" w:eastAsia="zh-CN"/>
        </w:rPr>
        <w:t>1234.29</w:t>
      </w:r>
      <w:r>
        <w:rPr>
          <w:rFonts w:hint="eastAsia" w:ascii="仿宋_GB2312" w:hAnsi="仿宋_GB2312" w:eastAsia="仿宋_GB2312" w:cs="仿宋_GB2312"/>
          <w:b w:val="0"/>
          <w:bCs/>
          <w:sz w:val="32"/>
          <w:szCs w:val="32"/>
        </w:rPr>
        <w:t>万元，完成预算100%。</w:t>
      </w:r>
    </w:p>
    <w:p>
      <w:pPr>
        <w:ind w:firstLine="640" w:firstLineChars="200"/>
        <w:rPr>
          <w:rFonts w:hint="default" w:eastAsia="仿宋_GB2312"/>
          <w:lang w:val="en-US" w:eastAsia="zh-CN"/>
        </w:rPr>
      </w:pPr>
      <w:r>
        <w:rPr>
          <w:rFonts w:hint="eastAsia" w:hAnsi="仿宋_GB2312" w:cs="仿宋_GB2312"/>
          <w:b w:val="0"/>
          <w:bCs/>
          <w:sz w:val="32"/>
          <w:szCs w:val="32"/>
          <w:lang w:val="en-US" w:eastAsia="zh-CN"/>
        </w:rPr>
        <w:t>6.</w:t>
      </w:r>
      <w:r>
        <w:rPr>
          <w:rFonts w:hint="eastAsia" w:ascii="仿宋_GB2312" w:hAnsi="仿宋_GB2312" w:eastAsia="仿宋_GB2312" w:cs="仿宋_GB2312"/>
          <w:b w:val="0"/>
          <w:bCs/>
          <w:sz w:val="32"/>
          <w:szCs w:val="32"/>
        </w:rPr>
        <w:t>社会保障和就业支出（类）行政事业单位养老支出（款）机关事业单位职业年金缴费支出（项）:支出决算为</w:t>
      </w:r>
      <w:r>
        <w:rPr>
          <w:rFonts w:hint="eastAsia" w:ascii="仿宋_GB2312" w:hAnsi="仿宋_GB2312" w:eastAsia="仿宋_GB2312" w:cs="仿宋_GB2312"/>
          <w:b w:val="0"/>
          <w:bCs/>
          <w:sz w:val="32"/>
          <w:szCs w:val="32"/>
          <w:lang w:val="en-US" w:eastAsia="zh-CN"/>
        </w:rPr>
        <w:t>429.48</w:t>
      </w:r>
      <w:r>
        <w:rPr>
          <w:rFonts w:hint="eastAsia" w:ascii="仿宋_GB2312" w:hAnsi="仿宋_GB2312" w:eastAsia="仿宋_GB2312" w:cs="仿宋_GB2312"/>
          <w:b w:val="0"/>
          <w:bCs/>
          <w:sz w:val="32"/>
          <w:szCs w:val="32"/>
        </w:rPr>
        <w:t>万元，完成预算100%。</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抚恤</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死亡抚恤</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31.41万</w:t>
      </w:r>
      <w:r>
        <w:rPr>
          <w:rFonts w:hint="eastAsia" w:ascii="仿宋_GB2312" w:hAnsi="仿宋_GB2312" w:eastAsia="仿宋_GB2312" w:cs="仿宋_GB2312"/>
          <w:b w:val="0"/>
          <w:bCs/>
          <w:sz w:val="32"/>
          <w:szCs w:val="32"/>
        </w:rPr>
        <w:t>元，完成预算100%。</w:t>
      </w:r>
    </w:p>
    <w:p>
      <w:pPr>
        <w:pStyle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8</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社会福利（款）儿童福利（项）：支出决算为0.</w:t>
      </w:r>
      <w:r>
        <w:rPr>
          <w:rFonts w:hint="eastAsia" w:hAnsi="仿宋_GB2312" w:cs="仿宋_GB2312"/>
          <w:b w:val="0"/>
          <w:bCs/>
          <w:sz w:val="32"/>
          <w:szCs w:val="32"/>
          <w:lang w:val="en-US" w:eastAsia="zh-CN"/>
        </w:rPr>
        <w:t>63</w:t>
      </w:r>
      <w:r>
        <w:rPr>
          <w:rFonts w:hint="eastAsia" w:ascii="仿宋_GB2312" w:hAnsi="仿宋_GB2312" w:eastAsia="仿宋_GB2312" w:cs="仿宋_GB2312"/>
          <w:b w:val="0"/>
          <w:bCs/>
          <w:sz w:val="32"/>
          <w:szCs w:val="32"/>
          <w:lang w:val="en-US" w:eastAsia="zh-CN"/>
        </w:rPr>
        <w:t>万元，完成预算100%。</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行政单位医疗</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217.08万</w:t>
      </w:r>
      <w:r>
        <w:rPr>
          <w:rFonts w:hint="eastAsia" w:ascii="仿宋_GB2312" w:hAnsi="仿宋_GB2312" w:eastAsia="仿宋_GB2312" w:cs="仿宋_GB2312"/>
          <w:b w:val="0"/>
          <w:bCs/>
          <w:sz w:val="32"/>
          <w:szCs w:val="32"/>
        </w:rPr>
        <w:t>元，完成预算100%。</w:t>
      </w:r>
    </w:p>
    <w:p>
      <w:pPr>
        <w:ind w:firstLine="640" w:firstLineChars="200"/>
        <w:rPr>
          <w:rFonts w:hint="eastAsia"/>
        </w:rPr>
      </w:pP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事业</w:t>
      </w:r>
      <w:r>
        <w:rPr>
          <w:rFonts w:hint="eastAsia" w:ascii="仿宋_GB2312" w:hAnsi="仿宋_GB2312" w:eastAsia="仿宋_GB2312" w:cs="仿宋_GB2312"/>
          <w:b w:val="0"/>
          <w:bCs/>
          <w:sz w:val="32"/>
          <w:szCs w:val="32"/>
          <w:lang w:val="en-US" w:eastAsia="zh-CN"/>
        </w:rPr>
        <w:t>单位医疗</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392.7万</w:t>
      </w:r>
      <w:r>
        <w:rPr>
          <w:rFonts w:hint="eastAsia" w:ascii="仿宋_GB2312" w:hAnsi="仿宋_GB2312" w:eastAsia="仿宋_GB2312" w:cs="仿宋_GB2312"/>
          <w:b w:val="0"/>
          <w:bCs/>
          <w:sz w:val="32"/>
          <w:szCs w:val="32"/>
        </w:rPr>
        <w:t>元，完成预算100%。</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11.</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公务员医疗补助</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76.98万</w:t>
      </w:r>
      <w:r>
        <w:rPr>
          <w:rFonts w:hint="eastAsia" w:ascii="仿宋_GB2312" w:hAnsi="仿宋_GB2312" w:eastAsia="仿宋_GB2312" w:cs="仿宋_GB2312"/>
          <w:b w:val="0"/>
          <w:bCs/>
          <w:sz w:val="32"/>
          <w:szCs w:val="32"/>
        </w:rPr>
        <w:t>元，完成预算100%。</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12.</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其他行政事业单位医疗支出</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19.03</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13.</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1.14</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14.</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农村社会事业</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1634.03</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15.</w:t>
      </w:r>
      <w:r>
        <w:rPr>
          <w:rFonts w:hint="eastAsia" w:ascii="仿宋_GB2312" w:hAnsi="仿宋_GB2312" w:eastAsia="仿宋_GB2312" w:cs="仿宋_GB2312"/>
          <w:b w:val="0"/>
          <w:bCs/>
          <w:sz w:val="32"/>
          <w:szCs w:val="32"/>
        </w:rPr>
        <w:t>交通运输支出（类）公路水路运输（款）行政运行（项）:支出决算为</w:t>
      </w:r>
      <w:r>
        <w:rPr>
          <w:rFonts w:hint="eastAsia" w:hAnsi="仿宋_GB2312" w:cs="仿宋_GB2312"/>
          <w:b w:val="0"/>
          <w:bCs/>
          <w:sz w:val="32"/>
          <w:szCs w:val="32"/>
          <w:lang w:val="en-US" w:eastAsia="zh-CN"/>
        </w:rPr>
        <w:t>3855.41</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pStyle w:val="2"/>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16.</w:t>
      </w:r>
      <w:r>
        <w:rPr>
          <w:rFonts w:hint="eastAsia" w:ascii="仿宋_GB2312" w:hAnsi="仿宋_GB2312" w:eastAsia="仿宋_GB2312" w:cs="仿宋_GB2312"/>
          <w:b w:val="0"/>
          <w:bCs/>
          <w:sz w:val="32"/>
          <w:szCs w:val="32"/>
        </w:rPr>
        <w:t>交通运输支出（类）公路水路运输（款）</w:t>
      </w:r>
      <w:r>
        <w:rPr>
          <w:rFonts w:hint="eastAsia" w:hAnsi="仿宋_GB2312" w:cs="仿宋_GB2312"/>
          <w:b w:val="0"/>
          <w:bCs/>
          <w:sz w:val="32"/>
          <w:szCs w:val="32"/>
          <w:lang w:eastAsia="zh-CN"/>
        </w:rPr>
        <w:t>机关服务</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5546.45</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17</w:t>
      </w:r>
      <w:r>
        <w:rPr>
          <w:rFonts w:hint="eastAsia" w:ascii="仿宋_GB2312" w:hAnsi="仿宋_GB2312" w:eastAsia="仿宋_GB2312" w:cs="仿宋_GB2312"/>
          <w:b w:val="0"/>
          <w:bCs/>
          <w:sz w:val="32"/>
          <w:szCs w:val="32"/>
        </w:rPr>
        <w:t>.交通运输支出（类）公路水路运输（款）公路养护（项）:支出决算为</w:t>
      </w:r>
      <w:r>
        <w:rPr>
          <w:rFonts w:hint="eastAsia" w:ascii="仿宋_GB2312" w:hAnsi="仿宋_GB2312" w:eastAsia="仿宋_GB2312" w:cs="仿宋_GB2312"/>
          <w:b w:val="0"/>
          <w:bCs/>
          <w:sz w:val="32"/>
          <w:szCs w:val="32"/>
          <w:lang w:val="en-US" w:eastAsia="zh-CN"/>
        </w:rPr>
        <w:t>795.37</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18.</w:t>
      </w:r>
      <w:r>
        <w:rPr>
          <w:rFonts w:hint="eastAsia" w:ascii="仿宋_GB2312" w:hAnsi="仿宋_GB2312" w:eastAsia="仿宋_GB2312" w:cs="仿宋_GB2312"/>
          <w:b w:val="0"/>
          <w:bCs/>
          <w:sz w:val="32"/>
          <w:szCs w:val="32"/>
        </w:rPr>
        <w:t>交通运输支出（类）公路水路运输（款）公路运输管理（项）:支出决算为</w:t>
      </w:r>
      <w:r>
        <w:rPr>
          <w:rFonts w:hint="eastAsia" w:ascii="仿宋_GB2312" w:hAnsi="仿宋_GB2312" w:eastAsia="仿宋_GB2312" w:cs="仿宋_GB2312"/>
          <w:b w:val="0"/>
          <w:bCs/>
          <w:sz w:val="32"/>
          <w:szCs w:val="32"/>
          <w:lang w:val="en-US" w:eastAsia="zh-CN"/>
        </w:rPr>
        <w:t>96.88</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19.</w:t>
      </w:r>
      <w:r>
        <w:rPr>
          <w:rFonts w:hint="eastAsia" w:ascii="仿宋_GB2312" w:hAnsi="仿宋_GB2312" w:eastAsia="仿宋_GB2312" w:cs="仿宋_GB2312"/>
          <w:b w:val="0"/>
          <w:bCs/>
          <w:sz w:val="32"/>
          <w:szCs w:val="32"/>
        </w:rPr>
        <w:t>交通运输支出（类）公路水路运输（款）航道维护（项）:支出决算为</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rPr>
        <w:t>.交通运输支出（类）公路水路运输（款）其他公路水路运输支出（项）:支出决算为</w:t>
      </w:r>
      <w:r>
        <w:rPr>
          <w:rFonts w:hint="eastAsia" w:ascii="仿宋_GB2312" w:hAnsi="仿宋_GB2312" w:eastAsia="仿宋_GB2312" w:cs="仿宋_GB2312"/>
          <w:b w:val="0"/>
          <w:bCs/>
          <w:sz w:val="32"/>
          <w:szCs w:val="32"/>
          <w:lang w:val="en-US" w:eastAsia="zh-CN"/>
        </w:rPr>
        <w:t>2267.27</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rPr>
      </w:pPr>
      <w:r>
        <w:rPr>
          <w:rFonts w:hint="eastAsia" w:ascii="仿宋_GB2312" w:hAnsi="仿宋_GB2312" w:eastAsia="仿宋_GB2312" w:cs="仿宋_GB2312"/>
          <w:b w:val="0"/>
          <w:bCs/>
          <w:sz w:val="32"/>
          <w:szCs w:val="32"/>
          <w:lang w:val="en-US" w:eastAsia="zh-CN"/>
        </w:rPr>
        <w:t>21.</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铁路运输</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其他铁路运输支出</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1600</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22</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民用航空运输</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其他民用航空运输支出</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3213.06</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23.</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320</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.住房保障支出（类）住房改革支出（款）住房公积金（项）:支出决算为</w:t>
      </w:r>
      <w:r>
        <w:rPr>
          <w:rFonts w:hint="eastAsia" w:ascii="仿宋_GB2312" w:hAnsi="仿宋_GB2312" w:eastAsia="仿宋_GB2312" w:cs="仿宋_GB2312"/>
          <w:b w:val="0"/>
          <w:bCs/>
          <w:sz w:val="32"/>
          <w:szCs w:val="32"/>
          <w:lang w:val="en-US" w:eastAsia="zh-CN"/>
        </w:rPr>
        <w:t>947.26</w:t>
      </w:r>
      <w:r>
        <w:rPr>
          <w:rFonts w:hint="eastAsia" w:ascii="仿宋_GB2312" w:hAnsi="仿宋_GB2312" w:eastAsia="仿宋_GB2312" w:cs="仿宋_GB2312"/>
          <w:b w:val="0"/>
          <w:bCs/>
          <w:sz w:val="32"/>
          <w:szCs w:val="32"/>
        </w:rPr>
        <w:t>万元，完成预算100%。</w:t>
      </w:r>
    </w:p>
    <w:p>
      <w:pPr>
        <w:pStyle w:val="2"/>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 xml:space="preserve"> 25</w:t>
      </w:r>
      <w:r>
        <w:rPr>
          <w:rFonts w:hint="eastAsia" w:ascii="仿宋_GB2312" w:hAnsi="仿宋_GB2312" w:eastAsia="仿宋_GB2312" w:cs="仿宋_GB2312"/>
          <w:b w:val="0"/>
          <w:bCs/>
          <w:sz w:val="32"/>
          <w:szCs w:val="32"/>
          <w:lang w:val="en-US" w:eastAsia="zh-CN"/>
        </w:rPr>
        <w:t>.灾害防治及应急管理支出（类）应急管理事务（款）行政运行（项）：支出决算</w:t>
      </w:r>
      <w:r>
        <w:rPr>
          <w:rFonts w:hint="eastAsia" w:hAnsi="仿宋_GB2312" w:cs="仿宋_GB2312"/>
          <w:b w:val="0"/>
          <w:bCs/>
          <w:sz w:val="32"/>
          <w:szCs w:val="32"/>
          <w:lang w:val="en-US" w:eastAsia="zh-CN"/>
        </w:rPr>
        <w:t>0.57</w:t>
      </w:r>
      <w:r>
        <w:rPr>
          <w:rFonts w:hint="eastAsia" w:ascii="仿宋_GB2312" w:hAnsi="仿宋_GB2312" w:eastAsia="仿宋_GB2312" w:cs="仿宋_GB2312"/>
          <w:b w:val="0"/>
          <w:bCs/>
          <w:sz w:val="32"/>
          <w:szCs w:val="32"/>
          <w:lang w:val="en-US" w:eastAsia="zh-CN"/>
        </w:rPr>
        <w:t>万元，</w:t>
      </w:r>
      <w:r>
        <w:rPr>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b w:val="0"/>
          <w:bCs/>
          <w:sz w:val="32"/>
          <w:szCs w:val="32"/>
          <w:lang w:eastAsia="zh-CN"/>
        </w:rPr>
        <w:t>。</w:t>
      </w:r>
    </w:p>
    <w:p>
      <w:pPr>
        <w:pStyle w:val="2"/>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26.其他</w:t>
      </w:r>
      <w:r>
        <w:rPr>
          <w:rFonts w:hint="eastAsia" w:ascii="仿宋_GB2312" w:hAnsi="仿宋_GB2312" w:eastAsia="仿宋_GB2312" w:cs="仿宋_GB2312"/>
          <w:b w:val="0"/>
          <w:bCs/>
          <w:sz w:val="32"/>
          <w:szCs w:val="32"/>
          <w:lang w:val="en-US" w:eastAsia="zh-CN"/>
        </w:rPr>
        <w:t>支出（类）</w:t>
      </w:r>
      <w:r>
        <w:rPr>
          <w:rFonts w:hint="eastAsia" w:hAnsi="仿宋_GB2312" w:cs="仿宋_GB2312"/>
          <w:b w:val="0"/>
          <w:bCs/>
          <w:sz w:val="32"/>
          <w:szCs w:val="32"/>
          <w:lang w:val="en-US" w:eastAsia="zh-CN"/>
        </w:rPr>
        <w:t>其他</w:t>
      </w:r>
      <w:r>
        <w:rPr>
          <w:rFonts w:hint="eastAsia" w:ascii="仿宋_GB2312" w:hAnsi="仿宋_GB2312" w:eastAsia="仿宋_GB2312" w:cs="仿宋_GB2312"/>
          <w:b w:val="0"/>
          <w:bCs/>
          <w:sz w:val="32"/>
          <w:szCs w:val="32"/>
          <w:lang w:val="en-US" w:eastAsia="zh-CN"/>
        </w:rPr>
        <w:t>支出（款）</w:t>
      </w:r>
      <w:r>
        <w:rPr>
          <w:rFonts w:hint="eastAsia" w:hAnsi="仿宋_GB2312" w:cs="仿宋_GB2312"/>
          <w:b w:val="0"/>
          <w:bCs/>
          <w:sz w:val="32"/>
          <w:szCs w:val="32"/>
          <w:lang w:val="en-US" w:eastAsia="zh-CN"/>
        </w:rPr>
        <w:t>其他</w:t>
      </w:r>
      <w:r>
        <w:rPr>
          <w:rFonts w:hint="eastAsia" w:ascii="仿宋_GB2312" w:hAnsi="仿宋_GB2312" w:eastAsia="仿宋_GB2312" w:cs="仿宋_GB2312"/>
          <w:b w:val="0"/>
          <w:bCs/>
          <w:sz w:val="32"/>
          <w:szCs w:val="32"/>
          <w:lang w:val="en-US" w:eastAsia="zh-CN"/>
        </w:rPr>
        <w:t>支出（项）：支出决算</w:t>
      </w:r>
      <w:r>
        <w:rPr>
          <w:rFonts w:hint="eastAsia" w:hAnsi="仿宋_GB2312" w:cs="仿宋_GB2312"/>
          <w:b w:val="0"/>
          <w:bCs/>
          <w:sz w:val="32"/>
          <w:szCs w:val="32"/>
          <w:lang w:val="en-US" w:eastAsia="zh-CN"/>
        </w:rPr>
        <w:t>106.36</w:t>
      </w:r>
      <w:r>
        <w:rPr>
          <w:rFonts w:hint="eastAsia" w:ascii="仿宋_GB2312" w:hAnsi="仿宋_GB2312" w:eastAsia="仿宋_GB2312" w:cs="仿宋_GB2312"/>
          <w:b w:val="0"/>
          <w:bCs/>
          <w:sz w:val="32"/>
          <w:szCs w:val="32"/>
          <w:lang w:val="en-US" w:eastAsia="zh-CN"/>
        </w:rPr>
        <w:t>万元，</w:t>
      </w:r>
      <w:r>
        <w:rPr>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b w:val="0"/>
          <w:bCs/>
          <w:sz w:val="32"/>
          <w:szCs w:val="32"/>
          <w:lang w:eastAsia="zh-CN"/>
        </w:rPr>
        <w:t>。</w:t>
      </w:r>
    </w:p>
    <w:p>
      <w:pPr>
        <w:tabs>
          <w:tab w:val="right" w:pos="8306"/>
        </w:tabs>
        <w:spacing w:line="600" w:lineRule="exact"/>
        <w:ind w:firstLine="640"/>
        <w:outlineLvl w:val="1"/>
        <w:rPr>
          <w:rStyle w:val="33"/>
        </w:rPr>
      </w:pPr>
      <w:bookmarkStart w:id="56" w:name="_Toc6989"/>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54"/>
      <w:bookmarkEnd w:id="55"/>
      <w:bookmarkEnd w:id="56"/>
      <w:r>
        <w:rPr>
          <w:rStyle w:val="33"/>
          <w:rFonts w:ascii="黑体" w:hAnsi="黑体" w:eastAsia="黑体"/>
          <w:b w:val="0"/>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57" w:name="_Toc15377215"/>
      <w:bookmarkStart w:id="58" w:name="_Toc15396609"/>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15857.92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5"/>
        <w:rPr>
          <w:rFonts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15213.42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 w:hAnsi="仿宋" w:eastAsia="仿宋"/>
          <w:sz w:val="32"/>
          <w:szCs w:val="32"/>
        </w:rPr>
        <w:t>主要包括：基本工资、津贴补贴、奖金、绩效工资、机关事业单位基本养老保险缴费、职业年金缴费、其他社会保障缴费、其他工资福利支出、离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w:t>
      </w:r>
      <w:r>
        <w:rPr>
          <w:rFonts w:hint="eastAsia" w:ascii="Times New Roman" w:hAnsi="Times New Roman" w:eastAsia="仿宋_GB2312" w:cs="仿宋_GB2312"/>
          <w:color w:val="auto"/>
          <w:kern w:val="2"/>
          <w:sz w:val="32"/>
          <w:szCs w:val="32"/>
          <w:highlight w:val="none"/>
          <w:lang w:val="en-US" w:eastAsia="zh-CN" w:bidi="ar-SA"/>
        </w:rPr>
        <w:t>公用经费</w:t>
      </w:r>
      <w:r>
        <w:rPr>
          <w:rFonts w:hint="eastAsia" w:ascii="仿宋_GB2312" w:hAnsi="仿宋_GB2312" w:eastAsia="仿宋_GB2312" w:cs="仿宋_GB2312"/>
          <w:sz w:val="32"/>
          <w:szCs w:val="32"/>
        </w:rPr>
        <w:t>644.5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 w:hAnsi="仿宋" w:eastAsia="仿宋"/>
          <w:sz w:val="32"/>
          <w:szCs w:val="32"/>
        </w:rPr>
        <w:t>，主要包括：办公费、水费、电费、邮电费、差旅费、公务接待费、劳务费、委托业务费、工会经费、福利费、公务用车运行维护费、其他交通费、其他商品和服务支出等。</w:t>
      </w:r>
    </w:p>
    <w:p>
      <w:pPr>
        <w:spacing w:line="600" w:lineRule="exact"/>
        <w:ind w:firstLine="640"/>
        <w:outlineLvl w:val="1"/>
        <w:rPr>
          <w:rStyle w:val="33"/>
          <w:rFonts w:ascii="黑体" w:hAnsi="黑体" w:eastAsia="黑体"/>
          <w:b w:val="0"/>
        </w:rPr>
      </w:pPr>
      <w:bookmarkStart w:id="59" w:name="_Toc18413"/>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57"/>
      <w:bookmarkEnd w:id="58"/>
      <w:bookmarkEnd w:id="59"/>
    </w:p>
    <w:p>
      <w:pPr>
        <w:spacing w:line="600" w:lineRule="exact"/>
        <w:ind w:firstLine="640"/>
        <w:outlineLvl w:val="2"/>
        <w:rPr>
          <w:rFonts w:ascii="仿宋" w:hAnsi="仿宋" w:eastAsia="仿宋"/>
          <w:b/>
          <w:sz w:val="32"/>
          <w:szCs w:val="32"/>
        </w:rPr>
      </w:pPr>
      <w:bookmarkStart w:id="60" w:name="_Toc15377216"/>
      <w:r>
        <w:rPr>
          <w:rFonts w:hint="eastAsia" w:ascii="仿宋" w:hAnsi="仿宋" w:eastAsia="仿宋"/>
          <w:b/>
          <w:sz w:val="32"/>
          <w:szCs w:val="32"/>
        </w:rPr>
        <w:t>（一）“三公”经费财政拨款支出决算总体情况说明</w:t>
      </w:r>
      <w:bookmarkEnd w:id="60"/>
    </w:p>
    <w:p>
      <w:pPr>
        <w:spacing w:line="600" w:lineRule="exact"/>
        <w:ind w:firstLine="640"/>
        <w:rPr>
          <w:rFonts w:hint="eastAsia" w:ascii="仿宋" w:hAnsi="仿宋" w:eastAsia="仿宋"/>
          <w:sz w:val="32"/>
          <w:szCs w:val="32"/>
        </w:rPr>
      </w:pPr>
      <w:bookmarkStart w:id="61" w:name="_Toc15377217"/>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23.17</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较上年度减少8.06万元，下降25.81%。决算数与预算数持平。</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bookmarkEnd w:id="61"/>
    </w:p>
    <w:p>
      <w:pPr>
        <w:spacing w:line="600" w:lineRule="exact"/>
        <w:ind w:firstLine="640"/>
        <w:rPr>
          <w:rFonts w:ascii="仿宋" w:hAnsi="仿宋" w:eastAsia="仿宋"/>
          <w:sz w:val="32"/>
          <w:szCs w:val="32"/>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20.55</w:t>
      </w:r>
      <w:r>
        <w:rPr>
          <w:rFonts w:hint="eastAsia" w:ascii="仿宋_GB2312" w:hAnsi="仿宋_GB2312" w:eastAsia="仿宋_GB2312" w:cs="仿宋_GB2312"/>
          <w:color w:val="auto"/>
          <w:kern w:val="2"/>
          <w:sz w:val="32"/>
          <w:szCs w:val="32"/>
          <w:highlight w:val="none"/>
          <w:lang w:val="en-US" w:eastAsia="zh-CN" w:bidi="ar-SA"/>
        </w:rPr>
        <w:t>万元，占88.69%；公务接待费支出决算</w:t>
      </w:r>
      <w:r>
        <w:rPr>
          <w:rFonts w:hint="eastAsia" w:ascii="仿宋_GB2312" w:hAnsi="仿宋_GB2312" w:eastAsia="仿宋_GB2312" w:cs="仿宋_GB2312"/>
          <w:sz w:val="32"/>
          <w:szCs w:val="32"/>
        </w:rPr>
        <w:t>2.62</w:t>
      </w:r>
      <w:r>
        <w:rPr>
          <w:rFonts w:hint="eastAsia" w:ascii="仿宋_GB2312" w:hAnsi="仿宋_GB2312" w:eastAsia="仿宋_GB2312" w:cs="仿宋_GB2312"/>
          <w:color w:val="auto"/>
          <w:kern w:val="2"/>
          <w:sz w:val="32"/>
          <w:szCs w:val="32"/>
          <w:highlight w:val="none"/>
          <w:lang w:val="en-US" w:eastAsia="zh-CN" w:bidi="ar-SA"/>
        </w:rPr>
        <w:t>万元，占11.31%。具体情况如下：</w:t>
      </w:r>
    </w:p>
    <w:p>
      <w:pPr>
        <w:spacing w:line="600" w:lineRule="exact"/>
        <w:ind w:firstLine="640"/>
        <w:rPr>
          <w:rFonts w:hint="eastAsia" w:ascii="仿宋" w:hAnsi="仿宋" w:eastAsia="仿宋"/>
          <w:sz w:val="32"/>
          <w:szCs w:val="32"/>
        </w:rPr>
      </w:pP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030470" cy="2851150"/>
            <wp:effectExtent l="4445" t="4445" r="13335" b="209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相同无变化。</w:t>
      </w:r>
    </w:p>
    <w:p>
      <w:pPr>
        <w:spacing w:line="600" w:lineRule="exact"/>
        <w:ind w:firstLine="640"/>
        <w:rPr>
          <w:rFonts w:hint="default" w:ascii="仿宋_GB2312" w:eastAsia="仿宋_GB2312"/>
          <w:b/>
          <w:color w:val="FF0000"/>
          <w:sz w:val="32"/>
          <w:szCs w:val="32"/>
          <w:lang w:val="en-US"/>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20.55</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减少</w:t>
      </w:r>
      <w:r>
        <w:rPr>
          <w:rFonts w:hint="eastAsia" w:ascii="仿宋_GB2312" w:eastAsia="仿宋_GB2312"/>
          <w:sz w:val="32"/>
          <w:szCs w:val="32"/>
          <w:lang w:val="en-US" w:eastAsia="zh-CN"/>
        </w:rPr>
        <w:t>5.43</w:t>
      </w:r>
      <w:r>
        <w:rPr>
          <w:rFonts w:hint="eastAsia" w:ascii="仿宋_GB2312" w:eastAsia="仿宋_GB2312"/>
          <w:sz w:val="32"/>
          <w:szCs w:val="32"/>
        </w:rPr>
        <w:t>万元，</w:t>
      </w:r>
      <w:r>
        <w:rPr>
          <w:rFonts w:hint="eastAsia" w:ascii="仿宋_GB2312" w:eastAsia="仿宋_GB2312"/>
          <w:sz w:val="32"/>
          <w:szCs w:val="32"/>
          <w:lang w:eastAsia="zh-CN"/>
        </w:rPr>
        <w:t>降低</w:t>
      </w:r>
      <w:r>
        <w:rPr>
          <w:rFonts w:hint="eastAsia" w:ascii="仿宋_GB2312" w:eastAsia="仿宋_GB2312"/>
          <w:sz w:val="32"/>
          <w:szCs w:val="32"/>
          <w:lang w:val="en-US" w:eastAsia="zh-CN"/>
        </w:rPr>
        <w:t>20.9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auto"/>
          <w:sz w:val="32"/>
          <w:szCs w:val="32"/>
          <w:lang w:val="en-US" w:eastAsia="zh-CN"/>
        </w:rPr>
        <w:t>压缩开支。</w:t>
      </w:r>
    </w:p>
    <w:p>
      <w:pPr>
        <w:spacing w:line="600" w:lineRule="exact"/>
        <w:ind w:firstLine="640" w:firstLineChars="200"/>
        <w:rPr>
          <w:rFonts w:hint="eastAsia" w:ascii="仿宋_GB2312" w:eastAsia="仿宋_GB2312"/>
          <w:b/>
          <w:color w:val="auto"/>
          <w:sz w:val="32"/>
          <w:szCs w:val="32"/>
          <w:highlight w:val="none"/>
          <w:lang w:eastAsia="zh-CN"/>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w:t>
      </w:r>
      <w:r>
        <w:rPr>
          <w:rFonts w:hint="eastAsia" w:ascii="仿宋_GB2312" w:eastAsia="仿宋_GB2312"/>
          <w:sz w:val="32"/>
          <w:szCs w:val="32"/>
          <w:lang w:eastAsia="zh-CN"/>
        </w:rPr>
        <w:t>未购置新车。</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w:t>
      </w:r>
      <w:r>
        <w:rPr>
          <w:rFonts w:hint="eastAsia" w:ascii="仿宋_GB2312" w:eastAsia="仿宋_GB2312"/>
          <w:sz w:val="32"/>
          <w:szCs w:val="32"/>
          <w:highlight w:val="none"/>
        </w:rPr>
        <w:t>车</w:t>
      </w:r>
      <w:r>
        <w:rPr>
          <w:rFonts w:hint="eastAsia" w:ascii="仿宋_GB2312" w:eastAsia="仿宋_GB2312"/>
          <w:color w:val="auto"/>
          <w:sz w:val="32"/>
          <w:szCs w:val="32"/>
          <w:highlight w:val="none"/>
          <w:lang w:val="en-US" w:eastAsia="zh-CN"/>
        </w:rPr>
        <w:t>89</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特种车</w:t>
      </w:r>
      <w:r>
        <w:rPr>
          <w:rFonts w:hint="eastAsia" w:ascii="仿宋_GB2312" w:eastAsia="仿宋_GB2312"/>
          <w:color w:val="auto"/>
          <w:sz w:val="32"/>
          <w:szCs w:val="32"/>
          <w:highlight w:val="none"/>
          <w:lang w:val="en-US" w:eastAsia="zh-CN"/>
        </w:rPr>
        <w:t>66辆、执法车2辆，其他车20辆。</w:t>
      </w:r>
    </w:p>
    <w:p>
      <w:pPr>
        <w:ind w:firstLine="643" w:firstLineChars="20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20.55</w:t>
      </w:r>
      <w:r>
        <w:rPr>
          <w:rFonts w:hint="eastAsia" w:ascii="仿宋_GB2312" w:eastAsia="仿宋_GB2312"/>
          <w:sz w:val="32"/>
          <w:szCs w:val="32"/>
        </w:rPr>
        <w:t>万元。主要用于</w:t>
      </w:r>
      <w:r>
        <w:rPr>
          <w:rFonts w:hint="eastAsia" w:ascii="仿宋_GB2312" w:hAnsi="仿宋_GB2312" w:eastAsia="仿宋_GB2312" w:cs="仿宋_GB2312"/>
          <w:sz w:val="32"/>
          <w:szCs w:val="32"/>
        </w:rPr>
        <w:t>交通运输综合执法、公路建设及养护检查、道路水路运输服务等所需的公务用车燃料费、维修费、过路过桥费、保险费等支出。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2.62</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Fonts w:hint="eastAsia" w:eastAsia="仿宋"/>
          <w:sz w:val="32"/>
          <w:szCs w:val="32"/>
          <w:lang w:val="en-US" w:eastAsia="zh-CN"/>
        </w:rPr>
        <w:t>100</w:t>
      </w:r>
      <w:r>
        <w:rPr>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公务接待费支出决算比202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eastAsia="zh-CN"/>
        </w:rPr>
        <w:t>减少</w:t>
      </w:r>
      <w:r>
        <w:rPr>
          <w:rFonts w:hint="eastAsia" w:ascii="仿宋_GB2312" w:eastAsia="仿宋_GB2312"/>
          <w:sz w:val="32"/>
          <w:szCs w:val="32"/>
          <w:lang w:val="en-US" w:eastAsia="zh-CN"/>
        </w:rPr>
        <w:t>2.63</w:t>
      </w:r>
      <w:r>
        <w:rPr>
          <w:rFonts w:hint="eastAsia" w:ascii="仿宋_GB2312" w:eastAsia="仿宋_GB2312"/>
          <w:sz w:val="32"/>
          <w:szCs w:val="32"/>
        </w:rPr>
        <w:t>万元，</w:t>
      </w:r>
      <w:r>
        <w:rPr>
          <w:rFonts w:hint="eastAsia" w:ascii="仿宋_GB2312" w:eastAsia="仿宋_GB2312"/>
          <w:sz w:val="32"/>
          <w:szCs w:val="32"/>
          <w:lang w:eastAsia="zh-CN"/>
        </w:rPr>
        <w:t>降低</w:t>
      </w:r>
      <w:r>
        <w:rPr>
          <w:rFonts w:hint="eastAsia" w:ascii="仿宋_GB2312" w:eastAsia="仿宋_GB2312"/>
          <w:sz w:val="32"/>
          <w:szCs w:val="32"/>
          <w:lang w:val="en-US" w:eastAsia="zh-CN"/>
        </w:rPr>
        <w:t>100.38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压缩开支</w:t>
      </w:r>
      <w:r>
        <w:rPr>
          <w:rFonts w:hint="eastAsia" w:ascii="仿宋_GB2312" w:eastAsia="仿宋_GB2312"/>
          <w:color w:val="auto"/>
          <w:sz w:val="32"/>
          <w:szCs w:val="32"/>
          <w:lang w:eastAsia="zh-CN"/>
        </w:rPr>
        <w:t>，</w:t>
      </w:r>
      <w:r>
        <w:rPr>
          <w:rFonts w:hint="eastAsia" w:ascii="仿宋_GB2312" w:eastAsia="仿宋_GB2312"/>
          <w:sz w:val="32"/>
          <w:szCs w:val="32"/>
        </w:rPr>
        <w:t>其中：</w:t>
      </w:r>
    </w:p>
    <w:p>
      <w:pPr>
        <w:spacing w:line="600" w:lineRule="exact"/>
        <w:ind w:firstLine="640"/>
        <w:rPr>
          <w:rFonts w:hint="eastAsia" w:ascii="仿宋_GB2312" w:eastAsia="仿宋_GB2312"/>
          <w:color w:val="FF0000"/>
          <w:sz w:val="32"/>
          <w:szCs w:val="32"/>
        </w:rPr>
      </w:pPr>
      <w:r>
        <w:rPr>
          <w:rFonts w:hint="eastAsia" w:ascii="仿宋" w:hAnsi="仿宋" w:eastAsia="仿宋"/>
          <w:b/>
          <w:sz w:val="32"/>
          <w:szCs w:val="32"/>
        </w:rPr>
        <w:t>国内公务接待支出</w:t>
      </w:r>
      <w:r>
        <w:rPr>
          <w:rFonts w:hint="eastAsia" w:hAnsi="仿宋"/>
          <w:sz w:val="32"/>
          <w:szCs w:val="32"/>
          <w:lang w:val="en-US" w:eastAsia="zh-CN"/>
        </w:rPr>
        <w:t>2.62</w:t>
      </w:r>
      <w:r>
        <w:rPr>
          <w:rFonts w:hint="eastAsia" w:ascii="仿宋_GB2312" w:eastAsia="仿宋_GB2312"/>
          <w:sz w:val="32"/>
          <w:szCs w:val="32"/>
        </w:rPr>
        <w:t>万元，</w:t>
      </w:r>
      <w:r>
        <w:rPr>
          <w:rFonts w:hint="eastAsia" w:ascii="仿宋_GB2312" w:eastAsia="仿宋_GB2312"/>
          <w:color w:val="auto"/>
          <w:sz w:val="32"/>
          <w:szCs w:val="32"/>
        </w:rPr>
        <w:t>主要用于</w:t>
      </w:r>
      <w:r>
        <w:rPr>
          <w:rFonts w:hint="eastAsia" w:ascii="仿宋_GB2312" w:hAnsi="仿宋_GB2312" w:eastAsia="仿宋_GB2312" w:cs="仿宋_GB2312"/>
          <w:color w:val="auto"/>
          <w:sz w:val="32"/>
          <w:szCs w:val="32"/>
        </w:rPr>
        <w:t>上级部门来攀检查接待、规划评审、民航对接、铁路部门对接等业务活动开支的用餐费等</w:t>
      </w:r>
      <w:r>
        <w:rPr>
          <w:rFonts w:hint="eastAsia" w:ascii="仿宋_GB2312" w:eastAsia="仿宋_GB2312"/>
          <w:color w:val="auto"/>
          <w:sz w:val="32"/>
          <w:szCs w:val="32"/>
        </w:rPr>
        <w:t>。</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25</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156</w:t>
      </w:r>
      <w:r>
        <w:rPr>
          <w:rFonts w:hint="eastAsia" w:ascii="Times New Roman" w:hAnsi="Times New Roman" w:eastAsia="仿宋_GB2312" w:cs="仿宋_GB2312"/>
          <w:color w:val="auto"/>
          <w:kern w:val="2"/>
          <w:sz w:val="32"/>
          <w:szCs w:val="32"/>
          <w:highlight w:val="none"/>
          <w:lang w:val="en-US" w:eastAsia="zh-CN" w:bidi="ar-SA"/>
        </w:rPr>
        <w:t>人次（不包括陪同人员），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2.62</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局机关</w:t>
      </w:r>
      <w:r>
        <w:rPr>
          <w:rFonts w:hint="eastAsia" w:ascii="仿宋_GB2312" w:hAnsi="仿宋_GB2312" w:eastAsia="仿宋_GB2312" w:cs="仿宋_GB2312"/>
          <w:b w:val="0"/>
          <w:bCs/>
          <w:color w:val="auto"/>
          <w:sz w:val="32"/>
          <w:szCs w:val="32"/>
          <w:lang w:eastAsia="zh-CN"/>
        </w:rPr>
        <w:t>接待农村公路立法调研</w:t>
      </w:r>
      <w:r>
        <w:rPr>
          <w:rFonts w:hint="eastAsia" w:ascii="仿宋_GB2312" w:hAnsi="仿宋_GB2312" w:eastAsia="仿宋_GB2312" w:cs="仿宋_GB2312"/>
          <w:b w:val="0"/>
          <w:bCs/>
          <w:color w:val="auto"/>
          <w:sz w:val="32"/>
          <w:szCs w:val="32"/>
          <w:lang w:val="en-US" w:eastAsia="zh-CN"/>
        </w:rPr>
        <w:t>0.15万元，接待省厅安全督导组0.1万元，接待省交院工作交流0.11万元，接待省厅汛期安全生产督导0.11万元，接待厅公路局安全检查0.2万元，接待省厅节前安全检查0.11万元，接待省厅普通公路养护项目评价0.11万元，</w:t>
      </w:r>
      <w:r>
        <w:rPr>
          <w:rFonts w:hint="eastAsia" w:ascii="仿宋_GB2312" w:hAnsi="仿宋_GB2312" w:eastAsia="仿宋_GB2312" w:cs="仿宋_GB2312"/>
          <w:b w:val="0"/>
          <w:bCs/>
          <w:color w:val="auto"/>
          <w:sz w:val="32"/>
          <w:szCs w:val="32"/>
          <w:highlight w:val="none"/>
          <w:lang w:val="en-US" w:eastAsia="zh-CN"/>
        </w:rPr>
        <w:t>交通部金沙江下游航道运输需求调研0.12万元，</w:t>
      </w:r>
      <w:r>
        <w:rPr>
          <w:rFonts w:hint="eastAsia" w:eastAsia="仿宋_GB2312" w:cs="仿宋_GB2312"/>
          <w:color w:val="auto"/>
          <w:kern w:val="2"/>
          <w:sz w:val="32"/>
          <w:szCs w:val="32"/>
          <w:highlight w:val="none"/>
          <w:lang w:val="en-US" w:eastAsia="zh-CN" w:bidi="ar-SA"/>
        </w:rPr>
        <w:t>南</w:t>
      </w:r>
      <w:r>
        <w:rPr>
          <w:rFonts w:hint="eastAsia" w:ascii="Times New Roman" w:hAnsi="Times New Roman" w:eastAsia="仿宋_GB2312" w:cs="仿宋_GB2312"/>
          <w:color w:val="auto"/>
          <w:kern w:val="2"/>
          <w:sz w:val="32"/>
          <w:szCs w:val="32"/>
          <w:highlight w:val="none"/>
          <w:lang w:val="en-US" w:eastAsia="zh-CN" w:bidi="ar-SA"/>
        </w:rPr>
        <w:t>充市交通运输运行调度中心来攀接待费</w:t>
      </w:r>
      <w:r>
        <w:rPr>
          <w:rFonts w:hint="eastAsia" w:eastAsia="仿宋_GB2312" w:cs="仿宋_GB2312"/>
          <w:color w:val="auto"/>
          <w:kern w:val="2"/>
          <w:sz w:val="32"/>
          <w:szCs w:val="32"/>
          <w:highlight w:val="none"/>
          <w:lang w:val="en-US" w:eastAsia="zh-CN" w:bidi="ar-SA"/>
        </w:rPr>
        <w:t>0.23万元</w:t>
      </w:r>
      <w:r>
        <w:rPr>
          <w:rFonts w:hint="eastAsia" w:ascii="Times New Roman" w:hAnsi="Times New Roman" w:eastAsia="仿宋_GB2312" w:cs="仿宋_GB2312"/>
          <w:color w:val="auto"/>
          <w:kern w:val="2"/>
          <w:sz w:val="32"/>
          <w:szCs w:val="32"/>
          <w:highlight w:val="none"/>
          <w:lang w:val="en-US" w:eastAsia="zh-CN" w:bidi="ar-SA"/>
        </w:rPr>
        <w:t>、成都市交通运输局来我市开展12328交通运输服务监督热线运行管理专项评估接待费</w:t>
      </w:r>
      <w:r>
        <w:rPr>
          <w:rFonts w:hint="eastAsia" w:eastAsia="仿宋_GB2312" w:cs="仿宋_GB2312"/>
          <w:color w:val="auto"/>
          <w:kern w:val="2"/>
          <w:sz w:val="32"/>
          <w:szCs w:val="32"/>
          <w:highlight w:val="none"/>
          <w:lang w:val="en-US" w:eastAsia="zh-CN" w:bidi="ar-SA"/>
        </w:rPr>
        <w:t>0.11万元</w:t>
      </w:r>
      <w:r>
        <w:rPr>
          <w:rFonts w:hint="eastAsia" w:ascii="Times New Roman" w:hAnsi="Times New Roman" w:eastAsia="仿宋_GB2312" w:cs="仿宋_GB2312"/>
          <w:color w:val="auto"/>
          <w:kern w:val="2"/>
          <w:sz w:val="32"/>
          <w:szCs w:val="32"/>
          <w:highlight w:val="none"/>
          <w:lang w:val="en-US" w:eastAsia="zh-CN" w:bidi="ar-SA"/>
        </w:rPr>
        <w:t>、造价站接待省交通来攀开展造价管理工作调研接待费</w:t>
      </w:r>
      <w:r>
        <w:rPr>
          <w:rFonts w:hint="eastAsia" w:eastAsia="仿宋_GB2312" w:cs="仿宋_GB2312"/>
          <w:color w:val="auto"/>
          <w:kern w:val="2"/>
          <w:sz w:val="32"/>
          <w:szCs w:val="32"/>
          <w:highlight w:val="none"/>
          <w:lang w:val="en-US" w:eastAsia="zh-CN" w:bidi="ar-SA"/>
        </w:rPr>
        <w:t>0.09万元，</w:t>
      </w:r>
      <w:r>
        <w:rPr>
          <w:rFonts w:hint="eastAsia" w:ascii="仿宋_GB2312" w:eastAsia="仿宋_GB2312"/>
          <w:sz w:val="32"/>
          <w:szCs w:val="32"/>
        </w:rPr>
        <w:t>省航务海事中心春运期间安全检查接待费540元，汛期水上安全检查接待费665元，省航务海事中心环保督导工作接待费835元，省航务海事中心领导调研工作接待费600元，船员考试发证机构现场核查工作接待费730元</w:t>
      </w:r>
      <w:r>
        <w:rPr>
          <w:rFonts w:hint="eastAsia" w:ascii="仿宋_GB2312" w:eastAsia="仿宋_GB2312"/>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省运管局到我市加强两会期间道路运输安全生产检查接待费0.063万元、省厅第十督导组督导我市交通运输领域环境保护工作接待费0.032万元、运管局统计专家来攀公务接待费用0.075万元、厅运管局来攀检查接待费0.073万元,</w:t>
      </w:r>
      <w:r>
        <w:rPr>
          <w:rFonts w:hint="default" w:ascii="Times New Roman" w:hAnsi="Times New Roman" w:eastAsia="方正仿宋_GBK" w:cs="Times New Roman"/>
          <w:sz w:val="32"/>
          <w:szCs w:val="32"/>
        </w:rPr>
        <w:t>配合省厅开展2023年度合行政执法工作评议接待费1535元；协助会东交通运输局开展会东县东正物流有限公司联合检查接待费890元；配合省厅第十综合督导组开展春运交通运输安全督查工作接待费895元；省总队开展交通执法工作调研检查接待费1762元</w:t>
      </w:r>
      <w:r>
        <w:rPr>
          <w:rFonts w:hint="eastAsia" w:ascii="仿宋_GB2312" w:hAnsi="仿宋_GB2312" w:eastAsia="仿宋_GB2312" w:cs="仿宋_GB2312"/>
          <w:b w:val="0"/>
          <w:bCs/>
          <w:color w:val="auto"/>
          <w:sz w:val="32"/>
          <w:szCs w:val="32"/>
          <w:highlight w:val="none"/>
          <w:lang w:val="en-US" w:eastAsia="zh-CN"/>
        </w:rPr>
        <w:t>。</w:t>
      </w:r>
    </w:p>
    <w:p>
      <w:pPr>
        <w:spacing w:line="600" w:lineRule="exact"/>
        <w:ind w:firstLine="643" w:firstLineChars="200"/>
        <w:rPr>
          <w:rFonts w:ascii="黑体" w:eastAsia="黑体"/>
          <w:color w:val="auto"/>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bookmarkStart w:id="62" w:name="_Toc15377218"/>
      <w:bookmarkStart w:id="63" w:name="_Toc15396610"/>
    </w:p>
    <w:p>
      <w:pPr>
        <w:spacing w:line="600" w:lineRule="exact"/>
        <w:ind w:firstLine="640"/>
        <w:outlineLvl w:val="1"/>
        <w:rPr>
          <w:rStyle w:val="33"/>
          <w:rFonts w:ascii="黑体" w:hAnsi="黑体" w:eastAsia="黑体"/>
        </w:rPr>
      </w:pPr>
      <w:bookmarkStart w:id="64" w:name="_Toc5439"/>
      <w:r>
        <w:rPr>
          <w:rFonts w:hint="eastAsia" w:ascii="黑体" w:eastAsia="黑体"/>
          <w:sz w:val="32"/>
          <w:szCs w:val="32"/>
        </w:rPr>
        <w:t>八、</w:t>
      </w:r>
      <w:r>
        <w:rPr>
          <w:rStyle w:val="33"/>
          <w:rFonts w:hint="eastAsia" w:ascii="黑体" w:hAnsi="黑体" w:eastAsia="黑体"/>
          <w:b w:val="0"/>
        </w:rPr>
        <w:t>政府性基金预算支出决算情况说明</w:t>
      </w:r>
      <w:bookmarkEnd w:id="62"/>
      <w:bookmarkEnd w:id="63"/>
      <w:bookmarkEnd w:id="64"/>
    </w:p>
    <w:p>
      <w:pPr>
        <w:spacing w:line="600" w:lineRule="exact"/>
        <w:ind w:firstLine="640"/>
        <w:rPr>
          <w:rFonts w:hint="default" w:ascii="仿宋_GB2312" w:eastAsia="仿宋_GB2312"/>
          <w:sz w:val="32"/>
          <w:szCs w:val="32"/>
          <w:lang w:val="en-US"/>
        </w:rPr>
      </w:pPr>
      <w:bookmarkStart w:id="65" w:name="_Toc15396611"/>
      <w:bookmarkStart w:id="66" w:name="_Toc15377219"/>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17166.89</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39.86</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w:t>
      </w:r>
      <w:r>
        <w:rPr>
          <w:rFonts w:hint="eastAsia" w:eastAsia="仿宋_GB2312" w:cs="仿宋_GB2312"/>
          <w:color w:val="auto"/>
          <w:kern w:val="2"/>
          <w:sz w:val="32"/>
          <w:szCs w:val="32"/>
          <w:highlight w:val="none"/>
          <w:lang w:val="en-US" w:eastAsia="zh-CN" w:bidi="ar-SA"/>
        </w:rPr>
        <w:t>17147.94</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90490.45</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安排偿还金沙江三堆子大桥债务资金15916万元。</w:t>
      </w:r>
    </w:p>
    <w:p>
      <w:pPr>
        <w:numPr>
          <w:ilvl w:val="0"/>
          <w:numId w:val="3"/>
        </w:numPr>
        <w:spacing w:line="600" w:lineRule="exact"/>
        <w:ind w:firstLine="640"/>
        <w:outlineLvl w:val="1"/>
        <w:rPr>
          <w:rStyle w:val="33"/>
          <w:rFonts w:ascii="黑体" w:hAnsi="黑体" w:eastAsia="黑体"/>
          <w:b w:val="0"/>
        </w:rPr>
      </w:pPr>
      <w:bookmarkStart w:id="67" w:name="_Toc12260"/>
      <w:r>
        <w:rPr>
          <w:rStyle w:val="33"/>
          <w:rFonts w:hint="eastAsia" w:ascii="黑体" w:hAnsi="黑体" w:eastAsia="黑体"/>
          <w:b w:val="0"/>
        </w:rPr>
        <w:t>国有资本经营预算支出决算情况说明</w:t>
      </w:r>
      <w:bookmarkEnd w:id="65"/>
      <w:bookmarkEnd w:id="66"/>
      <w:bookmarkEnd w:id="67"/>
    </w:p>
    <w:p>
      <w:pPr>
        <w:spacing w:line="600" w:lineRule="exact"/>
        <w:ind w:firstLine="640"/>
        <w:rPr>
          <w:rFonts w:ascii="仿宋_GB2312" w:eastAsia="仿宋_GB2312"/>
          <w:sz w:val="32"/>
          <w:szCs w:val="32"/>
        </w:rPr>
      </w:pPr>
      <w:bookmarkStart w:id="68" w:name="_Toc15377221"/>
      <w:bookmarkStart w:id="69" w:name="_Toc15396612"/>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年度国有资本经营预算财政拨款支出</w:t>
      </w:r>
      <w:r>
        <w:rPr>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3"/>
          <w:rFonts w:ascii="黑体" w:hAnsi="黑体" w:eastAsia="黑体"/>
          <w:b w:val="0"/>
        </w:rPr>
      </w:pPr>
      <w:bookmarkStart w:id="70" w:name="_Toc9105"/>
      <w:r>
        <w:rPr>
          <w:rStyle w:val="33"/>
          <w:rFonts w:hint="eastAsia" w:ascii="黑体" w:hAnsi="黑体" w:eastAsia="黑体"/>
          <w:b w:val="0"/>
        </w:rPr>
        <w:t>其他重要事项的情况说明</w:t>
      </w:r>
      <w:bookmarkEnd w:id="68"/>
      <w:bookmarkEnd w:id="69"/>
      <w:bookmarkEnd w:id="70"/>
    </w:p>
    <w:p>
      <w:pPr>
        <w:spacing w:line="600" w:lineRule="exact"/>
        <w:ind w:firstLine="643" w:firstLineChars="200"/>
        <w:outlineLvl w:val="2"/>
        <w:rPr>
          <w:rFonts w:ascii="仿宋" w:hAnsi="仿宋" w:eastAsia="仿宋"/>
          <w:sz w:val="32"/>
          <w:szCs w:val="32"/>
        </w:rPr>
      </w:pPr>
      <w:bookmarkStart w:id="71" w:name="_Toc15377222"/>
      <w:r>
        <w:rPr>
          <w:rFonts w:hint="eastAsia" w:ascii="仿宋" w:hAnsi="仿宋" w:eastAsia="仿宋"/>
          <w:b/>
          <w:sz w:val="32"/>
          <w:szCs w:val="32"/>
        </w:rPr>
        <w:t>（一）机关运行经费支出情况</w:t>
      </w:r>
      <w:bookmarkEnd w:id="71"/>
    </w:p>
    <w:p>
      <w:pPr>
        <w:spacing w:line="600" w:lineRule="exact"/>
        <w:ind w:firstLine="640"/>
        <w:rPr>
          <w:rFonts w:ascii="仿宋_GB2312" w:eastAsia="仿宋_GB2312"/>
          <w:sz w:val="32"/>
          <w:szCs w:val="32"/>
        </w:rPr>
      </w:pPr>
      <w:bookmarkStart w:id="72" w:name="_Toc15377223"/>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攀枝花市交通运输局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644.5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78.14</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13.8</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仿宋_GB2312" w:eastAsia="仿宋_GB2312"/>
          <w:sz w:val="32"/>
          <w:szCs w:val="32"/>
        </w:rPr>
        <w:t>主要原因是</w:t>
      </w:r>
      <w:r>
        <w:rPr>
          <w:rFonts w:hint="eastAsia" w:ascii="仿宋_GB2312" w:eastAsia="仿宋_GB2312"/>
          <w:sz w:val="32"/>
          <w:szCs w:val="32"/>
          <w:lang w:eastAsia="zh-CN"/>
        </w:rPr>
        <w:t>人员经费正常增长。</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72"/>
    </w:p>
    <w:p>
      <w:pPr>
        <w:spacing w:line="600" w:lineRule="exact"/>
        <w:ind w:firstLine="640" w:firstLineChars="200"/>
        <w:rPr>
          <w:rFonts w:hint="eastAsia" w:ascii="仿宋_GB2312" w:eastAsia="仿宋_GB2312"/>
          <w:sz w:val="32"/>
          <w:szCs w:val="32"/>
        </w:rPr>
      </w:pPr>
      <w:bookmarkStart w:id="73" w:name="_Toc15377224"/>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攀枝花市交通运输局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3812.92</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2.96</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3550.68</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259.27</w:t>
      </w:r>
      <w:r>
        <w:rPr>
          <w:rFonts w:hint="eastAsia" w:ascii="仿宋_GB2312" w:hAnsi="仿宋_GB2312" w:eastAsia="仿宋_GB2312" w:cs="仿宋_GB2312"/>
          <w:color w:val="auto"/>
          <w:kern w:val="2"/>
          <w:sz w:val="32"/>
          <w:szCs w:val="32"/>
          <w:highlight w:val="none"/>
          <w:lang w:val="en-US" w:eastAsia="zh-CN" w:bidi="ar-SA"/>
        </w:rPr>
        <w:t>万元。主要用于火车南站长途客运站和公交换乘枢纽站后续工程项目、局机关通信网络租用服务、政府机关第十一食堂劳务采购、</w:t>
      </w:r>
      <w:r>
        <w:rPr>
          <w:rFonts w:hint="eastAsia" w:ascii="仿宋" w:hAnsi="仿宋" w:eastAsia="仿宋" w:cs="仿宋"/>
          <w:sz w:val="32"/>
          <w:szCs w:val="32"/>
        </w:rPr>
        <w:t>市普通干线公路智能运行网高位视频监测</w:t>
      </w:r>
      <w:r>
        <w:rPr>
          <w:rFonts w:hint="eastAsia" w:ascii="仿宋" w:hAnsi="仿宋" w:eastAsia="仿宋" w:cs="仿宋"/>
          <w:sz w:val="32"/>
          <w:szCs w:val="32"/>
          <w:lang w:eastAsia="zh-CN"/>
        </w:rPr>
        <w:t>、车辆运行采购</w:t>
      </w:r>
      <w:r>
        <w:rPr>
          <w:rFonts w:hint="eastAsia" w:ascii="仿宋_GB2312" w:hAnsi="仿宋_GB2312" w:eastAsia="仿宋_GB2312" w:cs="仿宋_GB2312"/>
          <w:color w:val="auto"/>
          <w:kern w:val="2"/>
          <w:sz w:val="32"/>
          <w:szCs w:val="32"/>
          <w:highlight w:val="none"/>
          <w:lang w:val="en-US" w:eastAsia="zh-CN" w:bidi="ar-SA"/>
        </w:rPr>
        <w:t>。授予中小企业合同金额</w:t>
      </w:r>
      <w:r>
        <w:rPr>
          <w:rFonts w:hint="eastAsia" w:ascii="仿宋_GB2312" w:hAnsi="仿宋_GB2312" w:eastAsia="仿宋_GB2312" w:cs="仿宋_GB2312"/>
          <w:sz w:val="32"/>
          <w:szCs w:val="32"/>
        </w:rPr>
        <w:t>3759.49</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98.59</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3650.96</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95.75</w:t>
      </w:r>
      <w:r>
        <w:rPr>
          <w:rFonts w:hint="eastAsia" w:ascii="仿宋_GB2312" w:hAnsi="仿宋_GB2312" w:eastAsia="仿宋_GB2312" w:cs="仿宋_GB2312"/>
          <w:color w:val="auto"/>
          <w:kern w:val="2"/>
          <w:sz w:val="32"/>
          <w:szCs w:val="32"/>
          <w:highlight w:val="none"/>
          <w:lang w:val="en-US" w:eastAsia="zh-CN" w:bidi="ar-SA"/>
        </w:rPr>
        <w:t>%。</w:t>
      </w:r>
    </w:p>
    <w:p>
      <w:pPr>
        <w:autoSpaceDE w:val="0"/>
        <w:autoSpaceDN w:val="0"/>
        <w:adjustRightInd w:val="0"/>
        <w:spacing w:line="600" w:lineRule="exact"/>
        <w:ind w:firstLine="643" w:firstLineChars="200"/>
        <w:jc w:val="left"/>
        <w:outlineLvl w:val="2"/>
      </w:pPr>
      <w:r>
        <w:rPr>
          <w:rFonts w:hint="eastAsia" w:ascii="仿宋" w:hAnsi="仿宋" w:eastAsia="仿宋"/>
          <w:b/>
          <w:sz w:val="32"/>
          <w:szCs w:val="32"/>
        </w:rPr>
        <w:t>（三）国有资产占有使用情况</w:t>
      </w:r>
      <w:bookmarkEnd w:id="73"/>
    </w:p>
    <w:p>
      <w:pPr>
        <w:spacing w:line="600" w:lineRule="exact"/>
        <w:ind w:firstLine="640"/>
        <w:rPr>
          <w:rFonts w:hint="eastAsia" w:ascii="仿宋_GB2312" w:eastAsia="仿宋_GB2312"/>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highlight w:val="none"/>
        </w:rPr>
        <w:t>攀枝花市交通运输局</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highlight w:val="none"/>
          <w:lang w:val="en-US" w:eastAsia="zh-CN"/>
        </w:rPr>
        <w:t>89</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highlight w:val="none"/>
          <w:lang w:val="en-US" w:eastAsia="zh-CN"/>
        </w:rPr>
        <w:t>89</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ascii="仿宋_GB2312" w:hAnsi="仿宋_GB2312" w:eastAsia="仿宋_GB2312" w:cs="仿宋_GB2312"/>
          <w:color w:val="auto"/>
          <w:sz w:val="32"/>
          <w:szCs w:val="32"/>
          <w:highlight w:val="none"/>
        </w:rPr>
        <w:t>交通公路建设及养护检查、道路水路运输</w:t>
      </w:r>
      <w:r>
        <w:rPr>
          <w:rFonts w:hint="eastAsia" w:ascii="仿宋_GB2312" w:hAnsi="仿宋_GB2312" w:eastAsia="仿宋_GB2312" w:cs="仿宋_GB2312"/>
          <w:color w:val="auto"/>
          <w:sz w:val="32"/>
          <w:szCs w:val="32"/>
          <w:highlight w:val="none"/>
          <w:lang w:eastAsia="zh-CN"/>
        </w:rPr>
        <w:t>安全巡查、交通执法检查</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根据预算绩效管理要求，本部门在202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年度预算编制阶段，组织对</w:t>
      </w:r>
      <w:r>
        <w:rPr>
          <w:rFonts w:hint="eastAsia" w:ascii="仿宋" w:hAnsi="仿宋" w:eastAsia="仿宋" w:cs="仿宋"/>
          <w:color w:val="auto"/>
          <w:sz w:val="32"/>
          <w:szCs w:val="32"/>
          <w:lang w:eastAsia="zh-CN"/>
        </w:rPr>
        <w:t>攀枝花机场站坪扩建和盲降系统工程</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rPr>
        <w:t>个项</w:t>
      </w:r>
      <w:r>
        <w:rPr>
          <w:rFonts w:hint="eastAsia" w:ascii="仿宋_GB2312" w:hAnsi="仿宋_GB2312" w:eastAsia="仿宋_GB2312" w:cs="仿宋_GB2312"/>
          <w:sz w:val="32"/>
          <w:szCs w:val="32"/>
          <w:highlight w:val="none"/>
        </w:rPr>
        <w:t>目开展了预算事前绩效评</w:t>
      </w:r>
      <w:r>
        <w:rPr>
          <w:rFonts w:hint="eastAsia" w:ascii="仿宋_GB2312" w:hAnsi="仿宋_GB2312" w:eastAsia="仿宋_GB2312" w:cs="仿宋_GB2312"/>
          <w:color w:val="auto"/>
          <w:sz w:val="32"/>
          <w:szCs w:val="32"/>
          <w:highlight w:val="none"/>
        </w:rPr>
        <w:t>估，对</w:t>
      </w: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41</w:t>
      </w:r>
      <w:r>
        <w:rPr>
          <w:rFonts w:hint="eastAsia" w:ascii="仿宋_GB2312" w:hAnsi="仿宋_GB2312" w:eastAsia="仿宋_GB2312" w:cs="仿宋_GB2312"/>
          <w:color w:val="auto"/>
          <w:sz w:val="32"/>
          <w:szCs w:val="32"/>
          <w:highlight w:val="none"/>
        </w:rPr>
        <w:t>个项目开展绩效监控</w:t>
      </w:r>
      <w:r>
        <w:rPr>
          <w:rFonts w:hint="eastAsia" w:ascii="仿宋_GB2312" w:hAnsi="仿宋_GB2312" w:eastAsia="仿宋_GB2312" w:cs="仿宋_GB2312"/>
          <w:sz w:val="32"/>
          <w:szCs w:val="32"/>
          <w:highlight w:val="none"/>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年度一般公共预算、政府性基金预算全面开展绩效自评，形成</w:t>
      </w:r>
      <w:r>
        <w:rPr>
          <w:rFonts w:hint="eastAsia" w:ascii="仿宋_GB2312" w:hAnsi="仿宋_GB2312" w:eastAsia="仿宋_GB2312" w:cs="仿宋_GB2312"/>
          <w:sz w:val="32"/>
          <w:szCs w:val="32"/>
          <w:lang w:eastAsia="zh-CN"/>
        </w:rPr>
        <w:t>攀枝花市交通运输局</w:t>
      </w:r>
      <w:r>
        <w:rPr>
          <w:rFonts w:hint="eastAsia" w:ascii="仿宋_GB2312" w:hAnsi="仿宋_GB2312" w:eastAsia="仿宋_GB2312" w:cs="仿宋_GB2312"/>
          <w:sz w:val="32"/>
          <w:szCs w:val="32"/>
        </w:rPr>
        <w:t>部门整体（含部门预算项目）绩效自评报告、</w:t>
      </w:r>
      <w:r>
        <w:rPr>
          <w:rFonts w:hint="eastAsia" w:ascii="仿宋" w:hAnsi="仿宋" w:eastAsia="仿宋" w:cs="仿宋"/>
          <w:color w:val="auto"/>
          <w:sz w:val="32"/>
          <w:szCs w:val="32"/>
          <w:lang w:eastAsia="zh-CN"/>
        </w:rPr>
        <w:t>攀枝花机场站坪扩建和盲降系统工程</w:t>
      </w:r>
      <w:r>
        <w:rPr>
          <w:rFonts w:hint="eastAsia" w:ascii="仿宋_GB2312" w:hAnsi="仿宋_GB2312" w:eastAsia="仿宋_GB2312" w:cs="仿宋_GB2312"/>
          <w:sz w:val="32"/>
          <w:szCs w:val="32"/>
        </w:rPr>
        <w:t>等专项预算项目绩效自评报告，其中，</w:t>
      </w:r>
      <w:r>
        <w:rPr>
          <w:rFonts w:hint="eastAsia" w:ascii="仿宋_GB2312" w:hAnsi="仿宋_GB2312" w:eastAsia="仿宋_GB2312" w:cs="仿宋_GB2312"/>
          <w:sz w:val="32"/>
          <w:szCs w:val="32"/>
          <w:lang w:eastAsia="zh-CN"/>
        </w:rPr>
        <w:t>攀枝花市交通运输局</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highlight w:val="none"/>
          <w:lang w:val="en-US" w:eastAsia="zh-CN"/>
        </w:rPr>
        <w:t>89</w:t>
      </w:r>
      <w:r>
        <w:rPr>
          <w:rFonts w:hint="eastAsia" w:ascii="仿宋_GB2312" w:hAnsi="仿宋_GB2312" w:eastAsia="仿宋_GB2312" w:cs="仿宋_GB2312"/>
          <w:sz w:val="32"/>
          <w:szCs w:val="32"/>
        </w:rPr>
        <w:t>分，绩效自评综述：</w:t>
      </w:r>
      <w:r>
        <w:rPr>
          <w:rFonts w:hint="eastAsia" w:ascii="仿宋" w:hAnsi="仿宋" w:eastAsia="仿宋" w:cs="仿宋"/>
          <w:color w:val="000000"/>
          <w:kern w:val="2"/>
          <w:sz w:val="32"/>
          <w:szCs w:val="32"/>
          <w:shd w:val="clear" w:fill="FFFFFF"/>
          <w:lang w:val="en-US" w:eastAsia="zh-CN" w:bidi="ar"/>
        </w:rPr>
        <w:t>通过绩效评价，部门年初制定目标基本实现，重点评价数量和质量基本达到预期，资金管理到位、组织和制度保障体系比较健全。</w:t>
      </w:r>
      <w:r>
        <w:rPr>
          <w:rFonts w:hint="eastAsia" w:ascii="仿宋_GB2312" w:hAnsi="仿宋_GB2312" w:eastAsia="仿宋_GB2312" w:cs="仿宋_GB2312"/>
          <w:sz w:val="32"/>
          <w:szCs w:val="32"/>
        </w:rPr>
        <w:t>绩效自评报告详见附件。</w:t>
      </w:r>
    </w:p>
    <w:p>
      <w:pPr>
        <w:pStyle w:val="2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
      <w:pPr>
        <w:numPr>
          <w:ilvl w:val="0"/>
          <w:numId w:val="4"/>
        </w:numPr>
        <w:spacing w:line="600" w:lineRule="exact"/>
        <w:ind w:firstLine="660" w:firstLineChars="150"/>
        <w:jc w:val="center"/>
        <w:outlineLvl w:val="0"/>
        <w:rPr>
          <w:rStyle w:val="32"/>
          <w:rFonts w:ascii="黑体" w:hAnsi="黑体" w:eastAsia="黑体"/>
          <w:b w:val="0"/>
        </w:rPr>
      </w:pPr>
      <w:bookmarkStart w:id="74" w:name="_Toc23400"/>
      <w:bookmarkStart w:id="75" w:name="_Toc15377225"/>
      <w:bookmarkStart w:id="76" w:name="_Toc15396613"/>
      <w:r>
        <w:rPr>
          <w:rFonts w:hint="eastAsia" w:ascii="黑体" w:hAnsi="黑体" w:eastAsia="黑体"/>
          <w:sz w:val="44"/>
          <w:szCs w:val="44"/>
        </w:rPr>
        <w:t>名</w:t>
      </w:r>
      <w:r>
        <w:rPr>
          <w:rStyle w:val="32"/>
          <w:rFonts w:hint="eastAsia" w:ascii="黑体" w:hAnsi="黑体" w:eastAsia="黑体"/>
          <w:b w:val="0"/>
        </w:rPr>
        <w:t>词解释</w:t>
      </w:r>
      <w:bookmarkEnd w:id="74"/>
      <w:bookmarkEnd w:id="75"/>
      <w:bookmarkEnd w:id="76"/>
    </w:p>
    <w:p>
      <w:pPr>
        <w:spacing w:line="600" w:lineRule="exact"/>
        <w:jc w:val="left"/>
        <w:rPr>
          <w:rFonts w:ascii="宋体"/>
          <w:b/>
          <w:sz w:val="44"/>
          <w:szCs w:val="44"/>
        </w:rPr>
      </w:pPr>
    </w:p>
    <w:p>
      <w:pPr>
        <w:pStyle w:val="30"/>
        <w:spacing w:line="560" w:lineRule="exact"/>
        <w:ind w:firstLine="640" w:firstLineChars="200"/>
        <w:rPr>
          <w:rFonts w:hint="eastAsia" w:ascii="仿宋_GB2312" w:hAnsi="仿宋_GB2312" w:eastAsia="仿宋_GB2312" w:cs="仿宋_GB2312"/>
          <w:sz w:val="32"/>
          <w:szCs w:val="32"/>
        </w:rPr>
      </w:pPr>
      <w:bookmarkStart w:id="77" w:name="_Toc15377226"/>
      <w:bookmarkStart w:id="78" w:name="_Toc15396618"/>
      <w:r>
        <w:rPr>
          <w:rFonts w:hint="eastAsia" w:ascii="仿宋_GB2312" w:hAnsi="仿宋_GB2312" w:eastAsia="仿宋_GB2312" w:cs="仿宋_GB2312"/>
          <w:sz w:val="32"/>
          <w:szCs w:val="32"/>
        </w:rPr>
        <w:t>1.财政拨款收入：指单位从同级财政部门取得的财政预算资金。</w:t>
      </w:r>
    </w:p>
    <w:p>
      <w:pPr>
        <w:pStyle w:val="3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2.其他收入：指单位取得的除上述收入以外的各项收入。主要是非同级财政拨款收入等。</w:t>
      </w:r>
    </w:p>
    <w:p>
      <w:pPr>
        <w:pStyle w:val="3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3.使用非财政拨款结余：指事业单位使用以前年度积累的非财政拨款结余弥补当年收支差额的金额。 </w:t>
      </w:r>
    </w:p>
    <w:p>
      <w:pPr>
        <w:pStyle w:val="3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4.年初结转和结余：指以前年度尚未完成、结转到本年按有关规定继续使用的资金。 </w:t>
      </w:r>
    </w:p>
    <w:p>
      <w:pPr>
        <w:pStyle w:val="3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5.年末结转和结余：指单位按有关规定结转到下年或以后年度继续使用的资金。</w:t>
      </w:r>
    </w:p>
    <w:p>
      <w:pPr>
        <w:numPr>
          <w:ilvl w:val="0"/>
          <w:numId w:val="0"/>
        </w:num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6.一般公共服务支出（类）政府办公厅（室）及相关机构事务（款）行政运行（项）：指</w:t>
      </w:r>
      <w:r>
        <w:rPr>
          <w:rFonts w:hint="eastAsia" w:ascii="仿宋_GB2312" w:hAnsi="仿宋_GB2312" w:eastAsia="仿宋_GB2312" w:cs="仿宋_GB2312"/>
          <w:b w:val="0"/>
          <w:bCs/>
          <w:sz w:val="32"/>
          <w:szCs w:val="32"/>
          <w:lang w:eastAsia="zh-CN"/>
        </w:rPr>
        <w:t>行政单位（包括实行公务员管理的事业单位）的基本支出。</w:t>
      </w:r>
    </w:p>
    <w:p>
      <w:pPr>
        <w:numPr>
          <w:ilvl w:val="0"/>
          <w:numId w:val="0"/>
        </w:numPr>
        <w:ind w:firstLine="640" w:firstLineChars="200"/>
        <w:rPr>
          <w:rFonts w:hint="eastAsia"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7.</w:t>
      </w:r>
      <w:r>
        <w:rPr>
          <w:rFonts w:hint="eastAsia" w:ascii="仿宋_GB2312" w:hAnsi="仿宋_GB2312" w:eastAsia="仿宋_GB2312" w:cs="仿宋_GB2312"/>
          <w:b w:val="0"/>
          <w:bCs/>
          <w:sz w:val="32"/>
          <w:szCs w:val="32"/>
          <w:lang w:val="en-US" w:eastAsia="zh-CN"/>
        </w:rPr>
        <w:t>一般公共服务支出（类）纪检监察事务（款）派驻派出机构（项）：指由纪检监察部门负担的派驻各部门和单位的纪检监察人员的专项业务支出。</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8.</w:t>
      </w:r>
      <w:r>
        <w:rPr>
          <w:rFonts w:hint="eastAsia" w:ascii="仿宋_GB2312" w:hAnsi="仿宋_GB2312" w:eastAsia="仿宋_GB2312" w:cs="仿宋_GB2312"/>
          <w:b w:val="0"/>
          <w:bCs/>
          <w:sz w:val="32"/>
          <w:szCs w:val="32"/>
          <w:lang w:val="en-US" w:eastAsia="zh-CN"/>
        </w:rPr>
        <w:t>一般公共服务支出（类）组织事务（款）其他组织事务支出（项）：</w:t>
      </w:r>
      <w:r>
        <w:rPr>
          <w:rFonts w:hint="eastAsia" w:ascii="仿宋_GB2312" w:hAnsi="仿宋_GB2312" w:eastAsia="仿宋_GB2312" w:cs="仿宋_GB2312"/>
          <w:b w:val="0"/>
          <w:bCs/>
          <w:sz w:val="32"/>
          <w:szCs w:val="32"/>
          <w:lang w:eastAsia="zh-CN"/>
        </w:rPr>
        <w:t>指其他用于中国共产党组织部门的事务支出</w:t>
      </w:r>
      <w:r>
        <w:rPr>
          <w:rFonts w:hint="eastAsia" w:ascii="仿宋_GB2312" w:hAnsi="仿宋_GB2312" w:eastAsia="仿宋_GB2312" w:cs="仿宋_GB2312"/>
          <w:b w:val="0"/>
          <w:bCs/>
          <w:sz w:val="32"/>
          <w:szCs w:val="32"/>
        </w:rPr>
        <w:t>。</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9.</w:t>
      </w:r>
      <w:r>
        <w:rPr>
          <w:rFonts w:hint="eastAsia" w:ascii="仿宋_GB2312" w:hAnsi="仿宋_GB2312" w:eastAsia="仿宋_GB2312" w:cs="仿宋_GB2312"/>
          <w:b w:val="0"/>
          <w:bCs/>
          <w:sz w:val="32"/>
          <w:szCs w:val="32"/>
          <w:lang w:val="en-US" w:eastAsia="zh-CN"/>
        </w:rPr>
        <w:t>一般公共服务支出（类）组织事务（款）其他一般公共服务支出（项）：</w:t>
      </w:r>
      <w:r>
        <w:rPr>
          <w:rFonts w:hint="eastAsia" w:ascii="仿宋_GB2312" w:hAnsi="仿宋_GB2312" w:eastAsia="仿宋_GB2312" w:cs="仿宋_GB2312"/>
          <w:b w:val="0"/>
          <w:bCs/>
          <w:sz w:val="32"/>
          <w:szCs w:val="32"/>
          <w:lang w:eastAsia="zh-CN"/>
        </w:rPr>
        <w:t>指其他一般公共服务支出</w:t>
      </w:r>
      <w:r>
        <w:rPr>
          <w:rFonts w:hint="eastAsia" w:ascii="仿宋_GB2312" w:hAnsi="仿宋_GB2312" w:eastAsia="仿宋_GB2312" w:cs="仿宋_GB2312"/>
          <w:b w:val="0"/>
          <w:bCs/>
          <w:sz w:val="32"/>
          <w:szCs w:val="32"/>
        </w:rPr>
        <w:t>。</w:t>
      </w:r>
    </w:p>
    <w:p>
      <w:pPr>
        <w:pStyle w:val="2"/>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10.</w:t>
      </w:r>
      <w:r>
        <w:rPr>
          <w:rFonts w:hint="eastAsia" w:ascii="仿宋_GB2312" w:hAnsi="仿宋_GB2312" w:eastAsia="仿宋_GB2312" w:cs="仿宋_GB2312"/>
          <w:b w:val="0"/>
          <w:bCs/>
          <w:sz w:val="32"/>
          <w:szCs w:val="32"/>
        </w:rPr>
        <w:t>社会保障和就业支出（类）人力资源和社会保障管理事务（款）其他人力资源和社会保障管理事务支出（项）:</w:t>
      </w:r>
      <w:r>
        <w:rPr>
          <w:rFonts w:hint="eastAsia" w:hAnsi="仿宋_GB2312" w:cs="仿宋_GB2312"/>
          <w:b w:val="0"/>
          <w:bCs/>
          <w:sz w:val="32"/>
          <w:szCs w:val="32"/>
          <w:lang w:eastAsia="zh-CN"/>
        </w:rPr>
        <w:t>其他用于人力资源和社会保障事务方面的支出</w:t>
      </w:r>
      <w:r>
        <w:rPr>
          <w:rFonts w:hint="eastAsia" w:ascii="仿宋_GB2312" w:hAnsi="仿宋_GB2312" w:eastAsia="仿宋_GB2312" w:cs="仿宋_GB2312"/>
          <w:b w:val="0"/>
          <w:bCs/>
          <w:sz w:val="32"/>
          <w:szCs w:val="32"/>
        </w:rPr>
        <w:t>。</w:t>
      </w:r>
    </w:p>
    <w:p>
      <w:pPr>
        <w:ind w:firstLine="640" w:firstLineChars="20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11.</w:t>
      </w:r>
      <w:r>
        <w:rPr>
          <w:rFonts w:hint="eastAsia" w:ascii="仿宋_GB2312" w:hAnsi="仿宋_GB2312" w:eastAsia="仿宋_GB2312" w:cs="仿宋_GB2312"/>
          <w:b w:val="0"/>
          <w:bCs/>
          <w:sz w:val="32"/>
          <w:szCs w:val="32"/>
        </w:rPr>
        <w:t>社会保障和就业支出（类）行政事业单位养老支出（款）</w:t>
      </w:r>
      <w:r>
        <w:rPr>
          <w:rFonts w:hint="eastAsia" w:hAnsi="仿宋_GB2312" w:cs="仿宋_GB2312"/>
          <w:b w:val="0"/>
          <w:bCs/>
          <w:sz w:val="32"/>
          <w:szCs w:val="32"/>
          <w:lang w:eastAsia="zh-CN"/>
        </w:rPr>
        <w:t>行政</w:t>
      </w:r>
      <w:r>
        <w:rPr>
          <w:rFonts w:hint="eastAsia" w:ascii="仿宋_GB2312" w:hAnsi="仿宋_GB2312" w:eastAsia="仿宋_GB2312" w:cs="仿宋_GB2312"/>
          <w:b w:val="0"/>
          <w:bCs/>
          <w:sz w:val="32"/>
          <w:szCs w:val="32"/>
        </w:rPr>
        <w:t>单位离退休（项）:</w:t>
      </w:r>
      <w:r>
        <w:rPr>
          <w:rFonts w:hint="eastAsia" w:ascii="仿宋_GB2312" w:hAnsi="仿宋_GB2312" w:eastAsia="仿宋_GB2312" w:cs="仿宋_GB2312"/>
          <w:color w:val="000000"/>
          <w:sz w:val="32"/>
          <w:szCs w:val="32"/>
        </w:rPr>
        <w:t>指行政单位（包括实行公务员法管理的事业单位）开支的离退休经费。</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rPr>
        <w:t>社会保障和就业支出（类）行政事业单位养老支出（款）</w:t>
      </w:r>
      <w:r>
        <w:rPr>
          <w:rFonts w:hint="eastAsia" w:ascii="仿宋_GB2312" w:hAnsi="仿宋_GB2312" w:eastAsia="仿宋_GB2312" w:cs="仿宋_GB2312"/>
          <w:b w:val="0"/>
          <w:bCs/>
          <w:sz w:val="32"/>
          <w:szCs w:val="32"/>
          <w:lang w:eastAsia="zh-CN"/>
        </w:rPr>
        <w:t>事业</w:t>
      </w:r>
      <w:r>
        <w:rPr>
          <w:rFonts w:hint="eastAsia" w:ascii="仿宋_GB2312" w:hAnsi="仿宋_GB2312" w:eastAsia="仿宋_GB2312" w:cs="仿宋_GB2312"/>
          <w:b w:val="0"/>
          <w:bCs/>
          <w:sz w:val="32"/>
          <w:szCs w:val="32"/>
        </w:rPr>
        <w:t>单位离退休（项）:</w:t>
      </w:r>
      <w:r>
        <w:rPr>
          <w:rFonts w:hint="eastAsia" w:ascii="仿宋_GB2312" w:hAnsi="仿宋_GB2312" w:eastAsia="仿宋_GB2312" w:cs="仿宋_GB2312"/>
          <w:color w:val="000000"/>
          <w:sz w:val="32"/>
          <w:szCs w:val="32"/>
        </w:rPr>
        <w:t>指事业单位开支的离退休经费。</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13</w:t>
      </w:r>
      <w:r>
        <w:rPr>
          <w:rFonts w:hint="eastAsia" w:ascii="仿宋_GB2312" w:hAnsi="仿宋_GB2312" w:eastAsia="仿宋_GB2312" w:cs="仿宋_GB2312"/>
          <w:b w:val="0"/>
          <w:bCs/>
          <w:sz w:val="32"/>
          <w:szCs w:val="32"/>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color w:val="000000"/>
          <w:sz w:val="32"/>
          <w:szCs w:val="32"/>
          <w:lang w:val="en-US" w:eastAsia="zh-CN"/>
        </w:rPr>
        <w:t>机关事业单位实施养老保险制度由单位缴纳的基本养老保险费支出</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14.</w:t>
      </w:r>
      <w:r>
        <w:rPr>
          <w:rFonts w:hint="eastAsia" w:ascii="仿宋_GB2312" w:hAnsi="仿宋_GB2312" w:eastAsia="仿宋_GB2312" w:cs="仿宋_GB2312"/>
          <w:b w:val="0"/>
          <w:bCs/>
          <w:sz w:val="32"/>
          <w:szCs w:val="32"/>
        </w:rPr>
        <w:t>社会保障和就业支出（类）行政事业单位养老支出（款）机关事业单位职业年金缴费支出（项）:</w:t>
      </w:r>
      <w:r>
        <w:rPr>
          <w:rFonts w:hint="eastAsia" w:ascii="仿宋_GB2312" w:hAnsi="仿宋_GB2312" w:eastAsia="仿宋_GB2312" w:cs="仿宋_GB2312"/>
          <w:b w:val="0"/>
          <w:bCs/>
          <w:sz w:val="32"/>
          <w:szCs w:val="32"/>
          <w:lang w:eastAsia="zh-CN"/>
        </w:rPr>
        <w:t>指机关事业单位实施养老保险制度由单位实际缴纳的职业年金支出（含职业年金补记支出）。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15</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抚恤</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死亡抚恤</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指按规定用于烈士和牺牲、病故人员家属的一次性和定期抚恤金、丧葬补助费以及烈士褒扬金。</w:t>
      </w:r>
    </w:p>
    <w:p>
      <w:pPr>
        <w:ind w:firstLine="640" w:firstLineChars="200"/>
        <w:rPr>
          <w:rFonts w:hint="eastAsia"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16</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社会福利（款）儿童福利（项）：</w:t>
      </w:r>
      <w:r>
        <w:rPr>
          <w:rFonts w:hint="eastAsia" w:ascii="仿宋_GB2312" w:hAnsi="仿宋_GB2312" w:eastAsia="仿宋_GB2312" w:cs="仿宋_GB2312"/>
          <w:color w:val="000000"/>
          <w:sz w:val="32"/>
          <w:szCs w:val="32"/>
        </w:rPr>
        <w:t>指对儿童提供福利服务方面的支出。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17</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行政单位医疗</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指财政部门安排的行政单位（包括实行公务员管理的事业单位）基本医疗保险缴费经费、为参加医疗保险的行政单位的公费医疗经费，按国家规定享受离休人员、红军老战士待遇人员的医疗经费。</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18.</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公务员医疗补助</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指财政部门安排的公务员医疗补助经费。</w:t>
      </w:r>
    </w:p>
    <w:p>
      <w:pPr>
        <w:pStyle w:val="2"/>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19.</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其他行政事业单位医疗支出</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指其他用于行政事业单位医疗方面的支出。</w:t>
      </w:r>
    </w:p>
    <w:p>
      <w:pPr>
        <w:pStyle w:val="2"/>
        <w:ind w:firstLine="64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20.</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指其他用于卫生健康方面的支出。</w:t>
      </w:r>
    </w:p>
    <w:p>
      <w:pPr>
        <w:pStyle w:val="2"/>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21.</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农村社会事业</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指用于农村社会事业发展的支出。</w:t>
      </w:r>
    </w:p>
    <w:p>
      <w:pPr>
        <w:pStyle w:val="2"/>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22.</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农村道路建设</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指用于乡村内街巷和农田间机耕道建设方面的支出。</w:t>
      </w:r>
    </w:p>
    <w:p>
      <w:pPr>
        <w:pStyle w:val="2"/>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23.</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其他农业农村支出</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指其他用于农业农村方面的支出。</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24.</w:t>
      </w:r>
      <w:r>
        <w:rPr>
          <w:rFonts w:hint="eastAsia" w:ascii="仿宋_GB2312" w:hAnsi="仿宋_GB2312" w:eastAsia="仿宋_GB2312" w:cs="仿宋_GB2312"/>
          <w:b w:val="0"/>
          <w:bCs/>
          <w:sz w:val="32"/>
          <w:szCs w:val="32"/>
        </w:rPr>
        <w:t>交通运输支出（类）公路水路运输（款）行政运行（项）:</w:t>
      </w:r>
      <w:r>
        <w:rPr>
          <w:rFonts w:hint="eastAsia" w:ascii="仿宋_GB2312" w:hAnsi="仿宋_GB2312" w:eastAsia="仿宋_GB2312" w:cs="仿宋_GB2312"/>
          <w:color w:val="000000"/>
          <w:sz w:val="32"/>
          <w:szCs w:val="32"/>
        </w:rPr>
        <w:t>指交通运输方面的行政单位（包括实行公务员法管理的事业单位）的基本支出。</w:t>
      </w:r>
    </w:p>
    <w:p>
      <w:pPr>
        <w:pStyle w:val="2"/>
        <w:ind w:firstLine="64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25.</w:t>
      </w:r>
      <w:r>
        <w:rPr>
          <w:rFonts w:hint="eastAsia" w:ascii="仿宋_GB2312" w:hAnsi="仿宋_GB2312" w:eastAsia="仿宋_GB2312" w:cs="仿宋_GB2312"/>
          <w:b w:val="0"/>
          <w:bCs/>
          <w:sz w:val="32"/>
          <w:szCs w:val="32"/>
        </w:rPr>
        <w:t>交通运输支出（类）公路水路运输（款）公路建设（项）:</w:t>
      </w:r>
      <w:r>
        <w:rPr>
          <w:rFonts w:hint="eastAsia" w:hAnsi="仿宋_GB2312" w:cs="仿宋_GB2312"/>
          <w:b w:val="0"/>
          <w:bCs/>
          <w:sz w:val="32"/>
          <w:szCs w:val="32"/>
          <w:lang w:eastAsia="zh-CN"/>
        </w:rPr>
        <w:t>指用于公路新建和改扩建支出，特大型桥梁建设、公路客货运场（站）以及公路相关设备设施建设支出。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26</w:t>
      </w:r>
      <w:r>
        <w:rPr>
          <w:rFonts w:hint="eastAsia" w:ascii="仿宋_GB2312" w:hAnsi="仿宋_GB2312" w:eastAsia="仿宋_GB2312" w:cs="仿宋_GB2312"/>
          <w:b w:val="0"/>
          <w:bCs/>
          <w:sz w:val="32"/>
          <w:szCs w:val="32"/>
        </w:rPr>
        <w:t>.交通运输支出（类）公路水路运输（款）公路养护（项）:</w:t>
      </w:r>
      <w:r>
        <w:rPr>
          <w:rFonts w:hint="eastAsia" w:ascii="仿宋_GB2312" w:hAnsi="仿宋_GB2312" w:eastAsia="仿宋_GB2312" w:cs="仿宋_GB2312"/>
          <w:color w:val="000000"/>
          <w:sz w:val="32"/>
          <w:szCs w:val="32"/>
        </w:rPr>
        <w:t>指公路养护支出。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27.</w:t>
      </w:r>
      <w:r>
        <w:rPr>
          <w:rFonts w:hint="eastAsia" w:ascii="仿宋_GB2312" w:hAnsi="仿宋_GB2312" w:eastAsia="仿宋_GB2312" w:cs="仿宋_GB2312"/>
          <w:b w:val="0"/>
          <w:bCs/>
          <w:sz w:val="32"/>
          <w:szCs w:val="32"/>
        </w:rPr>
        <w:t>交通运输支出（类）公路水路运输（款）公路运输管理（项）:</w:t>
      </w:r>
      <w:r>
        <w:rPr>
          <w:rFonts w:hint="eastAsia" w:ascii="仿宋_GB2312" w:hAnsi="仿宋_GB2312" w:eastAsia="仿宋_GB2312" w:cs="仿宋_GB2312"/>
          <w:b w:val="0"/>
          <w:bCs/>
          <w:sz w:val="32"/>
          <w:szCs w:val="32"/>
          <w:lang w:eastAsia="zh-CN"/>
        </w:rPr>
        <w:t>指公路运输管理支出和公路路政管理支出。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28.</w:t>
      </w:r>
      <w:r>
        <w:rPr>
          <w:rFonts w:hint="eastAsia" w:ascii="仿宋_GB2312" w:hAnsi="仿宋_GB2312" w:eastAsia="仿宋_GB2312" w:cs="仿宋_GB2312"/>
          <w:b w:val="0"/>
          <w:bCs/>
          <w:sz w:val="32"/>
          <w:szCs w:val="32"/>
        </w:rPr>
        <w:t>交通运输支出（类）公路水路运输（款）航道维护（项）:</w:t>
      </w:r>
      <w:r>
        <w:rPr>
          <w:rFonts w:hint="eastAsia" w:ascii="仿宋_GB2312" w:hAnsi="仿宋_GB2312" w:eastAsia="仿宋_GB2312" w:cs="仿宋_GB2312"/>
          <w:b w:val="0"/>
          <w:bCs/>
          <w:sz w:val="32"/>
          <w:szCs w:val="32"/>
          <w:lang w:eastAsia="zh-CN"/>
        </w:rPr>
        <w:t>指内河航道整治、维护方面的支出。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29</w:t>
      </w:r>
      <w:r>
        <w:rPr>
          <w:rFonts w:hint="eastAsia" w:ascii="仿宋_GB2312" w:hAnsi="仿宋_GB2312" w:eastAsia="仿宋_GB2312" w:cs="仿宋_GB2312"/>
          <w:b w:val="0"/>
          <w:bCs/>
          <w:sz w:val="32"/>
          <w:szCs w:val="32"/>
        </w:rPr>
        <w:t>.交通运输支出（类）公路水路运输（款）其他公路水路运输支出（项）:</w:t>
      </w:r>
      <w:r>
        <w:rPr>
          <w:rFonts w:hint="eastAsia" w:ascii="仿宋_GB2312" w:hAnsi="仿宋_GB2312" w:eastAsia="仿宋_GB2312" w:cs="仿宋_GB2312"/>
          <w:color w:val="000000"/>
          <w:sz w:val="32"/>
          <w:szCs w:val="32"/>
        </w:rPr>
        <w:t>指其他用于公路水路运输方面的支出。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30</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民用航空运输</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其他民用航空运输支出</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指其他用于民用航空方面的支出。</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31.</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公共交通运营补助</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指对公共交通运输企业的补助支出。</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32.</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指其他交通运输支出中除对公共交通运营补助以外的其他支出。</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33.</w:t>
      </w:r>
      <w:r>
        <w:rPr>
          <w:rFonts w:hint="eastAsia" w:ascii="仿宋_GB2312" w:hAnsi="仿宋_GB2312" w:eastAsia="仿宋_GB2312" w:cs="仿宋_GB2312"/>
          <w:b w:val="0"/>
          <w:bCs/>
          <w:sz w:val="32"/>
          <w:szCs w:val="32"/>
        </w:rPr>
        <w:t>商业服务业等支出（类）</w:t>
      </w:r>
      <w:r>
        <w:rPr>
          <w:rFonts w:hint="eastAsia" w:ascii="仿宋_GB2312" w:hAnsi="仿宋_GB2312" w:eastAsia="仿宋_GB2312" w:cs="仿宋_GB2312"/>
          <w:b w:val="0"/>
          <w:bCs/>
          <w:sz w:val="32"/>
          <w:szCs w:val="32"/>
          <w:lang w:eastAsia="zh-CN"/>
        </w:rPr>
        <w:t>其他商业服务业等支出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其他商业服务业等支出</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指其他</w:t>
      </w:r>
      <w:r>
        <w:rPr>
          <w:rFonts w:hint="eastAsia" w:ascii="仿宋_GB2312" w:hAnsi="仿宋_GB2312" w:eastAsia="仿宋_GB2312" w:cs="仿宋_GB2312"/>
          <w:b w:val="0"/>
          <w:bCs/>
          <w:sz w:val="32"/>
          <w:szCs w:val="32"/>
        </w:rPr>
        <w:t>商业服务业等支出</w:t>
      </w:r>
      <w:r>
        <w:rPr>
          <w:rFonts w:hint="eastAsia" w:ascii="仿宋_GB2312" w:hAnsi="仿宋_GB2312" w:eastAsia="仿宋_GB2312" w:cs="仿宋_GB2312"/>
          <w:b w:val="0"/>
          <w:bCs/>
          <w:sz w:val="32"/>
          <w:szCs w:val="32"/>
          <w:lang w:eastAsia="zh-CN"/>
        </w:rPr>
        <w:t>中的其他支出。</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34</w:t>
      </w:r>
      <w:r>
        <w:rPr>
          <w:rFonts w:hint="eastAsia" w:ascii="仿宋_GB2312" w:hAnsi="仿宋_GB2312" w:eastAsia="仿宋_GB2312" w:cs="仿宋_GB2312"/>
          <w:b w:val="0"/>
          <w:bCs/>
          <w:sz w:val="32"/>
          <w:szCs w:val="32"/>
        </w:rPr>
        <w:t>.住房保障支出（类）住房改革支出（款）住房公积金（项）:</w:t>
      </w:r>
      <w:r>
        <w:rPr>
          <w:rFonts w:hint="eastAsia" w:ascii="仿宋_GB2312" w:hAnsi="仿宋_GB2312" w:eastAsia="仿宋_GB2312" w:cs="仿宋_GB2312"/>
          <w:color w:val="000000"/>
          <w:sz w:val="32"/>
          <w:szCs w:val="32"/>
        </w:rPr>
        <w:t>指行政事业单位按人力资源和社会保障部、财政部规定的基本工资和津贴补贴以及规定比例为职工缴纳的住房公积金。</w:t>
      </w:r>
    </w:p>
    <w:p>
      <w:pPr>
        <w:pStyle w:val="2"/>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 xml:space="preserve"> 35</w:t>
      </w:r>
      <w:r>
        <w:rPr>
          <w:rFonts w:hint="eastAsia" w:ascii="仿宋_GB2312" w:hAnsi="仿宋_GB2312" w:eastAsia="仿宋_GB2312" w:cs="仿宋_GB2312"/>
          <w:b w:val="0"/>
          <w:bCs/>
          <w:sz w:val="32"/>
          <w:szCs w:val="32"/>
          <w:lang w:val="en-US" w:eastAsia="zh-CN"/>
        </w:rPr>
        <w:t>.灾害防治及应急管理支出（类）应急管理事务（款）行政运行（项）：</w:t>
      </w:r>
      <w:r>
        <w:rPr>
          <w:rFonts w:hint="eastAsia" w:hAnsi="仿宋_GB2312" w:cs="仿宋_GB2312"/>
          <w:b w:val="0"/>
          <w:bCs/>
          <w:sz w:val="32"/>
          <w:szCs w:val="32"/>
          <w:lang w:val="en-US" w:eastAsia="zh-CN"/>
        </w:rPr>
        <w:t>指应急管理行政单位（包括实行公务员管理的事业单位）的基本支出。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.项目支出：指在基本支出之外为完成特定行政任务和事业发展目标所发生的支出。</w:t>
      </w:r>
    </w:p>
    <w:p>
      <w:pPr>
        <w:pStyle w:val="3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jc w:val="center"/>
      </w:pPr>
      <w:bookmarkStart w:id="79" w:name="_Toc8765"/>
      <w:r>
        <w:rPr>
          <w:rFonts w:hint="eastAsia" w:ascii="黑体" w:hAnsi="黑体" w:eastAsia="黑体"/>
          <w:b w:val="0"/>
        </w:rPr>
        <w:t>第四部分 附件</w:t>
      </w:r>
      <w:bookmarkEnd w:id="79"/>
    </w:p>
    <w:p>
      <w:pPr>
        <w:rPr>
          <w:rFonts w:ascii="黑体" w:hAnsi="黑体" w:eastAsia="黑体"/>
          <w:sz w:val="32"/>
          <w:szCs w:val="32"/>
        </w:rPr>
      </w:pPr>
      <w:r>
        <w:rPr>
          <w:rFonts w:hint="eastAsia" w:ascii="黑体" w:hAnsi="黑体" w:eastAsia="黑体"/>
          <w:sz w:val="32"/>
          <w:szCs w:val="32"/>
        </w:rPr>
        <w:t>附件1</w:t>
      </w:r>
    </w:p>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部门预算绩效评价报告</w:t>
      </w:r>
    </w:p>
    <w:p>
      <w:pPr>
        <w:jc w:val="center"/>
        <w:rPr>
          <w:rFonts w:ascii="仿宋_GB2312" w:eastAsia="仿宋_GB2312"/>
          <w:sz w:val="32"/>
          <w:szCs w:val="32"/>
        </w:rPr>
      </w:pPr>
      <w:r>
        <w:rPr>
          <w:rFonts w:hint="eastAsia" w:ascii="仿宋_GB2312" w:eastAsia="仿宋_GB2312"/>
          <w:sz w:val="32"/>
          <w:szCs w:val="32"/>
        </w:rPr>
        <w:t>（报告范围包括机关和下属单位）</w:t>
      </w:r>
    </w:p>
    <w:p/>
    <w:p>
      <w:pPr>
        <w:rPr>
          <w:rFonts w:ascii="黑体" w:hAnsi="黑体" w:eastAsia="黑体"/>
          <w:sz w:val="32"/>
          <w:szCs w:val="32"/>
        </w:rPr>
      </w:pPr>
      <w:r>
        <w:rPr>
          <w:rFonts w:hint="eastAsia" w:ascii="黑体" w:hAnsi="黑体" w:eastAsia="黑体"/>
          <w:sz w:val="32"/>
          <w:szCs w:val="32"/>
        </w:rPr>
        <w:t>一、部门（单位）基本情况</w:t>
      </w:r>
    </w:p>
    <w:p>
      <w:pPr>
        <w:spacing w:line="572" w:lineRule="exact"/>
        <w:ind w:firstLine="632"/>
        <w:rPr>
          <w:rFonts w:hint="eastAsia" w:ascii="楷体_GB2312" w:eastAsia="楷体_GB2312"/>
          <w:b/>
          <w:sz w:val="32"/>
          <w:szCs w:val="32"/>
        </w:rPr>
      </w:pPr>
      <w:r>
        <w:rPr>
          <w:rFonts w:hint="eastAsia" w:ascii="楷体_GB2312" w:eastAsia="楷体_GB2312"/>
          <w:b/>
          <w:sz w:val="32"/>
          <w:szCs w:val="32"/>
        </w:rPr>
        <w:t>（一）机构组成。</w:t>
      </w:r>
    </w:p>
    <w:p>
      <w:pPr>
        <w:spacing w:line="572" w:lineRule="exact"/>
        <w:ind w:firstLine="632"/>
        <w:rPr>
          <w:rFonts w:hint="eastAsia" w:ascii="仿宋" w:hAnsi="仿宋" w:eastAsia="仿宋" w:cs="仿宋"/>
          <w:bCs/>
          <w:sz w:val="32"/>
          <w:szCs w:val="32"/>
        </w:rPr>
      </w:pPr>
      <w:r>
        <w:rPr>
          <w:rFonts w:hint="eastAsia" w:ascii="仿宋" w:hAnsi="仿宋" w:eastAsia="仿宋" w:cs="仿宋"/>
          <w:bCs/>
          <w:sz w:val="32"/>
          <w:szCs w:val="32"/>
        </w:rPr>
        <w:t>市交通运输局（部门）共有</w:t>
      </w:r>
      <w:r>
        <w:rPr>
          <w:rFonts w:hint="eastAsia" w:ascii="仿宋" w:hAnsi="仿宋" w:eastAsia="仿宋" w:cs="仿宋"/>
          <w:bCs/>
          <w:sz w:val="32"/>
          <w:szCs w:val="32"/>
          <w:lang w:val="en-US" w:eastAsia="zh-CN"/>
        </w:rPr>
        <w:t>7</w:t>
      </w:r>
      <w:r>
        <w:rPr>
          <w:rFonts w:hint="eastAsia" w:ascii="仿宋" w:hAnsi="仿宋" w:eastAsia="仿宋" w:cs="仿宋"/>
          <w:bCs/>
          <w:sz w:val="32"/>
          <w:szCs w:val="32"/>
        </w:rPr>
        <w:t>家预算单位，分别为市交通运输局机关、市交通建设工程服务中心、市交通运输服务中心、市</w:t>
      </w:r>
      <w:r>
        <w:rPr>
          <w:rFonts w:hint="eastAsia" w:ascii="仿宋" w:hAnsi="仿宋" w:eastAsia="仿宋" w:cs="仿宋"/>
          <w:sz w:val="32"/>
          <w:szCs w:val="32"/>
        </w:rPr>
        <w:t>交通运输综合行政执法支队、市航务海事中心、市公路事业发展中心（含造价站）</w:t>
      </w:r>
      <w:r>
        <w:rPr>
          <w:rFonts w:hint="eastAsia" w:ascii="仿宋" w:hAnsi="仿宋" w:eastAsia="仿宋" w:cs="仿宋"/>
          <w:sz w:val="32"/>
          <w:szCs w:val="32"/>
          <w:lang w:eastAsia="zh-CN"/>
        </w:rPr>
        <w:t>、市公路养护总段。</w:t>
      </w:r>
      <w:r>
        <w:rPr>
          <w:rFonts w:hint="eastAsia" w:ascii="仿宋" w:hAnsi="仿宋" w:eastAsia="仿宋" w:cs="仿宋"/>
          <w:sz w:val="32"/>
          <w:szCs w:val="32"/>
        </w:rPr>
        <w:t>局机关共16个内设科室（办公室、政策研究室、综合规划科、发展促进科、建设管理科、公路管理科、农村公路建设指导科、道路运输管理科、水运管理科、安全与环保监督科、科技和信息化科、法规科、行政审批科、财务审计科、干部人事科、组织宣传科）。</w:t>
      </w:r>
    </w:p>
    <w:p>
      <w:pPr>
        <w:keepNext w:val="0"/>
        <w:keepLines w:val="0"/>
        <w:widowControl w:val="0"/>
        <w:numPr>
          <w:ilvl w:val="0"/>
          <w:numId w:val="5"/>
        </w:numPr>
        <w:suppressLineNumbers w:val="0"/>
        <w:spacing w:before="0" w:beforeAutospacing="0" w:after="0" w:afterAutospacing="0" w:line="572" w:lineRule="exact"/>
        <w:ind w:left="0" w:right="0" w:firstLine="632"/>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机构职能。</w:t>
      </w:r>
    </w:p>
    <w:p>
      <w:pPr>
        <w:keepNext w:val="0"/>
        <w:keepLines w:val="0"/>
        <w:widowControl w:val="0"/>
        <w:suppressLineNumbers w:val="0"/>
        <w:spacing w:before="0" w:beforeAutospacing="0" w:after="0" w:afterAutospacing="0" w:line="572"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运输局负责制订并实施全市公路、水路交通基础设施发展规划；负责指导全市公路管理和养护；负责全市交通建设市场和工程质量监管；负责全市公路、水路客货运输行业管理；负责全市水上交通安全监督和公路运输源头安全监管。2017年3月市政府常务会决定将保安营机场工作临时交由我局负责联系。</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建设工程服务中心贯彻执行国家和上级交通主管部门颁发的交通建设工程监理、试验检测方针、政策、法律、法规、技术标准和规范，负责全市交通监理单位、检测机构资质管理，依法依规规范管理全市交通建设工程质量和施工安全生产监督工作，负责全市交通建设工程（农村公路除外）质量安全监督。</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运输服务中心贯彻执行国家、省、市和上级交通运输主管部门有关道路运输方面的方针、政策、法规，具体负责道路运输市场监测、统计分析、政策研究、科学技术应用、车辆道路运输证和道路运输从业人员从业资格证办理等道路运输的公共服务、行政辅助工作。</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交通运输综合行政执法支队负责全市交通运输综合行政执法监督指导、重大案件查处和跨区域执法和组织协调工作；承担依法取得的市本级、东西区公路路政、道路运政、水路运政、航道行政、港口行政、地方海事行政、工程质量监督管理等执法职责和仁和区、米易县、盐边县境内现国省道路的路政执法职责。</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市航务海事中心主要对辖区内通航水域开展巡航巡查，对通航秩序进行维护；负责办理和监督、检查辖区船舶登记、船舶进出港签证等监督管理业务工作。负责辖区水域内航道的维护，港口、码头的管理，以及我市水运发展规划编制和实施等工作；负责辖区内船舶的法定检验及证书的签发工作。</w:t>
      </w:r>
    </w:p>
    <w:p>
      <w:pPr>
        <w:keepNext w:val="0"/>
        <w:keepLines w:val="0"/>
        <w:widowControl w:val="0"/>
        <w:suppressLineNumbers w:val="0"/>
        <w:spacing w:before="0" w:beforeAutospacing="0" w:after="0" w:afterAutospacing="0" w:line="572" w:lineRule="exact"/>
        <w:ind w:left="0" w:right="0" w:firstLine="632"/>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市公路事业发展中心贯彻执行国家有关信息化建设、公路发展的法律、法规、规章和方针政策；负责全市国、省干线和重要农村公路行业管理、公路发展、超限运输、涉路施工许可等行政辅助工作；负责交通公路、水路、运输运行信息化监测系统的建设、维护、管理和大数据分析；负责交通运输服务监督热线12328的管理、分办和回访；负责交通出行信息的收集、分析和发布；承担交通应急通信保障与调度指挥。 </w:t>
      </w:r>
    </w:p>
    <w:p>
      <w:pPr>
        <w:adjustRightInd w:val="0"/>
        <w:snapToGrid w:val="0"/>
        <w:spacing w:line="600" w:lineRule="exact"/>
        <w:ind w:firstLine="632"/>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市交通建设工程造价站组织实施和监督检查其执行情况；配合厅造价站对交通建设工程劳动定额的测定和施工定额、养护定额的编制与修订；负责我市职责范围内的交通建设项目的投资估算、概算、预算、招标最高限价及项目设计变更的造价审核工作；参与管理我市职责范围内的交通建设项目造价执行情况与工程决算情况的检查及项目的交竣工验收工作；负责收集、整理我市建筑材料价格信息和已完交通建设工程的造价资料；上报我市交通建设工程造价信息；调解和仲裁我市交通建设工程造价经济纠纷。</w:t>
      </w:r>
    </w:p>
    <w:p>
      <w:pPr>
        <w:adjustRightInd w:val="0"/>
        <w:snapToGrid w:val="0"/>
        <w:spacing w:line="600" w:lineRule="exact"/>
        <w:ind w:firstLine="632"/>
        <w:rPr>
          <w:rFonts w:hint="eastAsia"/>
        </w:rPr>
      </w:pPr>
      <w:r>
        <w:rPr>
          <w:rFonts w:hint="eastAsia" w:ascii="仿宋" w:hAnsi="仿宋" w:eastAsia="仿宋" w:cs="仿宋"/>
          <w:sz w:val="32"/>
          <w:szCs w:val="32"/>
        </w:rPr>
        <w:t>市公路养护总段目前属于待改革事业单位，随着经济社会发展带来的变化和行业发展的需要，总段履行的职责随之发生变化，</w:t>
      </w:r>
      <w:r>
        <w:rPr>
          <w:rFonts w:hint="eastAsia" w:ascii="仿宋" w:hAnsi="仿宋" w:eastAsia="仿宋" w:cs="仿宋"/>
          <w:b w:val="0"/>
          <w:bCs w:val="0"/>
          <w:sz w:val="32"/>
          <w:szCs w:val="32"/>
        </w:rPr>
        <w:t>目前实际承担职能职责为：</w:t>
      </w:r>
      <w:r>
        <w:rPr>
          <w:rFonts w:hint="eastAsia" w:ascii="仿宋" w:hAnsi="仿宋" w:eastAsia="仿宋" w:cs="仿宋"/>
          <w:sz w:val="32"/>
          <w:szCs w:val="32"/>
        </w:rPr>
        <w:t>公路（含桥梁与隧道）日常养护、养护工程管理、公路灾害抢修与应急抢险保通、灾后恢复工程建设、公路养护质量监督检查与路况评定、公路绿化、公路行业统计、公路行业普查、公路数据库建设与维护、公路交通量调查、四新技术运用、公路信息化建设、公路养护节能减排及环保工作监督指导、国省干线战备保障、国省干线公路迎接上级政府目标绩效考核工作和上级临时安排的任务。总段管养公路10条，其中国道3条、省道4条、县乡道3条，总里程428公里；养护桥梁115座，其中特大桥6座，大桥23座；隧道3座。</w:t>
      </w:r>
    </w:p>
    <w:p>
      <w:pPr>
        <w:keepNext w:val="0"/>
        <w:keepLines w:val="0"/>
        <w:widowControl w:val="0"/>
        <w:numPr>
          <w:ilvl w:val="0"/>
          <w:numId w:val="5"/>
        </w:numPr>
        <w:suppressLineNumbers w:val="0"/>
        <w:spacing w:before="0" w:beforeAutospacing="0" w:after="0" w:afterAutospacing="0" w:line="572" w:lineRule="exact"/>
        <w:ind w:left="0" w:leftChars="0" w:right="0" w:firstLine="632" w:firstLineChars="0"/>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人员概况。</w:t>
      </w:r>
    </w:p>
    <w:p>
      <w:pPr>
        <w:spacing w:line="572" w:lineRule="exact"/>
        <w:ind w:firstLine="632"/>
        <w:rPr>
          <w:rFonts w:hint="eastAsia" w:ascii="仿宋" w:hAnsi="仿宋" w:eastAsia="仿宋" w:cs="仿宋"/>
          <w:sz w:val="32"/>
          <w:szCs w:val="32"/>
        </w:rPr>
      </w:pPr>
      <w:r>
        <w:rPr>
          <w:rFonts w:hint="eastAsia" w:ascii="仿宋" w:hAnsi="仿宋" w:eastAsia="仿宋" w:cs="仿宋"/>
          <w:sz w:val="32"/>
          <w:szCs w:val="32"/>
        </w:rPr>
        <w:t>市交通运输局核定人员编制数53人，其中：行政编制46名，机关后勤事业编制7人。2024年底实有人员52人，其中：行政管理类公务员46人，工勤人员5名，86号文编内聘用人员1名。</w:t>
      </w:r>
    </w:p>
    <w:p>
      <w:pPr>
        <w:pStyle w:val="2"/>
        <w:spacing w:after="0" w:line="572" w:lineRule="exact"/>
        <w:ind w:firstLine="632"/>
        <w:rPr>
          <w:rFonts w:hint="eastAsia" w:ascii="仿宋" w:hAnsi="仿宋" w:eastAsia="仿宋" w:cs="仿宋"/>
          <w:color w:val="FF0000"/>
          <w:sz w:val="32"/>
          <w:szCs w:val="32"/>
        </w:rPr>
      </w:pPr>
      <w:r>
        <w:rPr>
          <w:rFonts w:hint="eastAsia" w:ascii="仿宋" w:hAnsi="仿宋" w:eastAsia="仿宋" w:cs="仿宋"/>
          <w:sz w:val="32"/>
          <w:szCs w:val="32"/>
        </w:rPr>
        <w:t>市交通建设工程服务中心核定编制数8人。2024年末公共预算财政拨款开支人数6人（其中参公6人）。</w:t>
      </w:r>
    </w:p>
    <w:p>
      <w:pPr>
        <w:spacing w:line="572" w:lineRule="exact"/>
        <w:ind w:firstLine="632"/>
        <w:rPr>
          <w:rFonts w:hint="eastAsia" w:ascii="仿宋" w:hAnsi="仿宋" w:eastAsia="仿宋" w:cs="仿宋"/>
          <w:sz w:val="32"/>
          <w:szCs w:val="32"/>
        </w:rPr>
      </w:pPr>
      <w:r>
        <w:rPr>
          <w:rFonts w:hint="eastAsia" w:ascii="仿宋" w:hAnsi="仿宋" w:eastAsia="仿宋" w:cs="仿宋"/>
          <w:sz w:val="32"/>
          <w:szCs w:val="32"/>
        </w:rPr>
        <w:t>市交通运输服务中心核定编制数30人。2023年末公共预算财政拨款开支人数23人（其中参公人员21人、工勤人员2人）。</w:t>
      </w:r>
    </w:p>
    <w:p>
      <w:pPr>
        <w:spacing w:line="572" w:lineRule="exact"/>
        <w:ind w:firstLine="632"/>
        <w:rPr>
          <w:rFonts w:hint="eastAsia" w:ascii="仿宋" w:hAnsi="仿宋" w:eastAsia="仿宋" w:cs="仿宋"/>
          <w:sz w:val="32"/>
          <w:szCs w:val="32"/>
        </w:rPr>
      </w:pPr>
      <w:r>
        <w:rPr>
          <w:rFonts w:hint="eastAsia" w:ascii="仿宋" w:hAnsi="仿宋" w:eastAsia="仿宋" w:cs="仿宋"/>
          <w:sz w:val="32"/>
          <w:szCs w:val="32"/>
        </w:rPr>
        <w:t>市交通运输综合行政执法支队核定编制数120人，2024年末正式职工为84人，财政项目支出负担治理超限运输管理及执法聘用人员71人。</w:t>
      </w:r>
    </w:p>
    <w:p>
      <w:pPr>
        <w:spacing w:line="572" w:lineRule="exact"/>
        <w:ind w:firstLine="632"/>
        <w:rPr>
          <w:rFonts w:hint="eastAsia" w:ascii="仿宋" w:hAnsi="仿宋" w:eastAsia="仿宋" w:cs="仿宋"/>
          <w:sz w:val="32"/>
          <w:szCs w:val="32"/>
        </w:rPr>
      </w:pPr>
      <w:r>
        <w:rPr>
          <w:rFonts w:hint="eastAsia" w:ascii="仿宋" w:hAnsi="仿宋" w:eastAsia="仿宋" w:cs="仿宋"/>
          <w:sz w:val="32"/>
          <w:szCs w:val="32"/>
        </w:rPr>
        <w:t>市航务海事中心机构编制12名，内设三科一室：航务科、海事科、科教信息科、综合办公室。截止2024年年底实有在职人员11名（参公人员10人、工勤人员1人）,退休人员5名。</w:t>
      </w:r>
    </w:p>
    <w:p>
      <w:pPr>
        <w:spacing w:line="572" w:lineRule="exact"/>
        <w:ind w:firstLine="632"/>
        <w:rPr>
          <w:rFonts w:hint="eastAsia" w:ascii="仿宋" w:hAnsi="仿宋" w:eastAsia="仿宋" w:cs="仿宋"/>
          <w:sz w:val="32"/>
          <w:szCs w:val="32"/>
        </w:rPr>
      </w:pPr>
      <w:r>
        <w:rPr>
          <w:rFonts w:hint="eastAsia" w:ascii="仿宋" w:hAnsi="仿宋" w:eastAsia="仿宋" w:cs="仿宋"/>
          <w:sz w:val="32"/>
          <w:szCs w:val="32"/>
        </w:rPr>
        <w:t>市公路事业发展中心（含市交通建设工程造价站），人员编制34人（其中：公路事业发展中心27人，造价站7人），实有正式职工人31人（公路事业发展中心24人，造价站7人）。</w:t>
      </w:r>
    </w:p>
    <w:p>
      <w:pPr>
        <w:snapToGrid w:val="0"/>
        <w:spacing w:line="520" w:lineRule="exact"/>
        <w:ind w:firstLine="632"/>
        <w:rPr>
          <w:rFonts w:hint="eastAsia" w:ascii="仿宋" w:hAnsi="仿宋" w:eastAsia="仿宋" w:cs="仿宋"/>
          <w:sz w:val="32"/>
          <w:szCs w:val="32"/>
        </w:rPr>
      </w:pPr>
      <w:r>
        <w:rPr>
          <w:rFonts w:hint="eastAsia" w:ascii="仿宋" w:hAnsi="仿宋" w:eastAsia="仿宋" w:cs="仿宋"/>
          <w:sz w:val="32"/>
          <w:szCs w:val="32"/>
        </w:rPr>
        <w:t>市公路养护总段核定人员编制数633人(纪检监委5人)，2024年底实有人员413人,其中:事业管理人员和专业技术人员155人，机关和事业工人256人，其他人员（86号文件管理的聘用人员）2人。2024年退休52人，公招6人，人才引进1人，退伍安置3人，调入1人。2024年末离退休人员1556人，其中离休人员1人。</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二、部门资金收支情况</w:t>
      </w:r>
    </w:p>
    <w:p>
      <w:pPr>
        <w:spacing w:line="572" w:lineRule="exact"/>
        <w:ind w:firstLine="634"/>
        <w:rPr>
          <w:rFonts w:hint="eastAsia" w:ascii="仿宋" w:hAnsi="仿宋" w:eastAsia="仿宋" w:cs="仿宋"/>
          <w:b/>
          <w:sz w:val="32"/>
          <w:szCs w:val="32"/>
        </w:rPr>
      </w:pPr>
      <w:r>
        <w:rPr>
          <w:rFonts w:hint="eastAsia" w:ascii="仿宋" w:hAnsi="仿宋" w:eastAsia="仿宋" w:cs="仿宋"/>
          <w:b/>
          <w:sz w:val="32"/>
          <w:szCs w:val="32"/>
        </w:rPr>
        <w:t>（一）收入情况。</w:t>
      </w:r>
    </w:p>
    <w:p>
      <w:pPr>
        <w:spacing w:line="572" w:lineRule="exact"/>
        <w:ind w:firstLine="632"/>
        <w:rPr>
          <w:rFonts w:hint="eastAsia" w:ascii="仿宋" w:hAnsi="仿宋" w:eastAsia="仿宋" w:cs="仿宋"/>
          <w:bCs/>
          <w:sz w:val="32"/>
          <w:szCs w:val="32"/>
        </w:rPr>
      </w:pPr>
      <w:r>
        <w:rPr>
          <w:rFonts w:hint="eastAsia" w:ascii="仿宋" w:hAnsi="仿宋" w:eastAsia="仿宋" w:cs="仿宋"/>
          <w:sz w:val="32"/>
          <w:szCs w:val="32"/>
        </w:rPr>
        <w:t>2024年交通系统预算收入43,060.4万元,其中：</w:t>
      </w:r>
    </w:p>
    <w:p>
      <w:pPr>
        <w:spacing w:line="572" w:lineRule="exact"/>
        <w:ind w:firstLine="634"/>
        <w:rPr>
          <w:rFonts w:hint="eastAsia" w:ascii="仿宋" w:hAnsi="仿宋" w:eastAsia="仿宋" w:cs="仿宋"/>
          <w:sz w:val="32"/>
          <w:szCs w:val="32"/>
        </w:rPr>
      </w:pPr>
      <w:r>
        <w:rPr>
          <w:rFonts w:hint="eastAsia" w:ascii="仿宋" w:hAnsi="仿宋" w:eastAsia="仿宋" w:cs="仿宋"/>
          <w:b/>
          <w:sz w:val="32"/>
          <w:szCs w:val="32"/>
        </w:rPr>
        <w:t>市交通运输局机关：</w:t>
      </w:r>
      <w:r>
        <w:rPr>
          <w:rFonts w:hint="eastAsia" w:ascii="仿宋" w:hAnsi="仿宋" w:eastAsia="仿宋" w:cs="仿宋"/>
          <w:sz w:val="32"/>
          <w:szCs w:val="32"/>
        </w:rPr>
        <w:t>2024年本年财政拨款收入27,840.96万元，其中：一般公共预算财政拨款10724.47万元；政府性基金预算17116.49万元。</w:t>
      </w:r>
    </w:p>
    <w:p>
      <w:pPr>
        <w:spacing w:line="572" w:lineRule="exact"/>
        <w:ind w:firstLine="634"/>
        <w:rPr>
          <w:rFonts w:hint="eastAsia" w:ascii="仿宋" w:hAnsi="仿宋" w:eastAsia="仿宋" w:cs="仿宋"/>
          <w:b/>
          <w:bCs/>
          <w:sz w:val="32"/>
          <w:szCs w:val="32"/>
        </w:rPr>
      </w:pPr>
      <w:r>
        <w:rPr>
          <w:rFonts w:hint="eastAsia" w:ascii="仿宋" w:hAnsi="仿宋" w:eastAsia="仿宋" w:cs="仿宋"/>
          <w:b/>
          <w:bCs/>
          <w:sz w:val="32"/>
          <w:szCs w:val="32"/>
        </w:rPr>
        <w:t>市交通建设工程服务中心：</w:t>
      </w:r>
      <w:r>
        <w:rPr>
          <w:rFonts w:hint="eastAsia" w:ascii="仿宋" w:hAnsi="仿宋" w:eastAsia="仿宋" w:cs="仿宋"/>
          <w:sz w:val="32"/>
          <w:szCs w:val="32"/>
        </w:rPr>
        <w:t>2024年本年财政拨款收入133.53万元，其中：一般公共预算财政拨款133.53万元。</w:t>
      </w:r>
    </w:p>
    <w:p>
      <w:pPr>
        <w:spacing w:line="572" w:lineRule="exact"/>
        <w:ind w:firstLine="634"/>
        <w:rPr>
          <w:rFonts w:hint="eastAsia" w:ascii="仿宋" w:hAnsi="仿宋" w:eastAsia="仿宋" w:cs="仿宋"/>
          <w:b/>
          <w:bCs/>
          <w:sz w:val="32"/>
          <w:szCs w:val="32"/>
        </w:rPr>
      </w:pPr>
      <w:r>
        <w:rPr>
          <w:rFonts w:hint="eastAsia" w:ascii="仿宋" w:hAnsi="仿宋" w:eastAsia="仿宋" w:cs="仿宋"/>
          <w:b/>
          <w:bCs/>
          <w:sz w:val="32"/>
          <w:szCs w:val="32"/>
        </w:rPr>
        <w:t>市交通运输服务中心：</w:t>
      </w:r>
      <w:r>
        <w:rPr>
          <w:rFonts w:hint="eastAsia" w:ascii="仿宋" w:hAnsi="仿宋" w:eastAsia="仿宋" w:cs="仿宋"/>
          <w:sz w:val="32"/>
          <w:szCs w:val="32"/>
        </w:rPr>
        <w:t>2024年本年财政拨款收入648.22万元，其中：一般公共预算财政拨款648.22万元。</w:t>
      </w:r>
    </w:p>
    <w:p>
      <w:pPr>
        <w:spacing w:line="572" w:lineRule="exact"/>
        <w:ind w:firstLine="634"/>
        <w:rPr>
          <w:rFonts w:hint="eastAsia" w:ascii="仿宋" w:hAnsi="仿宋" w:eastAsia="仿宋" w:cs="仿宋"/>
          <w:b/>
          <w:bCs/>
          <w:sz w:val="32"/>
          <w:szCs w:val="32"/>
          <w:highlight w:val="yellow"/>
        </w:rPr>
      </w:pPr>
      <w:r>
        <w:rPr>
          <w:rFonts w:hint="eastAsia" w:ascii="仿宋" w:hAnsi="仿宋" w:eastAsia="仿宋" w:cs="仿宋"/>
          <w:b/>
          <w:bCs/>
          <w:sz w:val="32"/>
          <w:szCs w:val="32"/>
        </w:rPr>
        <w:t>市交通运输综合行政执法支队：</w:t>
      </w:r>
      <w:r>
        <w:rPr>
          <w:rFonts w:hint="eastAsia" w:ascii="仿宋" w:hAnsi="仿宋" w:eastAsia="仿宋" w:cs="仿宋"/>
          <w:sz w:val="32"/>
          <w:szCs w:val="32"/>
        </w:rPr>
        <w:t>2024年本年财政拨款收入2360.10万元，其中：一般公共预算财政拨款2360.10万元。</w:t>
      </w:r>
    </w:p>
    <w:p>
      <w:pPr>
        <w:spacing w:line="572" w:lineRule="exact"/>
        <w:ind w:firstLine="634"/>
        <w:rPr>
          <w:rFonts w:hint="eastAsia" w:ascii="仿宋" w:hAnsi="仿宋" w:eastAsia="仿宋" w:cs="仿宋"/>
          <w:b w:val="0"/>
          <w:bCs w:val="0"/>
          <w:sz w:val="32"/>
          <w:szCs w:val="32"/>
          <w:lang w:eastAsia="zh-CN"/>
        </w:rPr>
      </w:pPr>
      <w:r>
        <w:rPr>
          <w:rFonts w:hint="eastAsia" w:ascii="仿宋" w:hAnsi="仿宋" w:eastAsia="仿宋" w:cs="仿宋"/>
          <w:b/>
          <w:bCs/>
          <w:sz w:val="32"/>
          <w:szCs w:val="32"/>
        </w:rPr>
        <w:t>市航务海事中心：</w:t>
      </w:r>
      <w:r>
        <w:rPr>
          <w:rFonts w:hint="eastAsia" w:ascii="仿宋" w:hAnsi="仿宋" w:eastAsia="仿宋" w:cs="仿宋"/>
          <w:b w:val="0"/>
          <w:bCs w:val="0"/>
          <w:sz w:val="32"/>
          <w:szCs w:val="32"/>
        </w:rPr>
        <w:t>2024年本年财政拨款收入252.18万元，其中：一般公共预算财政拨款</w:t>
      </w:r>
      <w:r>
        <w:rPr>
          <w:rFonts w:hint="eastAsia" w:ascii="仿宋" w:hAnsi="仿宋" w:eastAsia="仿宋" w:cs="仿宋"/>
          <w:b w:val="0"/>
          <w:bCs w:val="0"/>
          <w:sz w:val="32"/>
          <w:szCs w:val="32"/>
          <w:lang w:val="en-US" w:eastAsia="zh-CN"/>
        </w:rPr>
        <w:t>252.18</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p>
    <w:p>
      <w:pPr>
        <w:spacing w:line="572" w:lineRule="exact"/>
        <w:ind w:firstLine="634"/>
        <w:rPr>
          <w:rFonts w:hint="eastAsia" w:ascii="仿宋" w:hAnsi="仿宋" w:eastAsia="仿宋" w:cs="仿宋"/>
          <w:sz w:val="32"/>
          <w:szCs w:val="32"/>
        </w:rPr>
      </w:pPr>
      <w:r>
        <w:rPr>
          <w:rFonts w:hint="eastAsia" w:ascii="仿宋" w:hAnsi="仿宋" w:eastAsia="仿宋" w:cs="仿宋"/>
          <w:b/>
          <w:bCs/>
          <w:sz w:val="32"/>
          <w:szCs w:val="32"/>
        </w:rPr>
        <w:t>市公路事业发展中心：</w:t>
      </w:r>
      <w:r>
        <w:rPr>
          <w:rFonts w:hint="eastAsia" w:ascii="仿宋" w:hAnsi="仿宋" w:eastAsia="仿宋" w:cs="仿宋"/>
          <w:sz w:val="32"/>
          <w:szCs w:val="32"/>
        </w:rPr>
        <w:t>2024年本年财政拨款收入1432.83万元，其中：一般公共预算财政拨款1432.83万元。</w:t>
      </w:r>
    </w:p>
    <w:p>
      <w:pPr>
        <w:spacing w:line="572" w:lineRule="exact"/>
        <w:ind w:firstLine="632"/>
        <w:rPr>
          <w:rFonts w:hint="eastAsia" w:ascii="仿宋" w:hAnsi="仿宋" w:eastAsia="仿宋" w:cs="仿宋"/>
          <w:b/>
          <w:bCs/>
          <w:sz w:val="32"/>
          <w:szCs w:val="32"/>
          <w:highlight w:val="yellow"/>
        </w:rPr>
      </w:pPr>
      <w:r>
        <w:rPr>
          <w:rFonts w:hint="eastAsia" w:ascii="仿宋" w:hAnsi="仿宋" w:eastAsia="仿宋" w:cs="仿宋"/>
          <w:b/>
          <w:bCs/>
          <w:sz w:val="32"/>
          <w:szCs w:val="32"/>
        </w:rPr>
        <w:t>市公路养护总段：</w:t>
      </w:r>
      <w:r>
        <w:rPr>
          <w:rFonts w:hint="eastAsia" w:ascii="仿宋" w:hAnsi="仿宋" w:eastAsia="仿宋" w:cs="仿宋"/>
          <w:sz w:val="32"/>
          <w:szCs w:val="32"/>
        </w:rPr>
        <w:t>2024年本年财政拨款收入</w:t>
      </w:r>
      <w:r>
        <w:rPr>
          <w:rFonts w:hint="eastAsia" w:ascii="仿宋" w:hAnsi="仿宋" w:eastAsia="仿宋" w:cs="仿宋"/>
          <w:bCs/>
          <w:color w:val="000000"/>
          <w:sz w:val="32"/>
          <w:szCs w:val="32"/>
        </w:rPr>
        <w:t>10,432.79</w:t>
      </w:r>
      <w:r>
        <w:rPr>
          <w:rFonts w:hint="eastAsia" w:ascii="仿宋" w:hAnsi="仿宋" w:eastAsia="仿宋" w:cs="仿宋"/>
          <w:sz w:val="32"/>
          <w:szCs w:val="32"/>
        </w:rPr>
        <w:t>万元，其中：一般公共预算财政拨款</w:t>
      </w:r>
      <w:r>
        <w:rPr>
          <w:rFonts w:hint="eastAsia" w:ascii="仿宋" w:hAnsi="仿宋" w:eastAsia="仿宋" w:cs="仿宋"/>
          <w:bCs/>
          <w:color w:val="000000"/>
          <w:sz w:val="32"/>
          <w:szCs w:val="32"/>
        </w:rPr>
        <w:t>10,382.39</w:t>
      </w:r>
      <w:r>
        <w:rPr>
          <w:rFonts w:hint="eastAsia" w:ascii="仿宋" w:hAnsi="仿宋" w:eastAsia="仿宋" w:cs="仿宋"/>
          <w:sz w:val="32"/>
          <w:szCs w:val="32"/>
        </w:rPr>
        <w:t>万元；政府性基金预算50.4万元。</w:t>
      </w:r>
    </w:p>
    <w:p>
      <w:pPr>
        <w:widowControl/>
        <w:numPr>
          <w:ilvl w:val="0"/>
          <w:numId w:val="6"/>
        </w:numPr>
        <w:adjustRightInd w:val="0"/>
        <w:snapToGrid w:val="0"/>
        <w:spacing w:line="580" w:lineRule="exact"/>
        <w:ind w:firstLine="634"/>
        <w:contextualSpacing/>
        <w:rPr>
          <w:rFonts w:hint="eastAsia" w:ascii="仿宋" w:hAnsi="仿宋" w:eastAsia="仿宋" w:cs="仿宋"/>
          <w:b/>
          <w:bCs/>
          <w:color w:val="000000"/>
          <w:sz w:val="32"/>
          <w:szCs w:val="32"/>
          <w:shd w:val="clear" w:color="auto" w:fill="FFFFFF"/>
          <w:lang w:val="zh-CN"/>
        </w:rPr>
      </w:pPr>
      <w:r>
        <w:rPr>
          <w:rFonts w:hint="eastAsia" w:ascii="仿宋" w:hAnsi="仿宋" w:eastAsia="仿宋" w:cs="仿宋"/>
          <w:b/>
          <w:bCs/>
          <w:color w:val="000000"/>
          <w:sz w:val="32"/>
          <w:szCs w:val="32"/>
          <w:shd w:val="clear" w:color="auto" w:fill="FFFFFF"/>
          <w:lang w:val="zh-CN"/>
        </w:rPr>
        <w:t>支出情况。</w:t>
      </w:r>
    </w:p>
    <w:p>
      <w:pPr>
        <w:snapToGrid w:val="0"/>
        <w:spacing w:line="520" w:lineRule="exact"/>
        <w:ind w:firstLine="632"/>
        <w:rPr>
          <w:rFonts w:hint="eastAsia" w:ascii="仿宋" w:hAnsi="仿宋" w:eastAsia="仿宋" w:cs="仿宋"/>
          <w:b/>
          <w:bCs/>
          <w:color w:val="000000"/>
          <w:sz w:val="32"/>
          <w:szCs w:val="32"/>
          <w:shd w:val="clear" w:color="auto" w:fill="FFFFFF"/>
        </w:rPr>
      </w:pPr>
      <w:r>
        <w:rPr>
          <w:rFonts w:hint="eastAsia" w:ascii="仿宋" w:hAnsi="仿宋" w:eastAsia="仿宋" w:cs="仿宋"/>
          <w:color w:val="000000"/>
          <w:sz w:val="32"/>
          <w:szCs w:val="32"/>
          <w:shd w:val="clear" w:color="auto" w:fill="FFFFFF"/>
        </w:rPr>
        <w:t xml:space="preserve"> 2024年交通系统全年</w:t>
      </w:r>
      <w:r>
        <w:rPr>
          <w:rFonts w:hint="eastAsia" w:ascii="仿宋" w:hAnsi="仿宋" w:eastAsia="仿宋" w:cs="仿宋"/>
          <w:sz w:val="32"/>
          <w:szCs w:val="32"/>
        </w:rPr>
        <w:t>支出合计为43,060.4万元，其中：</w:t>
      </w:r>
    </w:p>
    <w:p>
      <w:pPr>
        <w:spacing w:line="572" w:lineRule="exact"/>
        <w:ind w:firstLine="634"/>
        <w:rPr>
          <w:rFonts w:hint="eastAsia" w:ascii="仿宋" w:hAnsi="仿宋" w:eastAsia="仿宋" w:cs="仿宋"/>
          <w:sz w:val="32"/>
          <w:szCs w:val="32"/>
        </w:rPr>
      </w:pPr>
      <w:r>
        <w:rPr>
          <w:rFonts w:hint="eastAsia" w:ascii="仿宋" w:hAnsi="仿宋" w:eastAsia="仿宋" w:cs="仿宋"/>
          <w:b/>
          <w:sz w:val="32"/>
          <w:szCs w:val="32"/>
        </w:rPr>
        <w:t>市交通运输局机关：</w:t>
      </w:r>
      <w:r>
        <w:rPr>
          <w:rFonts w:hint="eastAsia" w:ascii="仿宋" w:hAnsi="仿宋" w:eastAsia="仿宋" w:cs="仿宋"/>
          <w:sz w:val="32"/>
          <w:szCs w:val="32"/>
        </w:rPr>
        <w:t>2024年财政资金预算支出27,840.96万元，其中：基本支出1452.23万元；项目支出26388.72万元。</w:t>
      </w:r>
    </w:p>
    <w:p>
      <w:pPr>
        <w:spacing w:line="572" w:lineRule="exact"/>
        <w:ind w:firstLine="634"/>
        <w:rPr>
          <w:rFonts w:hint="eastAsia" w:ascii="仿宋" w:hAnsi="仿宋" w:eastAsia="仿宋" w:cs="仿宋"/>
          <w:b/>
          <w:bCs/>
          <w:sz w:val="32"/>
          <w:szCs w:val="32"/>
        </w:rPr>
      </w:pPr>
      <w:r>
        <w:rPr>
          <w:rFonts w:hint="eastAsia" w:ascii="仿宋" w:hAnsi="仿宋" w:eastAsia="仿宋" w:cs="仿宋"/>
          <w:b/>
          <w:bCs/>
          <w:sz w:val="32"/>
          <w:szCs w:val="32"/>
        </w:rPr>
        <w:t>市交通建设工程服务中心：</w:t>
      </w:r>
      <w:r>
        <w:rPr>
          <w:rFonts w:hint="eastAsia" w:ascii="仿宋" w:hAnsi="仿宋" w:eastAsia="仿宋" w:cs="仿宋"/>
          <w:sz w:val="32"/>
          <w:szCs w:val="32"/>
        </w:rPr>
        <w:t>2024年财政资金预算支出133.53万元，其中：基本支出113.27万元（人员经费98.4万元、公用经费14.87万元）；项目支出20.26万元。</w:t>
      </w:r>
    </w:p>
    <w:p>
      <w:pPr>
        <w:spacing w:line="572" w:lineRule="exact"/>
        <w:ind w:firstLine="634"/>
        <w:rPr>
          <w:rFonts w:hint="eastAsia" w:ascii="仿宋" w:hAnsi="仿宋" w:eastAsia="仿宋" w:cs="仿宋"/>
          <w:sz w:val="32"/>
          <w:szCs w:val="32"/>
          <w:highlight w:val="yellow"/>
        </w:rPr>
      </w:pPr>
      <w:r>
        <w:rPr>
          <w:rFonts w:hint="eastAsia" w:ascii="仿宋" w:hAnsi="仿宋" w:eastAsia="仿宋" w:cs="仿宋"/>
          <w:b/>
          <w:bCs/>
          <w:sz w:val="32"/>
          <w:szCs w:val="32"/>
        </w:rPr>
        <w:t>市交通运输服务中心：</w:t>
      </w:r>
      <w:r>
        <w:rPr>
          <w:rFonts w:hint="eastAsia" w:ascii="仿宋" w:hAnsi="仿宋" w:eastAsia="仿宋" w:cs="仿宋"/>
          <w:sz w:val="32"/>
          <w:szCs w:val="32"/>
        </w:rPr>
        <w:t>2024年财政资金预算支出648.22万元，其中：基本支出609.53万元（人员经费542.97万元、公用经费66.56万元）；项目支出38.69万元。</w:t>
      </w:r>
    </w:p>
    <w:p>
      <w:pPr>
        <w:spacing w:line="572" w:lineRule="exact"/>
        <w:ind w:firstLine="634"/>
        <w:rPr>
          <w:rFonts w:hint="eastAsia" w:ascii="仿宋" w:hAnsi="仿宋" w:eastAsia="仿宋" w:cs="仿宋"/>
          <w:sz w:val="32"/>
          <w:szCs w:val="32"/>
        </w:rPr>
      </w:pPr>
      <w:r>
        <w:rPr>
          <w:rFonts w:hint="eastAsia" w:ascii="仿宋" w:hAnsi="仿宋" w:eastAsia="仿宋" w:cs="仿宋"/>
          <w:b/>
          <w:bCs/>
          <w:sz w:val="32"/>
          <w:szCs w:val="32"/>
        </w:rPr>
        <w:t>市交通运输综合行政执法支队：</w:t>
      </w:r>
      <w:r>
        <w:rPr>
          <w:rFonts w:hint="eastAsia" w:ascii="仿宋" w:hAnsi="仿宋" w:eastAsia="仿宋" w:cs="仿宋"/>
          <w:sz w:val="32"/>
          <w:szCs w:val="32"/>
        </w:rPr>
        <w:t>2024年度财政资金预算支出2360.10万元，其中：基本支出2330.10万元（人员经费2093.26万元、公用经费236.84万元）；项目支出30万元。</w:t>
      </w:r>
    </w:p>
    <w:p>
      <w:pPr>
        <w:spacing w:line="572" w:lineRule="exact"/>
        <w:ind w:firstLine="634"/>
        <w:rPr>
          <w:rFonts w:hint="eastAsia" w:ascii="仿宋" w:hAnsi="仿宋" w:eastAsia="仿宋" w:cs="仿宋"/>
          <w:b w:val="0"/>
          <w:bCs w:val="0"/>
          <w:sz w:val="32"/>
          <w:szCs w:val="32"/>
        </w:rPr>
      </w:pPr>
      <w:r>
        <w:rPr>
          <w:rFonts w:hint="eastAsia" w:ascii="仿宋" w:hAnsi="仿宋" w:eastAsia="仿宋" w:cs="仿宋"/>
          <w:b/>
          <w:bCs/>
          <w:sz w:val="32"/>
          <w:szCs w:val="32"/>
        </w:rPr>
        <w:t>市航务海事中心：</w:t>
      </w:r>
      <w:r>
        <w:rPr>
          <w:rFonts w:hint="eastAsia" w:ascii="仿宋" w:hAnsi="仿宋" w:eastAsia="仿宋" w:cs="仿宋"/>
          <w:b w:val="0"/>
          <w:bCs w:val="0"/>
          <w:sz w:val="32"/>
          <w:szCs w:val="32"/>
        </w:rPr>
        <w:t>2024年度年财政资金预算支出</w:t>
      </w:r>
      <w:r>
        <w:rPr>
          <w:rFonts w:hint="eastAsia" w:ascii="仿宋" w:hAnsi="仿宋" w:eastAsia="仿宋" w:cs="仿宋"/>
          <w:b w:val="0"/>
          <w:bCs w:val="0"/>
          <w:sz w:val="32"/>
          <w:szCs w:val="32"/>
          <w:lang w:val="en-US" w:eastAsia="zh-CN"/>
        </w:rPr>
        <w:t>252.18</w:t>
      </w:r>
      <w:r>
        <w:rPr>
          <w:rFonts w:hint="eastAsia" w:ascii="仿宋" w:hAnsi="仿宋" w:eastAsia="仿宋" w:cs="仿宋"/>
          <w:b w:val="0"/>
          <w:bCs w:val="0"/>
          <w:sz w:val="32"/>
          <w:szCs w:val="32"/>
        </w:rPr>
        <w:t>万元，其中：基本支出2</w:t>
      </w:r>
      <w:r>
        <w:rPr>
          <w:rFonts w:hint="eastAsia" w:ascii="仿宋" w:hAnsi="仿宋" w:eastAsia="仿宋" w:cs="仿宋"/>
          <w:b w:val="0"/>
          <w:bCs w:val="0"/>
          <w:sz w:val="32"/>
          <w:szCs w:val="32"/>
          <w:lang w:val="en-US" w:eastAsia="zh-CN"/>
        </w:rPr>
        <w:t>50.18</w:t>
      </w:r>
      <w:r>
        <w:rPr>
          <w:rFonts w:hint="eastAsia" w:ascii="仿宋" w:hAnsi="仿宋" w:eastAsia="仿宋" w:cs="仿宋"/>
          <w:b w:val="0"/>
          <w:bCs w:val="0"/>
          <w:sz w:val="32"/>
          <w:szCs w:val="32"/>
        </w:rPr>
        <w:t>万元（人员经费</w:t>
      </w:r>
      <w:r>
        <w:rPr>
          <w:rFonts w:hint="eastAsia" w:ascii="仿宋" w:hAnsi="仿宋" w:eastAsia="仿宋" w:cs="仿宋"/>
          <w:b w:val="0"/>
          <w:bCs w:val="0"/>
          <w:sz w:val="32"/>
          <w:szCs w:val="32"/>
          <w:lang w:val="en-US" w:eastAsia="zh-CN"/>
        </w:rPr>
        <w:t>221.38</w:t>
      </w:r>
      <w:r>
        <w:rPr>
          <w:rFonts w:hint="eastAsia" w:ascii="仿宋" w:hAnsi="仿宋" w:eastAsia="仿宋" w:cs="仿宋"/>
          <w:b w:val="0"/>
          <w:bCs w:val="0"/>
          <w:sz w:val="32"/>
          <w:szCs w:val="32"/>
        </w:rPr>
        <w:t>万元、公用经费</w:t>
      </w:r>
      <w:r>
        <w:rPr>
          <w:rFonts w:hint="eastAsia" w:ascii="仿宋" w:hAnsi="仿宋" w:eastAsia="仿宋" w:cs="仿宋"/>
          <w:b w:val="0"/>
          <w:bCs w:val="0"/>
          <w:sz w:val="32"/>
          <w:szCs w:val="32"/>
          <w:lang w:val="en-US" w:eastAsia="zh-CN"/>
        </w:rPr>
        <w:t>28.79</w:t>
      </w:r>
      <w:r>
        <w:rPr>
          <w:rFonts w:hint="eastAsia" w:ascii="仿宋" w:hAnsi="仿宋" w:eastAsia="仿宋" w:cs="仿宋"/>
          <w:b w:val="0"/>
          <w:bCs w:val="0"/>
          <w:sz w:val="32"/>
          <w:szCs w:val="32"/>
        </w:rPr>
        <w:t>万元）；项目支出</w:t>
      </w:r>
      <w:r>
        <w:rPr>
          <w:rFonts w:hint="eastAsia" w:ascii="仿宋" w:hAnsi="仿宋" w:eastAsia="仿宋" w:cs="仿宋"/>
          <w:b w:val="0"/>
          <w:bCs w:val="0"/>
          <w:sz w:val="32"/>
          <w:szCs w:val="32"/>
          <w:lang w:val="en-US" w:eastAsia="zh-CN"/>
        </w:rPr>
        <w:t>2.00</w:t>
      </w:r>
      <w:r>
        <w:rPr>
          <w:rFonts w:hint="eastAsia" w:ascii="仿宋" w:hAnsi="仿宋" w:eastAsia="仿宋" w:cs="仿宋"/>
          <w:b w:val="0"/>
          <w:bCs w:val="0"/>
          <w:sz w:val="32"/>
          <w:szCs w:val="32"/>
        </w:rPr>
        <w:t>万元。</w:t>
      </w:r>
    </w:p>
    <w:p>
      <w:pPr>
        <w:spacing w:line="572" w:lineRule="exact"/>
        <w:ind w:firstLine="634"/>
        <w:rPr>
          <w:rFonts w:hint="eastAsia" w:ascii="仿宋" w:hAnsi="仿宋" w:eastAsia="仿宋" w:cs="仿宋"/>
          <w:sz w:val="32"/>
          <w:szCs w:val="32"/>
        </w:rPr>
      </w:pPr>
      <w:r>
        <w:rPr>
          <w:rFonts w:hint="eastAsia" w:ascii="仿宋" w:hAnsi="仿宋" w:eastAsia="仿宋" w:cs="仿宋"/>
          <w:b/>
          <w:bCs/>
          <w:sz w:val="32"/>
          <w:szCs w:val="32"/>
        </w:rPr>
        <w:t>市公路事业发展中心：</w:t>
      </w:r>
      <w:r>
        <w:rPr>
          <w:rFonts w:hint="eastAsia" w:ascii="仿宋" w:hAnsi="仿宋" w:eastAsia="仿宋" w:cs="仿宋"/>
          <w:sz w:val="32"/>
          <w:szCs w:val="32"/>
        </w:rPr>
        <w:t>2024年财政资金预算支出1432.83万元，其中：基本支出760.42万元（人员经费674.04万元、公用经费86.38万元）；项目支出672.41万元。</w:t>
      </w:r>
    </w:p>
    <w:p>
      <w:pPr>
        <w:spacing w:line="572" w:lineRule="exact"/>
        <w:ind w:firstLine="634"/>
        <w:rPr>
          <w:rFonts w:hint="eastAsia" w:ascii="仿宋" w:hAnsi="仿宋" w:eastAsia="仿宋" w:cs="仿宋"/>
          <w:b/>
          <w:bCs/>
          <w:sz w:val="32"/>
          <w:szCs w:val="32"/>
          <w:highlight w:val="yellow"/>
        </w:rPr>
      </w:pPr>
      <w:r>
        <w:rPr>
          <w:rFonts w:hint="eastAsia" w:ascii="仿宋" w:hAnsi="仿宋" w:eastAsia="仿宋" w:cs="仿宋"/>
          <w:b/>
          <w:bCs/>
          <w:sz w:val="32"/>
          <w:szCs w:val="32"/>
        </w:rPr>
        <w:t>市公路养护总段：2</w:t>
      </w:r>
      <w:r>
        <w:rPr>
          <w:rFonts w:hint="eastAsia" w:ascii="仿宋" w:hAnsi="仿宋" w:eastAsia="仿宋" w:cs="仿宋"/>
          <w:sz w:val="32"/>
          <w:szCs w:val="32"/>
        </w:rPr>
        <w:t>024年财政资金预算支出</w:t>
      </w:r>
      <w:r>
        <w:rPr>
          <w:rFonts w:hint="eastAsia" w:ascii="仿宋" w:hAnsi="仿宋" w:eastAsia="仿宋" w:cs="仿宋"/>
          <w:bCs/>
          <w:color w:val="000000"/>
          <w:sz w:val="32"/>
          <w:szCs w:val="32"/>
        </w:rPr>
        <w:t>10,432.79</w:t>
      </w:r>
      <w:r>
        <w:rPr>
          <w:rFonts w:hint="eastAsia" w:ascii="仿宋" w:hAnsi="仿宋" w:eastAsia="仿宋" w:cs="仿宋"/>
          <w:sz w:val="32"/>
          <w:szCs w:val="32"/>
        </w:rPr>
        <w:t>万元，其中：基本支出</w:t>
      </w:r>
      <w:r>
        <w:rPr>
          <w:rFonts w:hint="eastAsia" w:ascii="仿宋" w:hAnsi="仿宋" w:eastAsia="仿宋" w:cs="仿宋"/>
          <w:bCs/>
          <w:color w:val="000000"/>
          <w:sz w:val="32"/>
          <w:szCs w:val="32"/>
        </w:rPr>
        <w:t>10,382.39</w:t>
      </w:r>
      <w:r>
        <w:rPr>
          <w:rFonts w:hint="eastAsia" w:ascii="仿宋" w:hAnsi="仿宋" w:eastAsia="仿宋" w:cs="仿宋"/>
          <w:sz w:val="32"/>
          <w:szCs w:val="32"/>
        </w:rPr>
        <w:t>万元(人员经费）；项目支出50.4万元。</w:t>
      </w:r>
    </w:p>
    <w:p>
      <w:pPr>
        <w:numPr>
          <w:ilvl w:val="0"/>
          <w:numId w:val="6"/>
        </w:numPr>
        <w:spacing w:line="572" w:lineRule="exact"/>
        <w:ind w:firstLine="63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结余分配和结转结余情况。</w:t>
      </w:r>
    </w:p>
    <w:p>
      <w:pPr>
        <w:spacing w:line="572" w:lineRule="exact"/>
        <w:ind w:left="420" w:leftChars="200" w:firstLine="0" w:firstLineChars="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2024年无结转结余。</w:t>
      </w: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三、部门预算绩效分析</w:t>
      </w:r>
    </w:p>
    <w:p>
      <w:pPr>
        <w:keepNext w:val="0"/>
        <w:keepLines w:val="0"/>
        <w:widowControl w:val="0"/>
        <w:suppressLineNumbers w:val="0"/>
        <w:spacing w:before="0" w:beforeAutospacing="0" w:after="0" w:afterAutospacing="0"/>
        <w:ind w:left="0" w:right="0" w:firstLine="643" w:firstLineChars="200"/>
        <w:jc w:val="both"/>
        <w:rPr>
          <w:rFonts w:hint="default" w:ascii="仿宋_GB2312" w:hAnsi="Times New Roman" w:eastAsia="仿宋_GB2312" w:cs="Times New Roman"/>
          <w:kern w:val="2"/>
          <w:sz w:val="32"/>
          <w:szCs w:val="32"/>
        </w:rPr>
      </w:pPr>
      <w:r>
        <w:rPr>
          <w:rFonts w:hint="default" w:ascii="楷体_GB2312" w:hAnsi="Times New Roman" w:eastAsia="楷体_GB2312" w:cs="楷体_GB2312"/>
          <w:b/>
          <w:bCs w:val="0"/>
          <w:kern w:val="2"/>
          <w:sz w:val="32"/>
          <w:szCs w:val="32"/>
          <w:lang w:val="en-US" w:eastAsia="zh-CN" w:bidi="ar"/>
        </w:rPr>
        <w:t>（一）部门预算总体绩效分析。</w:t>
      </w:r>
    </w:p>
    <w:p>
      <w:pPr>
        <w:spacing w:line="576" w:lineRule="exact"/>
        <w:ind w:firstLine="800" w:firstLineChars="250"/>
        <w:jc w:val="both"/>
        <w:rPr>
          <w:rFonts w:hint="eastAsia" w:ascii="仿宋" w:hAnsi="仿宋" w:eastAsia="仿宋" w:cs="仿宋"/>
          <w:color w:val="000000"/>
          <w:spacing w:val="-6"/>
          <w:sz w:val="32"/>
          <w:szCs w:val="32"/>
        </w:rPr>
      </w:pPr>
      <w:r>
        <w:rPr>
          <w:rFonts w:hint="default" w:ascii="楷体_GB2312" w:hAnsi="Times New Roman" w:eastAsia="楷体_GB2312" w:cs="楷体_GB2312"/>
          <w:color w:val="000000"/>
          <w:kern w:val="0"/>
          <w:sz w:val="32"/>
          <w:szCs w:val="32"/>
          <w:shd w:val="clear" w:fill="FFFFFF"/>
          <w:lang w:val="en-US" w:eastAsia="zh-CN" w:bidi="ar"/>
        </w:rPr>
        <w:t>1.履职效能。</w:t>
      </w:r>
      <w:r>
        <w:rPr>
          <w:rFonts w:hint="eastAsia" w:ascii="仿宋" w:hAnsi="仿宋" w:eastAsia="仿宋" w:cs="仿宋"/>
          <w:bCs/>
          <w:sz w:val="32"/>
          <w:szCs w:val="32"/>
        </w:rPr>
        <w:t>2024年完成交通固定资产投资26.25亿元，占省厅下达年度目标任务35.44亿元的74.1%。其中，高速公路完成11.48亿元、国省干线完成9.72亿元、农村公路完成3.28亿元、站点建设完成0.09亿元、养护及其它专项完成1.68亿元。向上争取资金4.89亿元，是全年目标任务的111.3%；全市公路运输周转量553980.73万吨公里，同比增长3.49%。加强主动沟通对接，交通运输厅在省级部门中率先与市政府签订支持攀枝花共富战略合作协议，促成</w:t>
      </w:r>
      <w:r>
        <w:rPr>
          <w:rFonts w:hint="eastAsia" w:ascii="仿宋" w:hAnsi="仿宋" w:eastAsia="仿宋" w:cs="仿宋"/>
          <w:bCs/>
          <w:sz w:val="32"/>
          <w:szCs w:val="32"/>
          <w:lang w:val="zh-CN"/>
        </w:rPr>
        <w:t>交通运输厅与市政府联合印发共富交通运输实施方案，</w:t>
      </w:r>
      <w:r>
        <w:rPr>
          <w:rFonts w:hint="eastAsia" w:ascii="仿宋" w:hAnsi="仿宋" w:eastAsia="仿宋" w:cs="仿宋"/>
          <w:color w:val="000000"/>
          <w:spacing w:val="-6"/>
          <w:sz w:val="32"/>
          <w:szCs w:val="32"/>
          <w:lang w:val="zh-CN"/>
        </w:rPr>
        <w:t>明确计划实施项目总投资644.5亿元，其中2023—2027年计划完成投资260.4亿元。我市获评</w:t>
      </w:r>
      <w:r>
        <w:rPr>
          <w:rFonts w:hint="eastAsia" w:ascii="仿宋" w:hAnsi="仿宋" w:eastAsia="仿宋" w:cs="仿宋"/>
          <w:color w:val="000000"/>
          <w:spacing w:val="-6"/>
          <w:sz w:val="32"/>
          <w:szCs w:val="32"/>
        </w:rPr>
        <w:t>2024年</w:t>
      </w:r>
      <w:r>
        <w:rPr>
          <w:rFonts w:hint="eastAsia" w:ascii="仿宋" w:hAnsi="仿宋" w:eastAsia="仿宋" w:cs="仿宋"/>
          <w:color w:val="000000"/>
          <w:spacing w:val="-6"/>
          <w:sz w:val="32"/>
          <w:szCs w:val="32"/>
          <w:lang w:val="zh-CN"/>
        </w:rPr>
        <w:t>省春运工作表现突出市（州）专班。</w:t>
      </w:r>
      <w:r>
        <w:rPr>
          <w:rFonts w:hint="eastAsia" w:ascii="仿宋" w:hAnsi="仿宋" w:eastAsia="仿宋" w:cs="仿宋"/>
          <w:bCs/>
          <w:sz w:val="32"/>
          <w:szCs w:val="32"/>
        </w:rPr>
        <w:t>9月15日</w:t>
      </w:r>
      <w:r>
        <w:rPr>
          <w:rFonts w:hint="eastAsia" w:ascii="仿宋" w:hAnsi="仿宋" w:eastAsia="仿宋" w:cs="仿宋"/>
          <w:color w:val="000000"/>
          <w:spacing w:val="-6"/>
          <w:sz w:val="32"/>
          <w:szCs w:val="32"/>
        </w:rPr>
        <w:t>攀枝花和爱互通至金江枢纽段29公里建成试通车，10月22日攀宁高速火山隧道双洞贯通。</w:t>
      </w:r>
    </w:p>
    <w:p>
      <w:pPr>
        <w:spacing w:line="576" w:lineRule="exact"/>
        <w:ind w:firstLine="608"/>
        <w:jc w:val="both"/>
        <w:rPr>
          <w:rFonts w:hint="eastAsia" w:ascii="仿宋" w:hAnsi="仿宋" w:eastAsia="仿宋" w:cs="仿宋"/>
          <w:color w:val="000000"/>
          <w:kern w:val="0"/>
          <w:sz w:val="32"/>
          <w:szCs w:val="32"/>
          <w:shd w:val="clear" w:fill="FFFFFF"/>
        </w:rPr>
      </w:pPr>
      <w:r>
        <w:rPr>
          <w:rFonts w:hint="default" w:ascii="楷体_GB2312" w:hAnsi="Times New Roman" w:eastAsia="楷体_GB2312" w:cs="楷体_GB2312"/>
          <w:color w:val="000000"/>
          <w:kern w:val="0"/>
          <w:sz w:val="32"/>
          <w:szCs w:val="32"/>
          <w:shd w:val="clear" w:fill="FFFFFF"/>
          <w:lang w:val="en-US" w:eastAsia="zh-CN" w:bidi="ar"/>
        </w:rPr>
        <w:t>2.预算管理。</w:t>
      </w:r>
      <w:r>
        <w:rPr>
          <w:rFonts w:hint="eastAsia" w:ascii="仿宋" w:hAnsi="仿宋" w:eastAsia="仿宋" w:cs="仿宋"/>
          <w:color w:val="000000"/>
          <w:spacing w:val="-6"/>
          <w:sz w:val="32"/>
          <w:szCs w:val="32"/>
        </w:rPr>
        <w:t>根据相关财务管理要求，科学编制预算，保证预算的合理性、科学性和前瞻性；严格执行预算，严控一般性支出，确保资金预算保证单位基本运转。</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left"/>
        <w:rPr>
          <w:rFonts w:hint="default" w:ascii="楷体_GB2312" w:eastAsia="楷体_GB2312" w:cs="楷体_GB2312"/>
          <w:color w:val="000000"/>
          <w:kern w:val="0"/>
          <w:sz w:val="32"/>
          <w:szCs w:val="32"/>
          <w:shd w:val="clear" w:fill="FFFFFF"/>
        </w:rPr>
      </w:pPr>
      <w:r>
        <w:rPr>
          <w:rFonts w:hint="default" w:ascii="楷体_GB2312" w:hAnsi="Times New Roman" w:eastAsia="楷体_GB2312" w:cs="楷体_GB2312"/>
          <w:color w:val="000000"/>
          <w:kern w:val="0"/>
          <w:sz w:val="32"/>
          <w:szCs w:val="32"/>
          <w:shd w:val="clear" w:fill="FFFFFF"/>
          <w:lang w:val="en-US" w:eastAsia="zh-CN" w:bidi="ar"/>
        </w:rPr>
        <w:t>3.财务管理。建立健全</w:t>
      </w:r>
      <w:r>
        <w:rPr>
          <w:rFonts w:hint="default" w:ascii="仿宋_GB2312" w:hAnsi="Times New Roman" w:eastAsia="仿宋_GB2312" w:cs="仿宋_GB2312"/>
          <w:kern w:val="2"/>
          <w:sz w:val="32"/>
          <w:szCs w:val="32"/>
          <w:lang w:val="en-US" w:eastAsia="zh-CN" w:bidi="ar"/>
        </w:rPr>
        <w:t>财务管理制度、加强内部控制建设，科学合理设置财务岗位、资金使用规范。</w:t>
      </w:r>
    </w:p>
    <w:p>
      <w:pPr>
        <w:spacing w:line="576" w:lineRule="exact"/>
        <w:ind w:firstLine="583" w:firstLineChars="0"/>
        <w:jc w:val="both"/>
        <w:rPr>
          <w:rFonts w:hint="eastAsia" w:ascii="仿宋" w:hAnsi="仿宋" w:eastAsia="仿宋" w:cs="仿宋"/>
          <w:color w:val="000000"/>
          <w:spacing w:val="-6"/>
          <w:sz w:val="32"/>
          <w:szCs w:val="32"/>
        </w:rPr>
      </w:pPr>
      <w:r>
        <w:rPr>
          <w:rFonts w:hint="default" w:ascii="楷体_GB2312" w:hAnsi="Times New Roman" w:eastAsia="楷体_GB2312" w:cs="楷体_GB2312"/>
          <w:color w:val="000000"/>
          <w:kern w:val="0"/>
          <w:sz w:val="32"/>
          <w:szCs w:val="32"/>
          <w:shd w:val="clear" w:fill="FFFFFF"/>
          <w:lang w:val="en-US" w:eastAsia="zh-CN" w:bidi="ar"/>
        </w:rPr>
        <w:t>4.资产管理。</w:t>
      </w:r>
      <w:r>
        <w:rPr>
          <w:rFonts w:hint="eastAsia" w:ascii="仿宋" w:hAnsi="仿宋" w:eastAsia="仿宋" w:cs="仿宋"/>
          <w:color w:val="000000"/>
          <w:spacing w:val="-6"/>
          <w:sz w:val="32"/>
          <w:szCs w:val="32"/>
        </w:rPr>
        <w:t>资产管理符合行政单位资产管理特点，2024年人均资产变化率1.52%，资产采购、管理、报废均符合财政资产管理要求。</w:t>
      </w:r>
    </w:p>
    <w:p>
      <w:pPr>
        <w:keepNext w:val="0"/>
        <w:keepLines w:val="0"/>
        <w:widowControl w:val="0"/>
        <w:suppressLineNumbers w:val="0"/>
        <w:adjustRightInd w:val="0"/>
        <w:snapToGrid w:val="0"/>
        <w:spacing w:before="0" w:beforeAutospacing="0" w:after="0" w:afterAutospacing="0" w:line="578" w:lineRule="exact"/>
        <w:ind w:left="0" w:right="0" w:firstLine="640" w:firstLineChars="200"/>
        <w:jc w:val="left"/>
        <w:rPr>
          <w:rFonts w:hint="eastAsia" w:ascii="仿宋" w:hAnsi="仿宋" w:eastAsia="仿宋" w:cs="仿宋"/>
          <w:color w:val="000000"/>
          <w:kern w:val="0"/>
          <w:sz w:val="32"/>
          <w:szCs w:val="32"/>
          <w:shd w:val="clear" w:fill="FFFFFF"/>
        </w:rPr>
      </w:pPr>
      <w:r>
        <w:rPr>
          <w:rFonts w:hint="default" w:ascii="楷体_GB2312" w:hAnsi="Times New Roman" w:eastAsia="楷体_GB2312" w:cs="楷体_GB2312"/>
          <w:color w:val="000000"/>
          <w:kern w:val="0"/>
          <w:sz w:val="32"/>
          <w:szCs w:val="32"/>
          <w:shd w:val="clear" w:fill="FFFFFF"/>
          <w:lang w:val="en-US" w:eastAsia="zh-CN" w:bidi="ar"/>
        </w:rPr>
        <w:t>5.采购管理。</w:t>
      </w:r>
      <w:r>
        <w:rPr>
          <w:rFonts w:hint="eastAsia" w:ascii="仿宋" w:hAnsi="仿宋" w:eastAsia="仿宋" w:cs="仿宋"/>
          <w:color w:val="000000"/>
          <w:kern w:val="0"/>
          <w:sz w:val="32"/>
          <w:szCs w:val="32"/>
          <w:shd w:val="clear" w:fill="FFFFFF"/>
          <w:lang w:val="en-US" w:eastAsia="zh-CN" w:bidi="ar"/>
        </w:rPr>
        <w:t>严格按照政府采购相关法律法规开展政府采购业务，确保政府采购公开、公正、合法。</w:t>
      </w:r>
    </w:p>
    <w:p>
      <w:pPr>
        <w:keepNext w:val="0"/>
        <w:keepLines w:val="0"/>
        <w:widowControl w:val="0"/>
        <w:suppressLineNumbers w:val="0"/>
        <w:spacing w:before="0" w:beforeAutospacing="0" w:after="0" w:afterAutospacing="0"/>
        <w:ind w:left="0" w:right="0" w:firstLine="643" w:firstLineChars="200"/>
        <w:jc w:val="both"/>
        <w:rPr>
          <w:rFonts w:hint="default" w:ascii="Times New Roman" w:hAnsi="Times New Roman" w:eastAsia="仿宋_GB2312" w:cs="Times New Roman"/>
          <w:kern w:val="2"/>
          <w:sz w:val="32"/>
          <w:szCs w:val="32"/>
          <w:highlight w:val="yellow"/>
        </w:rPr>
      </w:pPr>
      <w:r>
        <w:rPr>
          <w:rFonts w:hint="default" w:ascii="楷体_GB2312" w:hAnsi="Times New Roman" w:eastAsia="楷体_GB2312" w:cs="楷体_GB2312"/>
          <w:b/>
          <w:bCs w:val="0"/>
          <w:kern w:val="2"/>
          <w:sz w:val="32"/>
          <w:szCs w:val="32"/>
          <w:lang w:val="en-US" w:eastAsia="zh-CN" w:bidi="ar"/>
        </w:rPr>
        <w:t>（二）部门预算项目绩效分析。</w:t>
      </w:r>
    </w:p>
    <w:p>
      <w:pPr>
        <w:widowControl/>
        <w:adjustRightInd w:val="0"/>
        <w:snapToGrid w:val="0"/>
        <w:spacing w:line="580" w:lineRule="exact"/>
        <w:ind w:firstLine="632"/>
        <w:contextualSpacing/>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zh-CN"/>
        </w:rPr>
        <w:t>常年项目绩效分析。该类项目总数</w:t>
      </w:r>
      <w:r>
        <w:rPr>
          <w:rFonts w:hint="eastAsia" w:ascii="仿宋" w:hAnsi="仿宋" w:eastAsia="仿宋" w:cs="仿宋"/>
          <w:color w:val="000000"/>
          <w:sz w:val="32"/>
          <w:szCs w:val="32"/>
          <w:shd w:val="clear" w:color="auto" w:fill="FFFFFF"/>
          <w:lang w:val="en-US" w:eastAsia="zh-CN"/>
        </w:rPr>
        <w:t>11</w:t>
      </w:r>
      <w:r>
        <w:rPr>
          <w:rFonts w:hint="eastAsia" w:ascii="仿宋" w:hAnsi="仿宋" w:eastAsia="仿宋" w:cs="仿宋"/>
          <w:color w:val="000000"/>
          <w:sz w:val="32"/>
          <w:szCs w:val="32"/>
          <w:shd w:val="clear" w:color="auto" w:fill="FFFFFF"/>
        </w:rPr>
        <w:t>个，涉及预算总金额</w:t>
      </w:r>
      <w:r>
        <w:rPr>
          <w:rFonts w:hint="eastAsia" w:ascii="仿宋" w:hAnsi="仿宋" w:eastAsia="仿宋" w:cs="仿宋"/>
          <w:color w:val="000000"/>
          <w:sz w:val="32"/>
          <w:szCs w:val="32"/>
          <w:shd w:val="clear" w:color="auto" w:fill="FFFFFF"/>
          <w:lang w:val="en-US" w:eastAsia="zh-CN"/>
        </w:rPr>
        <w:t>1862.09</w:t>
      </w:r>
      <w:r>
        <w:rPr>
          <w:rFonts w:hint="eastAsia" w:ascii="仿宋" w:hAnsi="仿宋" w:eastAsia="仿宋" w:cs="仿宋"/>
          <w:color w:val="000000"/>
          <w:sz w:val="32"/>
          <w:szCs w:val="32"/>
          <w:shd w:val="clear" w:color="auto" w:fill="FFFFFF"/>
        </w:rPr>
        <w:t>万元，1-12月预算执行总体进度为</w:t>
      </w:r>
      <w:r>
        <w:rPr>
          <w:rFonts w:hint="eastAsia" w:ascii="仿宋" w:hAnsi="仿宋" w:eastAsia="仿宋" w:cs="仿宋"/>
          <w:color w:val="000000"/>
          <w:sz w:val="32"/>
          <w:szCs w:val="32"/>
          <w:shd w:val="clear" w:color="auto" w:fill="FFFFFF"/>
          <w:lang w:val="en-US" w:eastAsia="zh-CN"/>
        </w:rPr>
        <w:t>100</w:t>
      </w:r>
      <w:r>
        <w:rPr>
          <w:rFonts w:hint="eastAsia" w:ascii="仿宋" w:hAnsi="仿宋" w:eastAsia="仿宋" w:cs="仿宋"/>
          <w:color w:val="000000"/>
          <w:sz w:val="32"/>
          <w:szCs w:val="32"/>
          <w:shd w:val="clear" w:color="auto" w:fill="FFFFFF"/>
        </w:rPr>
        <w:t>%，其中：预算结余率大于10%的项目共计</w:t>
      </w:r>
      <w:r>
        <w:rPr>
          <w:rFonts w:hint="eastAsia" w:ascii="仿宋" w:hAnsi="仿宋" w:eastAsia="仿宋" w:cs="仿宋"/>
          <w:color w:val="000000"/>
          <w:sz w:val="32"/>
          <w:szCs w:val="32"/>
          <w:shd w:val="clear" w:color="auto" w:fill="FFFFFF"/>
          <w:lang w:val="en-US" w:eastAsia="zh-CN"/>
        </w:rPr>
        <w:t>0</w:t>
      </w:r>
      <w:r>
        <w:rPr>
          <w:rFonts w:hint="eastAsia" w:ascii="仿宋" w:hAnsi="仿宋" w:eastAsia="仿宋" w:cs="仿宋"/>
          <w:color w:val="000000"/>
          <w:sz w:val="32"/>
          <w:szCs w:val="32"/>
          <w:shd w:val="clear" w:color="auto" w:fill="FFFFFF"/>
        </w:rPr>
        <w:t>个。</w:t>
      </w:r>
    </w:p>
    <w:p>
      <w:pPr>
        <w:adjustRightInd w:val="0"/>
        <w:snapToGrid w:val="0"/>
        <w:spacing w:line="578" w:lineRule="exact"/>
        <w:ind w:firstLine="632"/>
        <w:contextualSpacing/>
        <w:rPr>
          <w:rFonts w:hint="eastAsia" w:ascii="仿宋" w:hAnsi="仿宋" w:eastAsia="仿宋" w:cs="仿宋"/>
          <w:color w:val="000000"/>
          <w:sz w:val="32"/>
          <w:szCs w:val="32"/>
          <w:shd w:val="clear" w:color="auto" w:fill="FFFFFF"/>
          <w:lang w:val="zh-CN"/>
        </w:rPr>
      </w:pPr>
      <w:r>
        <w:rPr>
          <w:rFonts w:hint="eastAsia" w:ascii="仿宋" w:hAnsi="仿宋" w:eastAsia="仿宋" w:cs="仿宋"/>
          <w:color w:val="000000"/>
          <w:sz w:val="32"/>
          <w:szCs w:val="32"/>
          <w:shd w:val="clear" w:color="auto" w:fill="FFFFFF"/>
        </w:rPr>
        <w:t>阶段（含一次性）项目绩效分析。</w:t>
      </w:r>
      <w:r>
        <w:rPr>
          <w:rFonts w:hint="eastAsia" w:ascii="仿宋" w:hAnsi="仿宋" w:eastAsia="仿宋" w:cs="仿宋"/>
          <w:color w:val="000000"/>
          <w:sz w:val="32"/>
          <w:szCs w:val="32"/>
          <w:shd w:val="clear" w:color="auto" w:fill="FFFFFF"/>
          <w:lang w:val="zh-CN"/>
        </w:rPr>
        <w:t>该类项目总数</w:t>
      </w:r>
      <w:r>
        <w:rPr>
          <w:rFonts w:hint="eastAsia" w:ascii="仿宋" w:hAnsi="仿宋" w:eastAsia="仿宋" w:cs="仿宋"/>
          <w:color w:val="000000"/>
          <w:sz w:val="32"/>
          <w:szCs w:val="32"/>
          <w:shd w:val="clear" w:color="auto" w:fill="FFFFFF"/>
          <w:lang w:val="en-US" w:eastAsia="zh-CN"/>
        </w:rPr>
        <w:t>30</w:t>
      </w:r>
      <w:r>
        <w:rPr>
          <w:rFonts w:hint="eastAsia" w:ascii="仿宋" w:hAnsi="仿宋" w:eastAsia="仿宋" w:cs="仿宋"/>
          <w:color w:val="000000"/>
          <w:sz w:val="32"/>
          <w:szCs w:val="32"/>
          <w:shd w:val="clear" w:color="auto" w:fill="FFFFFF"/>
          <w:lang w:val="zh-CN"/>
        </w:rPr>
        <w:t>个，涉及预算总金额</w:t>
      </w:r>
      <w:r>
        <w:rPr>
          <w:rFonts w:hint="eastAsia" w:ascii="仿宋" w:hAnsi="仿宋" w:eastAsia="仿宋" w:cs="仿宋"/>
          <w:color w:val="000000"/>
          <w:sz w:val="32"/>
          <w:szCs w:val="32"/>
          <w:shd w:val="clear" w:color="auto" w:fill="FFFFFF"/>
          <w:lang w:val="en-US" w:eastAsia="zh-CN"/>
        </w:rPr>
        <w:t>24457.7</w:t>
      </w:r>
      <w:r>
        <w:rPr>
          <w:rFonts w:hint="eastAsia" w:ascii="仿宋" w:hAnsi="仿宋" w:eastAsia="仿宋" w:cs="仿宋"/>
          <w:color w:val="000000"/>
          <w:sz w:val="32"/>
          <w:szCs w:val="32"/>
          <w:shd w:val="clear" w:color="auto" w:fill="FFFFFF"/>
          <w:lang w:val="zh-CN"/>
        </w:rPr>
        <w:t>万元，1—1</w:t>
      </w:r>
      <w:r>
        <w:rPr>
          <w:rFonts w:hint="eastAsia" w:ascii="仿宋" w:hAnsi="仿宋" w:eastAsia="仿宋" w:cs="仿宋"/>
          <w:color w:val="000000"/>
          <w:sz w:val="32"/>
          <w:szCs w:val="32"/>
          <w:shd w:val="clear" w:color="auto" w:fill="FFFFFF"/>
        </w:rPr>
        <w:t>2</w:t>
      </w:r>
      <w:r>
        <w:rPr>
          <w:rFonts w:hint="eastAsia" w:ascii="仿宋" w:hAnsi="仿宋" w:eastAsia="仿宋" w:cs="仿宋"/>
          <w:color w:val="000000"/>
          <w:sz w:val="32"/>
          <w:szCs w:val="32"/>
          <w:shd w:val="clear" w:color="auto" w:fill="FFFFFF"/>
          <w:lang w:val="zh-CN"/>
        </w:rPr>
        <w:t>月预算执行总体进度为</w:t>
      </w:r>
      <w:r>
        <w:rPr>
          <w:rFonts w:hint="eastAsia" w:ascii="仿宋" w:hAnsi="仿宋" w:eastAsia="仿宋" w:cs="仿宋"/>
          <w:color w:val="000000"/>
          <w:sz w:val="32"/>
          <w:szCs w:val="32"/>
          <w:shd w:val="clear" w:color="auto" w:fill="FFFFFF"/>
          <w:lang w:val="en-US" w:eastAsia="zh-CN"/>
        </w:rPr>
        <w:t>100</w:t>
      </w:r>
      <w:r>
        <w:rPr>
          <w:rFonts w:hint="eastAsia" w:ascii="仿宋" w:hAnsi="仿宋" w:eastAsia="仿宋" w:cs="仿宋"/>
          <w:color w:val="000000"/>
          <w:sz w:val="32"/>
          <w:szCs w:val="32"/>
          <w:shd w:val="clear" w:color="auto" w:fill="FFFFFF"/>
          <w:lang w:val="zh-CN"/>
        </w:rPr>
        <w:t>%，其中：预算结余率大于</w:t>
      </w:r>
      <w:r>
        <w:rPr>
          <w:rFonts w:hint="eastAsia" w:ascii="仿宋" w:hAnsi="仿宋" w:eastAsia="仿宋" w:cs="仿宋"/>
          <w:color w:val="000000"/>
          <w:sz w:val="32"/>
          <w:szCs w:val="32"/>
          <w:shd w:val="clear" w:color="auto" w:fill="FFFFFF"/>
        </w:rPr>
        <w:t>10%</w:t>
      </w:r>
      <w:r>
        <w:rPr>
          <w:rFonts w:hint="eastAsia" w:ascii="仿宋" w:hAnsi="仿宋" w:eastAsia="仿宋" w:cs="仿宋"/>
          <w:color w:val="000000"/>
          <w:sz w:val="32"/>
          <w:szCs w:val="32"/>
          <w:shd w:val="clear" w:color="auto" w:fill="FFFFFF"/>
          <w:lang w:val="zh-CN"/>
        </w:rPr>
        <w:t>的项目共计</w:t>
      </w:r>
      <w:r>
        <w:rPr>
          <w:rFonts w:hint="eastAsia" w:ascii="仿宋" w:hAnsi="仿宋" w:eastAsia="仿宋" w:cs="仿宋"/>
          <w:color w:val="000000"/>
          <w:sz w:val="32"/>
          <w:szCs w:val="32"/>
          <w:shd w:val="clear" w:color="auto" w:fill="FFFFFF"/>
          <w:lang w:val="en-US" w:eastAsia="zh-CN"/>
        </w:rPr>
        <w:t>0</w:t>
      </w:r>
      <w:r>
        <w:rPr>
          <w:rFonts w:hint="eastAsia" w:ascii="仿宋" w:hAnsi="仿宋" w:eastAsia="仿宋" w:cs="仿宋"/>
          <w:color w:val="000000"/>
          <w:sz w:val="32"/>
          <w:szCs w:val="32"/>
          <w:shd w:val="clear" w:color="auto" w:fill="FFFFFF"/>
          <w:lang w:val="zh-CN"/>
        </w:rPr>
        <w:t>个。</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楷体_GB2312" w:hAnsi="Times New Roman" w:eastAsia="楷体_GB2312" w:cs="楷体_GB2312"/>
          <w:color w:val="000000"/>
          <w:kern w:val="0"/>
          <w:sz w:val="32"/>
          <w:szCs w:val="32"/>
          <w:shd w:val="clear" w:fill="FFFFFF"/>
          <w:lang w:val="en-US" w:eastAsia="zh-CN" w:bidi="ar"/>
        </w:rPr>
        <w:t>1.项目决策。</w:t>
      </w:r>
      <w:r>
        <w:rPr>
          <w:rFonts w:hint="default" w:ascii="仿宋_GB2312" w:hAnsi="Times New Roman" w:eastAsia="仿宋_GB2312" w:cs="仿宋_GB2312"/>
          <w:kern w:val="2"/>
          <w:sz w:val="32"/>
          <w:szCs w:val="32"/>
          <w:lang w:val="en-US" w:eastAsia="zh-CN" w:bidi="ar"/>
        </w:rPr>
        <w:t>项目决策程序合法、目标设置合理、项目入库合规。</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楷体_GB2312" w:hAnsi="Times New Roman" w:eastAsia="楷体_GB2312" w:cs="楷体_GB2312"/>
          <w:color w:val="000000"/>
          <w:kern w:val="0"/>
          <w:sz w:val="32"/>
          <w:szCs w:val="32"/>
          <w:shd w:val="clear" w:fill="FFFFFF"/>
          <w:lang w:val="en-US" w:eastAsia="zh-CN" w:bidi="ar"/>
        </w:rPr>
        <w:t>2.项目执行。</w:t>
      </w:r>
      <w:r>
        <w:rPr>
          <w:rFonts w:hint="default" w:ascii="仿宋_GB2312" w:hAnsi="Times New Roman" w:eastAsia="仿宋_GB2312" w:cs="仿宋_GB2312"/>
          <w:kern w:val="2"/>
          <w:sz w:val="32"/>
          <w:szCs w:val="32"/>
          <w:lang w:val="en-US" w:eastAsia="zh-CN" w:bidi="ar"/>
        </w:rPr>
        <w:t>项目按照既定计划有序推进，对部分因特殊原因无法实施或延后实施的，均按相关规定履行变更手续。</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楷体_GB2312" w:hAnsi="Times New Roman" w:eastAsia="楷体_GB2312" w:cs="楷体_GB2312"/>
          <w:color w:val="000000"/>
          <w:kern w:val="0"/>
          <w:sz w:val="32"/>
          <w:szCs w:val="32"/>
          <w:shd w:val="clear" w:fill="FFFFFF"/>
          <w:lang w:val="en-US" w:eastAsia="zh-CN" w:bidi="ar"/>
        </w:rPr>
        <w:t>3.目标实现。</w:t>
      </w:r>
      <w:r>
        <w:rPr>
          <w:rFonts w:hint="default" w:ascii="仿宋_GB2312" w:hAnsi="Times New Roman" w:eastAsia="仿宋_GB2312" w:cs="仿宋_GB2312"/>
          <w:kern w:val="2"/>
          <w:sz w:val="32"/>
          <w:szCs w:val="32"/>
          <w:lang w:val="en-US" w:eastAsia="zh-CN" w:bidi="ar"/>
        </w:rPr>
        <w:t>项目基本实现预定绩效目标。</w:t>
      </w:r>
    </w:p>
    <w:p>
      <w:pPr>
        <w:widowControl/>
        <w:adjustRightInd w:val="0"/>
        <w:snapToGrid w:val="0"/>
        <w:spacing w:line="580" w:lineRule="exact"/>
        <w:ind w:firstLine="632"/>
        <w:contextualSpacing/>
        <w:rPr>
          <w:rFonts w:hint="eastAsia" w:ascii="仿宋" w:hAnsi="仿宋" w:eastAsia="仿宋" w:cs="仿宋"/>
          <w:kern w:val="2"/>
          <w:sz w:val="32"/>
          <w:szCs w:val="32"/>
        </w:rPr>
      </w:pPr>
      <w:r>
        <w:rPr>
          <w:rFonts w:hint="default" w:ascii="楷体_GB2312" w:hAnsi="Times New Roman" w:eastAsia="楷体_GB2312" w:cs="楷体_GB2312"/>
          <w:b/>
          <w:bCs w:val="0"/>
          <w:kern w:val="2"/>
          <w:sz w:val="32"/>
          <w:szCs w:val="32"/>
          <w:lang w:val="en-US" w:eastAsia="zh-CN" w:bidi="ar"/>
        </w:rPr>
        <w:t>（</w:t>
      </w:r>
      <w:r>
        <w:rPr>
          <w:rFonts w:hint="eastAsia" w:ascii="楷体_GB2312" w:eastAsia="楷体_GB2312" w:cs="楷体_GB2312"/>
          <w:b/>
          <w:bCs w:val="0"/>
          <w:kern w:val="2"/>
          <w:sz w:val="32"/>
          <w:szCs w:val="32"/>
          <w:lang w:val="en-US" w:eastAsia="zh-CN" w:bidi="ar"/>
        </w:rPr>
        <w:t>三</w:t>
      </w:r>
      <w:r>
        <w:rPr>
          <w:rFonts w:hint="default" w:ascii="楷体_GB2312" w:hAnsi="Times New Roman" w:eastAsia="楷体_GB2312" w:cs="楷体_GB2312"/>
          <w:b/>
          <w:bCs w:val="0"/>
          <w:kern w:val="2"/>
          <w:sz w:val="32"/>
          <w:szCs w:val="32"/>
          <w:lang w:val="en-US" w:eastAsia="zh-CN" w:bidi="ar"/>
        </w:rPr>
        <w:t>）绩效结果应用情况。</w:t>
      </w:r>
      <w:r>
        <w:rPr>
          <w:rFonts w:hint="eastAsia" w:ascii="仿宋" w:hAnsi="仿宋" w:eastAsia="仿宋" w:cs="仿宋"/>
          <w:color w:val="000000"/>
          <w:sz w:val="32"/>
          <w:szCs w:val="32"/>
          <w:shd w:val="clear" w:color="auto" w:fill="FFFFFF"/>
          <w:lang w:val="zh-CN"/>
        </w:rPr>
        <w:t>以绩效评价结果为导向，查找</w:t>
      </w:r>
      <w:r>
        <w:rPr>
          <w:rFonts w:hint="eastAsia" w:ascii="仿宋" w:hAnsi="仿宋" w:eastAsia="仿宋" w:cs="仿宋"/>
          <w:color w:val="000000"/>
          <w:sz w:val="32"/>
          <w:szCs w:val="32"/>
          <w:shd w:val="clear" w:color="auto" w:fill="FFFFFF"/>
        </w:rPr>
        <w:t>实际</w:t>
      </w:r>
      <w:r>
        <w:rPr>
          <w:rFonts w:hint="eastAsia" w:ascii="仿宋" w:hAnsi="仿宋" w:eastAsia="仿宋" w:cs="仿宋"/>
          <w:color w:val="000000"/>
          <w:sz w:val="32"/>
          <w:szCs w:val="32"/>
          <w:shd w:val="clear" w:color="auto" w:fill="FFFFFF"/>
          <w:lang w:val="zh-CN"/>
        </w:rPr>
        <w:t>工作中存在的问题和薄弱环节，不断改进工作，</w:t>
      </w:r>
      <w:r>
        <w:rPr>
          <w:rFonts w:hint="eastAsia" w:ascii="仿宋" w:hAnsi="仿宋" w:eastAsia="仿宋" w:cs="仿宋"/>
          <w:color w:val="000000"/>
          <w:sz w:val="32"/>
          <w:szCs w:val="32"/>
          <w:shd w:val="clear" w:color="auto" w:fill="FFFFFF"/>
        </w:rPr>
        <w:t>全力推动交通攻坚、改善地区综合交通状况和提升我市交通运输管理服务水平</w:t>
      </w:r>
      <w:r>
        <w:rPr>
          <w:rFonts w:hint="eastAsia" w:ascii="仿宋" w:hAnsi="仿宋" w:eastAsia="仿宋" w:cs="仿宋"/>
          <w:color w:val="000000"/>
          <w:sz w:val="32"/>
          <w:szCs w:val="32"/>
          <w:shd w:val="clear" w:color="auto" w:fill="FFFFFF"/>
          <w:lang w:val="zh-CN"/>
        </w:rPr>
        <w:t>，提高企业和群众的满意度。通过企业和群众满意标准的实施，评价</w:t>
      </w:r>
      <w:r>
        <w:rPr>
          <w:rFonts w:hint="eastAsia" w:ascii="仿宋" w:hAnsi="仿宋" w:eastAsia="仿宋" w:cs="仿宋"/>
          <w:color w:val="000000"/>
          <w:sz w:val="32"/>
          <w:szCs w:val="32"/>
          <w:shd w:val="clear" w:color="auto" w:fill="FFFFFF"/>
        </w:rPr>
        <w:t>交通运输</w:t>
      </w:r>
      <w:r>
        <w:rPr>
          <w:rFonts w:hint="eastAsia" w:ascii="仿宋" w:hAnsi="仿宋" w:eastAsia="仿宋" w:cs="仿宋"/>
          <w:color w:val="000000"/>
          <w:sz w:val="32"/>
          <w:szCs w:val="32"/>
          <w:shd w:val="clear" w:color="auto" w:fill="FFFFFF"/>
          <w:lang w:val="zh-CN"/>
        </w:rPr>
        <w:t>部门</w:t>
      </w:r>
      <w:r>
        <w:rPr>
          <w:rFonts w:hint="eastAsia" w:ascii="仿宋" w:hAnsi="仿宋" w:eastAsia="仿宋" w:cs="仿宋"/>
          <w:color w:val="000000"/>
          <w:sz w:val="32"/>
          <w:szCs w:val="32"/>
          <w:shd w:val="clear" w:color="auto" w:fill="FFFFFF"/>
        </w:rPr>
        <w:t>各项服务</w:t>
      </w:r>
      <w:r>
        <w:rPr>
          <w:rFonts w:hint="eastAsia" w:ascii="仿宋" w:hAnsi="仿宋" w:eastAsia="仿宋" w:cs="仿宋"/>
          <w:color w:val="000000"/>
          <w:sz w:val="32"/>
          <w:szCs w:val="32"/>
          <w:shd w:val="clear" w:color="auto" w:fill="FFFFFF"/>
          <w:lang w:val="zh-CN"/>
        </w:rPr>
        <w:t>与企业和群众满意度之间的差距，并通过资金使用效率的优化，降低</w:t>
      </w:r>
      <w:r>
        <w:rPr>
          <w:rFonts w:hint="eastAsia" w:ascii="仿宋" w:hAnsi="仿宋" w:eastAsia="仿宋" w:cs="仿宋"/>
          <w:color w:val="000000"/>
          <w:sz w:val="32"/>
          <w:szCs w:val="32"/>
          <w:shd w:val="clear" w:color="auto" w:fill="FFFFFF"/>
        </w:rPr>
        <w:t>行政</w:t>
      </w:r>
      <w:r>
        <w:rPr>
          <w:rFonts w:hint="eastAsia" w:ascii="仿宋" w:hAnsi="仿宋" w:eastAsia="仿宋" w:cs="仿宋"/>
          <w:color w:val="000000"/>
          <w:sz w:val="32"/>
          <w:szCs w:val="32"/>
          <w:shd w:val="clear" w:color="auto" w:fill="FFFFFF"/>
          <w:lang w:val="zh-CN"/>
        </w:rPr>
        <w:t>成本，真正建立起服务型和效能型</w:t>
      </w:r>
      <w:r>
        <w:rPr>
          <w:rFonts w:hint="eastAsia" w:ascii="仿宋" w:hAnsi="仿宋" w:eastAsia="仿宋" w:cs="仿宋"/>
          <w:color w:val="000000"/>
          <w:sz w:val="32"/>
          <w:szCs w:val="32"/>
          <w:shd w:val="clear" w:color="auto" w:fill="FFFFFF"/>
        </w:rPr>
        <w:t>机关</w:t>
      </w:r>
      <w:r>
        <w:rPr>
          <w:rFonts w:hint="eastAsia" w:ascii="仿宋" w:hAnsi="仿宋" w:eastAsia="仿宋" w:cs="仿宋"/>
          <w:color w:val="000000"/>
          <w:sz w:val="32"/>
          <w:szCs w:val="32"/>
          <w:shd w:val="clear" w:color="auto" w:fill="FFFFFF"/>
          <w:lang w:val="zh-CN"/>
        </w:rPr>
        <w:t>。</w:t>
      </w:r>
    </w:p>
    <w:p>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四、评价结论及建议</w:t>
      </w:r>
    </w:p>
    <w:p>
      <w:pPr>
        <w:widowControl/>
        <w:adjustRightInd w:val="0"/>
        <w:snapToGrid w:val="0"/>
        <w:spacing w:line="580" w:lineRule="exact"/>
        <w:ind w:firstLine="632"/>
        <w:contextualSpacing/>
        <w:rPr>
          <w:rFonts w:hint="eastAsia" w:ascii="仿宋" w:hAnsi="仿宋" w:eastAsia="仿宋" w:cs="仿宋"/>
          <w:color w:val="000000"/>
          <w:sz w:val="32"/>
          <w:szCs w:val="32"/>
          <w:shd w:val="clear" w:color="auto" w:fill="FFFFFF"/>
          <w:lang w:val="zh-CN"/>
        </w:rPr>
      </w:pPr>
      <w:r>
        <w:rPr>
          <w:rFonts w:hint="default" w:ascii="楷体_GB2312" w:hAnsi="Times New Roman" w:eastAsia="楷体_GB2312" w:cs="楷体_GB2312"/>
          <w:b/>
          <w:bCs w:val="0"/>
          <w:kern w:val="2"/>
          <w:sz w:val="32"/>
          <w:szCs w:val="32"/>
          <w:lang w:val="en-US" w:eastAsia="zh-CN" w:bidi="ar"/>
        </w:rPr>
        <w:t>（一）评价结论。</w:t>
      </w:r>
      <w:r>
        <w:rPr>
          <w:rFonts w:hint="eastAsia" w:ascii="仿宋" w:hAnsi="仿宋" w:eastAsia="仿宋" w:cs="仿宋"/>
          <w:color w:val="000000"/>
          <w:sz w:val="32"/>
          <w:szCs w:val="32"/>
          <w:shd w:val="clear" w:color="auto" w:fill="FFFFFF"/>
          <w:lang w:val="zh-CN"/>
        </w:rPr>
        <w:t>通过此次绩效评价，部门年初制定目标基本实现，重点评价数量和质量基本达到预期，资金管理到位、组织和制度保障体系</w:t>
      </w:r>
      <w:r>
        <w:rPr>
          <w:rFonts w:hint="eastAsia" w:ascii="仿宋" w:hAnsi="仿宋" w:eastAsia="仿宋" w:cs="仿宋"/>
          <w:color w:val="000000"/>
          <w:sz w:val="32"/>
          <w:szCs w:val="32"/>
          <w:shd w:val="clear" w:color="auto" w:fill="FFFFFF"/>
        </w:rPr>
        <w:t>比较</w:t>
      </w:r>
      <w:r>
        <w:rPr>
          <w:rFonts w:hint="eastAsia" w:ascii="仿宋" w:hAnsi="仿宋" w:eastAsia="仿宋" w:cs="仿宋"/>
          <w:color w:val="000000"/>
          <w:sz w:val="32"/>
          <w:szCs w:val="32"/>
          <w:shd w:val="clear" w:color="auto" w:fill="FFFFFF"/>
          <w:lang w:val="zh-CN"/>
        </w:rPr>
        <w:t>健全。经过对本单位202</w:t>
      </w:r>
      <w:r>
        <w:rPr>
          <w:rFonts w:hint="eastAsia" w:ascii="仿宋" w:hAnsi="仿宋" w:eastAsia="仿宋" w:cs="仿宋"/>
          <w:color w:val="000000"/>
          <w:sz w:val="32"/>
          <w:szCs w:val="32"/>
          <w:shd w:val="clear" w:color="auto" w:fill="FFFFFF"/>
        </w:rPr>
        <w:t>4</w:t>
      </w:r>
      <w:r>
        <w:rPr>
          <w:rFonts w:hint="eastAsia" w:ascii="仿宋" w:hAnsi="仿宋" w:eastAsia="仿宋" w:cs="仿宋"/>
          <w:color w:val="000000"/>
          <w:sz w:val="32"/>
          <w:szCs w:val="32"/>
          <w:shd w:val="clear" w:color="auto" w:fill="FFFFFF"/>
          <w:lang w:val="zh-CN"/>
        </w:rPr>
        <w:t>年整体支出进行逐项对照自评，自评得分为</w:t>
      </w:r>
      <w:r>
        <w:rPr>
          <w:rFonts w:hint="eastAsia" w:ascii="仿宋" w:hAnsi="仿宋" w:eastAsia="仿宋" w:cs="仿宋"/>
          <w:color w:val="000000"/>
          <w:sz w:val="32"/>
          <w:szCs w:val="32"/>
          <w:highlight w:val="none"/>
          <w:shd w:val="clear" w:color="auto" w:fill="FFFFFF"/>
          <w:lang w:val="zh-CN"/>
        </w:rPr>
        <w:t>8</w:t>
      </w:r>
      <w:r>
        <w:rPr>
          <w:rFonts w:hint="eastAsia" w:ascii="仿宋" w:hAnsi="仿宋" w:eastAsia="仿宋" w:cs="仿宋"/>
          <w:color w:val="000000"/>
          <w:sz w:val="32"/>
          <w:szCs w:val="32"/>
          <w:highlight w:val="none"/>
          <w:shd w:val="clear" w:color="auto" w:fill="FFFFFF"/>
        </w:rPr>
        <w:t>9</w:t>
      </w:r>
      <w:r>
        <w:rPr>
          <w:rFonts w:hint="eastAsia" w:ascii="仿宋" w:hAnsi="仿宋" w:eastAsia="仿宋" w:cs="仿宋"/>
          <w:color w:val="000000"/>
          <w:sz w:val="32"/>
          <w:szCs w:val="32"/>
          <w:shd w:val="clear" w:color="auto" w:fill="FFFFFF"/>
          <w:lang w:val="zh-CN"/>
        </w:rPr>
        <w:t>分，自评结果为良好。</w:t>
      </w:r>
    </w:p>
    <w:p>
      <w:pPr>
        <w:keepNext w:val="0"/>
        <w:keepLines w:val="0"/>
        <w:widowControl/>
        <w:suppressLineNumbers w:val="0"/>
        <w:adjustRightInd w:val="0"/>
        <w:snapToGrid w:val="0"/>
        <w:spacing w:before="0" w:beforeAutospacing="0" w:after="0" w:afterAutospacing="0" w:line="580" w:lineRule="exact"/>
        <w:ind w:left="0" w:right="0" w:firstLine="632"/>
        <w:contextualSpacing/>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（二）存在问题。</w:t>
      </w:r>
    </w:p>
    <w:p>
      <w:pPr>
        <w:keepNext w:val="0"/>
        <w:keepLines w:val="0"/>
        <w:widowControl/>
        <w:suppressLineNumbers w:val="0"/>
        <w:adjustRightInd w:val="0"/>
        <w:snapToGrid w:val="0"/>
        <w:spacing w:before="0" w:beforeAutospacing="0" w:after="0" w:afterAutospacing="0" w:line="580" w:lineRule="exact"/>
        <w:ind w:left="0" w:right="0" w:firstLine="632"/>
        <w:contextualSpacing/>
        <w:jc w:val="both"/>
        <w:rPr>
          <w:rFonts w:hint="eastAsia" w:ascii="仿宋" w:hAnsi="仿宋" w:eastAsia="仿宋" w:cs="仿宋"/>
          <w:color w:val="000000"/>
          <w:kern w:val="2"/>
          <w:sz w:val="32"/>
          <w:szCs w:val="32"/>
          <w:shd w:val="clear" w:fill="FFFFFF"/>
        </w:rPr>
      </w:pPr>
      <w:r>
        <w:rPr>
          <w:rFonts w:hint="eastAsia" w:ascii="仿宋" w:hAnsi="仿宋" w:eastAsia="仿宋" w:cs="仿宋"/>
          <w:color w:val="000000"/>
          <w:kern w:val="2"/>
          <w:sz w:val="32"/>
          <w:szCs w:val="32"/>
          <w:shd w:val="clear" w:fill="FFFFFF"/>
          <w:lang w:val="en-US" w:eastAsia="zh-CN" w:bidi="ar"/>
        </w:rPr>
        <w:t>1.部分项目绩效目标编制不够全面、科学，编制依据不充分，导致部分调整预算的情况发生。</w:t>
      </w:r>
    </w:p>
    <w:p>
      <w:pPr>
        <w:keepNext w:val="0"/>
        <w:keepLines w:val="0"/>
        <w:widowControl/>
        <w:suppressLineNumbers w:val="0"/>
        <w:adjustRightInd w:val="0"/>
        <w:snapToGrid w:val="0"/>
        <w:spacing w:before="0" w:beforeAutospacing="0" w:after="0" w:afterAutospacing="0" w:line="580" w:lineRule="exact"/>
        <w:ind w:left="0" w:right="0" w:firstLine="632"/>
        <w:contextualSpacing/>
        <w:jc w:val="both"/>
        <w:rPr>
          <w:rFonts w:hint="eastAsia" w:ascii="仿宋" w:hAnsi="仿宋" w:eastAsia="仿宋" w:cs="仿宋"/>
          <w:color w:val="000000"/>
          <w:kern w:val="2"/>
          <w:sz w:val="32"/>
          <w:szCs w:val="32"/>
          <w:shd w:val="clear" w:fill="FFFFFF"/>
        </w:rPr>
      </w:pPr>
      <w:r>
        <w:rPr>
          <w:rFonts w:hint="eastAsia" w:ascii="仿宋" w:hAnsi="仿宋" w:eastAsia="仿宋" w:cs="仿宋"/>
          <w:color w:val="000000"/>
          <w:kern w:val="2"/>
          <w:sz w:val="32"/>
          <w:szCs w:val="32"/>
          <w:shd w:val="clear" w:fill="FFFFFF"/>
          <w:lang w:val="en-US" w:eastAsia="zh-CN" w:bidi="ar"/>
        </w:rPr>
        <w:t>2.项目实际执行进度偏低。实际执行中存在部分项目未按期开工、完工等原因被结转到下年度支付的指标，影响了工程进度。</w:t>
      </w:r>
    </w:p>
    <w:p>
      <w:pPr>
        <w:keepNext w:val="0"/>
        <w:keepLines w:val="0"/>
        <w:widowControl/>
        <w:suppressLineNumbers w:val="0"/>
        <w:adjustRightInd w:val="0"/>
        <w:snapToGrid w:val="0"/>
        <w:spacing w:before="0" w:beforeAutospacing="0" w:after="0" w:afterAutospacing="0" w:line="580" w:lineRule="exact"/>
        <w:ind w:left="0" w:right="0" w:firstLine="632"/>
        <w:contextualSpacing/>
        <w:jc w:val="both"/>
        <w:rPr>
          <w:rFonts w:hint="eastAsia" w:ascii="仿宋" w:hAnsi="仿宋" w:eastAsia="仿宋" w:cs="仿宋"/>
          <w:color w:val="000000"/>
          <w:kern w:val="2"/>
          <w:sz w:val="32"/>
          <w:szCs w:val="32"/>
          <w:shd w:val="clear" w:fill="FFFFFF"/>
        </w:rPr>
      </w:pPr>
      <w:r>
        <w:rPr>
          <w:rFonts w:hint="eastAsia" w:ascii="仿宋" w:hAnsi="仿宋" w:eastAsia="仿宋" w:cs="仿宋"/>
          <w:color w:val="000000"/>
          <w:kern w:val="2"/>
          <w:sz w:val="32"/>
          <w:szCs w:val="32"/>
          <w:shd w:val="clear" w:fill="FFFFFF"/>
          <w:lang w:val="en-US" w:eastAsia="zh-CN" w:bidi="ar"/>
        </w:rPr>
        <w:t>3.交通建设资金缺口严重。</w:t>
      </w:r>
    </w:p>
    <w:p>
      <w:pPr>
        <w:keepNext w:val="0"/>
        <w:keepLines w:val="0"/>
        <w:widowControl w:val="0"/>
        <w:suppressLineNumbers w:val="0"/>
        <w:spacing w:before="0" w:beforeAutospacing="0" w:after="0" w:afterAutospacing="0" w:line="572" w:lineRule="exact"/>
        <w:ind w:left="0" w:right="0" w:firstLine="632"/>
        <w:jc w:val="both"/>
        <w:rPr>
          <w:rFonts w:hint="default" w:ascii="楷体_GB2312" w:hAnsi="Times New Roman" w:eastAsia="楷体_GB2312" w:cs="Times New Roman"/>
          <w:b/>
          <w:bCs w:val="0"/>
          <w:kern w:val="2"/>
          <w:sz w:val="32"/>
          <w:szCs w:val="32"/>
        </w:rPr>
      </w:pPr>
      <w:r>
        <w:rPr>
          <w:rFonts w:hint="default" w:ascii="楷体_GB2312" w:hAnsi="Times New Roman" w:eastAsia="楷体_GB2312" w:cs="楷体_GB2312"/>
          <w:b/>
          <w:bCs w:val="0"/>
          <w:kern w:val="2"/>
          <w:sz w:val="32"/>
          <w:szCs w:val="32"/>
          <w:lang w:val="en-US" w:eastAsia="zh-CN" w:bidi="ar"/>
        </w:rPr>
        <w:t>（三）改进建议。</w:t>
      </w:r>
    </w:p>
    <w:p>
      <w:pPr>
        <w:spacing w:line="572" w:lineRule="exact"/>
        <w:ind w:firstLine="632"/>
        <w:rPr>
          <w:rFonts w:hint="eastAsia" w:ascii="仿宋" w:hAnsi="仿宋" w:eastAsia="仿宋" w:cs="仿宋"/>
          <w:color w:val="000000"/>
          <w:sz w:val="32"/>
          <w:szCs w:val="32"/>
          <w:shd w:val="clear" w:color="auto" w:fill="FFFFFF"/>
          <w:lang w:val="zh-CN"/>
        </w:rPr>
      </w:pPr>
      <w:r>
        <w:rPr>
          <w:rFonts w:hint="eastAsia" w:ascii="仿宋" w:hAnsi="仿宋" w:eastAsia="仿宋" w:cs="仿宋"/>
          <w:color w:val="000000"/>
          <w:sz w:val="32"/>
          <w:szCs w:val="32"/>
          <w:shd w:val="clear" w:color="auto" w:fill="FFFFFF"/>
          <w:lang w:val="zh-CN"/>
        </w:rPr>
        <w:t>1.强化绩效目标管理，提高绩效指标编制的细化、量化程序。今后的工作中将进一步强化绩效目标的管理，设置总体绩效目标时，根据部门工作计划，结合项目具体内容分项设置产出质量指标、产出成本指标、产出进度指标，结合部门职责设置社会效益指标，提高绩效目标的准确性和科学性。</w:t>
      </w:r>
    </w:p>
    <w:p>
      <w:pPr>
        <w:spacing w:line="572" w:lineRule="exact"/>
        <w:ind w:firstLine="632"/>
        <w:rPr>
          <w:rFonts w:hint="eastAsia" w:ascii="仿宋" w:hAnsi="仿宋" w:eastAsia="仿宋" w:cs="仿宋"/>
          <w:color w:val="000000"/>
          <w:sz w:val="32"/>
          <w:szCs w:val="32"/>
          <w:shd w:val="clear" w:color="auto" w:fill="FFFFFF"/>
          <w:lang w:val="zh-CN"/>
        </w:rPr>
      </w:pPr>
      <w:r>
        <w:rPr>
          <w:rFonts w:hint="eastAsia" w:ascii="仿宋" w:hAnsi="仿宋" w:eastAsia="仿宋" w:cs="仿宋"/>
          <w:color w:val="000000"/>
          <w:sz w:val="32"/>
          <w:szCs w:val="32"/>
          <w:shd w:val="clear" w:color="auto" w:fill="FFFFFF"/>
          <w:lang w:val="zh-CN"/>
        </w:rPr>
        <w:t>2.强化项目实施前期论证工作，提高预算编制的准确性。加强对项目实施可行性的论证，加强对政策文件的了解，提高项目实施的可行性，明确项目预算测算标准、基数及依据测算过程，细化预算编制，提高预算编制的精准性与前瞻性，提高实际支出与预算的匹配度。</w:t>
      </w:r>
    </w:p>
    <w:p>
      <w:pPr>
        <w:spacing w:line="572" w:lineRule="exact"/>
        <w:ind w:firstLine="63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zh-CN"/>
        </w:rPr>
        <w:t>3.</w:t>
      </w:r>
      <w:r>
        <w:rPr>
          <w:rFonts w:hint="eastAsia" w:ascii="仿宋" w:hAnsi="仿宋" w:eastAsia="仿宋" w:cs="仿宋"/>
          <w:color w:val="000000"/>
          <w:sz w:val="32"/>
          <w:szCs w:val="32"/>
          <w:shd w:val="clear" w:color="auto" w:fill="FFFFFF"/>
        </w:rPr>
        <w:t>通过一般预算安排、争取上级专项和地方政府债券等方式，多措并举筹措资金，全力支持我市交通重点项目、干线公路、农村公路等基础设施建设。</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附表：部门预算项目支出绩效自评表（2024年度）</w:t>
      </w:r>
    </w:p>
    <w:tbl>
      <w:tblPr>
        <w:tblStyle w:val="17"/>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08"/>
        <w:gridCol w:w="1032"/>
        <w:gridCol w:w="1470"/>
        <w:gridCol w:w="425"/>
        <w:gridCol w:w="1206"/>
        <w:gridCol w:w="414"/>
        <w:gridCol w:w="931"/>
        <w:gridCol w:w="576"/>
        <w:gridCol w:w="441"/>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51040022T000000425214-攀枝花机场油库改扩建项目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供油设施改造后总库容为2000m3，属于四级油库。机场油库原有3座500m3立式拱顶储罐拆除，本期新建2座1000m3的立式航煤储油罐（拱顶储罐）、新建事故存液池及隔油池、消防水罐、油气回收装置、装卸油棚等，对原有生产值班用房、油车库、消防泵房及配电间等建筑物进行修葺。</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开展1个机场油库改扩建项目</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完成油库土地面积</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23224.8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为机场供油及供油安全提供保障并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51040022T000000425285-机场大巴营运补贴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市区至机场大巴的开行，降低了市民从市区往返机场的乘车时间，对便捷群众出行和带动我市经济社会发展具有重要作用。</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班次根据航班次确定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市区至机场大巴运行 安全有序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市民群众出行 为市民乘机提供方便</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51040022T000000425295-金沙江三堆子大桥新建工程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位于攀枝花市成昆铁路三堆子大桥下游650米，跨越金沙江，北岸连接省道S310宁华路，南岸连接县道XD02金歇路，新建一座连续刚构配菱形立交布置的跨江大桥，同时对由于建桥受到影响的原超限检测站进行拆除搬迁。项目建成将产生较大的社会效益和经济效益，建成后解决盐边县、仁和区和钒钛产业园区工业重载交通的运输需求，成为全市重要的重载运输桥梁，有效缓解周边道路压力。同时，本项目为鲊石渡口的“渡改桥”，建成后将方便两岸群众出行，改善群众生活，消除航船营运安全隐患。现该桥梁已按期建设完成并通车，项目建设的目的已实现。</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33,332.00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33,332.00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新建大桥一座，拆除老超限检测站，搬迁新建超限检测站一个</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符合国家规定，交工验收合格 设计荷载</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按合同约定  完工时间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降低了园区企业的运输成本，增加了园区企业的经济效益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本项目为鲊石渡口的“渡改桥”，建成后将方便两岸群众出行，改善群众生活，消除航船营运安全隐患。</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对环境生态无影响。</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按大桥寿命50年计算，对市内群众交通出行和提升社会效益、经济效益将产生可持续影响。</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完成投资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15916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51040022T000004732747-动车开行补贴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开行攀枝花至成都动车，满足群众高质量出行服务。</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其中开行两对攀枝花至成都直达动车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动车开行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带动我市经济社会发展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公众出行体验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符合环保要求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行业稳定与发展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稳定</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社会公众满意度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51040022T000006326760-航线补贴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机场航线开通后需渡过一段时期的培育期，并且结合客流量小，航班上座率低等原因，新航线开通初期需要政府给予政策、资金支持、引导。目前我市对攀枝花—西安、攀枝花—南京、桂林—攀枝花—重庆、上海浦东—武汉—攀枝花、攀枝花—广州5条航线进行补贴。2021年还需支付2786.86万元。</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2,596.56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2,596.56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2,596.56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2,596.56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航线数量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保障各补贴航线正常运营</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提升攀枝花地区对外交流能力</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持续提升对外交流能力</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25965622.94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51040022T000006665554-向上争取资金工作经费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积极向上争取交通项目资金及各类优惠政策，缓解交通建设资金压力</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向上争取资金规模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项目落实</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严格执行争取资金程序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促进交通建设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持续促进交通改善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51040022T000006820538-人才专项经费11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完成人才经费兑付，体现组织关怀</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2023年补贴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足额支付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按时支付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保障援藏援彝等干部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补贴对象满意度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51040022T000006840334-省级交通专项资金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开展普通国省道养护，提高公路寿命</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1,698.21</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1,049.19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1,698.21</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1,049.19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国省干线公路养护工程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36.736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完工项目验收合格率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按期完成投资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对经济发展的促进作用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公路安全水平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基本公共服务水平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交通建设符合环评审批要求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新改建公路项目适应未来一定时期内交通需求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改善通行服务水平群众满意度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51040022T000006971005-2022年关工委工作经费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完成关爱任务</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关爱对象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关爱效果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体现组织关爱</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关爱对象满意度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6250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51040022Y000000411206-总段经费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为保障总段正常开展业务，有效履行公路建设管养等职能职责，需得到资金的有力保证。</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2,306.53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1,634.03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70.84%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2,306.53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1,634.03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70.84%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单位人员数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养护公里数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保障工作正常开展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按规定的时效完成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保障公路畅通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持续维持单位运转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22565336.38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51040022Y000000425290-运转经费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为保障我局正常开展业务，有效履行交通建设、公路管养、运输市场监管等职能职责。</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114.57</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114.57</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公务车辆租赁</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办公耗材购置、设施维修维护</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办公设备采购</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单位运转效率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保障交通部门运转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持续完成交通工作任务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1145700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51040022Y000000425292-安全环保经费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按照国家、省、市相关工作安排，以“三管、三必须”的原则开展交通运输行业安全生产及生态环境保护的监督管理工作。</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安全环保宣传</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安全环保培训、会议、交叉检查次数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安全环保督导检查车辆租赁台次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安全生产、生态环境保护各项工作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交通领域不发生重特大安全环保事故，人民群众获得感和安全感</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全市交通运输行业安全环保意识和管理水平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培训、会议、检查成本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租车成本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51040022Y000000437073-公路应急安全保通恢复费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对损毁公路路段进行恢复性施工，恢复公路正常使用功能，同时也恢复和提高了此路段通行能力，区域交通安全提供持续有力保障</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25.77%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浇筑混凝土挡墙</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回复沥青路面及安防设施</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完成时间一般为汛期结束时间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恢复公路正常使用功能</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51040023T000008781515-金沙江航运综合开发项目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完成航道开发</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开发航道数量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开发质量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51040023T000009187152-市级挂职干部补助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及时兑付挂职干部补助，体现组织关怀。</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8.27</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8.27</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涉及人员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挂职干部满意度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43671.3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51040023T000009222063-炳二区客运中心项目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完成炳二区遗留款项支付，维护社会稳定</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涉及案件数量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本次资金支付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维护稳定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执行对象满意度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本次支付资金</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51040023T000009663036-来（离）攀挂职干部有关费用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支付来（离）攀挂职干部房租费用和艰边补贴。</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补贴人数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及时发放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年内完成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保证挂职干部生活正常</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正常</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挂职干部满意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51040023Y000008730519-第十一食堂劳务费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市级机关职工第十一食堂外包，维持食堂正常运行</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每天就餐人数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保障食品安全、消费安全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解决就业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厉行节约、不浪费粮食</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财政补助成本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51040023Y000008732109-驻政务中心分摊费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保证驻政务中心窗口稳定运行</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入驻人员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保障交通窗口运行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及时办结交通驻政务中心事项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办事群众满意度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应分摊租金、物业、水电</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29350.8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51040024T000011635741-攀枝花机场站坪扩建和盲降系统工程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为适应地方航空市场迅速发展态势，更好地服务攀枝花市民，研究未来航空业务量增长潜力，加强现有基础设施薄弱环节建设。完成攀枝花机场站坪扩建和盲降系统工程市级配套资金拨付。</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1,200.49</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1,200.49</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完成相关工程数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完成投资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促进地方经济发展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提升攀枝花机场服务水平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持续提升出行体验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乘客满意度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盲降系统补助成本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309.62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站坪扩建补助成本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890.87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51040024T000011759429-普通公路及其附属设施养护维修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完成既定养护维修任务，确保通行安全。</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1,221.96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1,221.96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项目个数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完工项目验收合格率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完成时效</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提升公路安全水平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交通建设符合环评审批要求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资金控制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347.77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51040025T000012785547-航线补贴（二）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机场航线开通后需渡过一段时期的培育期，并且结合客流量小，航班上座率低等原因，新航线开通初期需要政府给予政策、资金支持、引导。目前我市对攀枝花—西安、攀枝花—南京、桂林—攀枝花—重庆、上海浦东—武汉—攀枝花、攀枝花—广州5条航线进行补贴</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506.50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506.50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506.50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506.50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补贴航线</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补贴及时性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完成年度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方便群众出行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506.5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51040025T000013100054-干部异地体检费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支付干部异地体检费</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体检干部人数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按规定支付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及时支付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服务退休干部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异地体检退休干部满意度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体检经费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11447.93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51040025T000013230526-乌东德航道整治工程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乌东德航道整治工程项目</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航道整治项目</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方便群众出行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工程项目金额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51040025T000013230565-乌东德库区岸防工程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乌东德库区岸防工程项目</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完成工程项目数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方便群众出行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工程总额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51040022Y000000405759-质量检测费用（重点抽检）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攀枝花市交通建设工程服务中心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根据四川省交通运输厅《关于推行四川省公路水运建设项目工程质量重点抽检的通知》（川交函〔2014〕357号）、四川省物价局关于核定我省公路工程试验检测收费标准（试行）的函（川价函〔2003〕92号）测算</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原材料抽检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工程实体抽检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项目质量监督</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保护生态环境、保持生态平衡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工程合理使用年限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工程管理部门满意度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51040023Y000008735951-工程建设费用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攀枝花市交通建设工程服务中心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开展工程建设项目质量安全检测、技术咨询及安全论证等</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完成质量检测工作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交通工程质量优良率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公路工程安全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工程验收符合环保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验收做到零破坏，零污染。</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工程合理使用年限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大于等于国家规定年限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工程管理单位满意度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年运行成本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51040024T000011694098-交通建设抓项目促投资稳增长奖补资金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攀枝花市交通建设工程服务中心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根据四川省交通运输厅《关于推行四川省公路水运建设项目工程质量重点抽检的通知》（川交函〔2014〕357号）、四川省物价局关于核定我省公路工程试验检测收费标准（试行）的函（川价函〔2003〕92号）测算</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18.95</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18.95</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工程实体抽检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原材料抽检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项目质量监督</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保护生态环境、保持生态平衡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工程合理使用年限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工程管理部门满意度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工程实体抽检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49500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原材料抽检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51040023T000009806837-营运性道路客货从业资格考试考务费成本性支出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完成考试工作</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47.20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47.20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81.97%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组织考试人数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购置考试专用车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提升驾培管理水平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参考人员满意度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考试成本控制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51040024T000011257652-交通执法成本性支出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用于行政强制执行相应成本性支出及超限站运行维护。</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超限站日常公用开支</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地磅年检费、网元监控租用费等</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完成全年工作计划</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全年按本工作计划进行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经检测载货汽车检测率控制在3.5内，非法超限运输卸载率不低于90%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制止超限运输车辆，消除安全隐患</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优良的道路运输环境</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有效制止运输车辆脱落扬撒</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6个超限检测站点日常公用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强制执行费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地磅年检及维修、网元监控租赁</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51040022Y000000395943-航道维护费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攀枝花市航务海事中心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我市航道现状，对二滩库区、金沙江乌东德库区进行航道巡查。对航道标识标牌（警示牌、分界牌、限速牌、“两线一牌”等）及时进行维护，对破损的航道标识标牌更换。对金沙江乌东德库区涉及船舶碰撞桥梁桥区水面航标制作，确保船舶通航安全，发挥助航作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为进一步强化水运企业和水路运输经营者动态监管，全面掌握行业发展情况。提升水运企业管理水平。为确保水运行业和水路运输经营者落实安全生产主体责任，对从业人员进行教育培训，宣传水路运输、航道港口法律法规。</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航道安全巡查、维护</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年度对水运企业经营资质核查，对水运企业宣传、教育培训</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通过国内水路运输年度核查工作，指导水运企业规范化建设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年度完成率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完成全年任务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安全效益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航道畅通率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绿色交通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谋划水路运输发展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船东满意度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51040022T000007276802-交通运输(公路灾害)监测与应急指挥系统运行维护费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保证交通运输（公路灾害）监测与应急指挥系统正常运行</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交通运行情况数据分析及报告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交通运行情况实时监测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完成交通运输公路灾害监测与应急指挥系统运行维护</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完工项目验收合格率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对经济发展的促进作用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公路安全水平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基本公共服务水平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减少一般事故，遏制重特大事故</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改善通行服务水平群众满意度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51040023T000008727530-农村公路管护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推进攀枝花市农村公路高质量发展，改善农村交通条件，促进农民增收，助力脱贫攻坚，提升群众幸福感，继续全力打造好“四好农村路”。用于农村公路日常养护经费、农村公路PQI自动化检测经费、农村公路试验抽检。</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农村公路新改建里程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符合农村公路建设标准符合农村公路建设标准，达到四好农村路省级示范县评定标准和示范乡镇评定标准。</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为推进攀枝花市农村公路高质量发展，改善农村交通条件，促进农民增收，助力脱贫攻坚，提升群众幸福感，</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符合环保要求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安排市级养护工程资金</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51040023Y000008732059-信息系统维护费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布重大节假日交通出行及旅游信息、汛期路况断道相关信息、突发应急事件信息等。维持单位数据传输和网络通讯正常运转。保障12328电话系统建设、运营管理、日常维护、网络链路、宣传推广等，更好服务广大市民群众出行。</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交通运输信息发布</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媒体宣传</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交通运输信息发布</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圆满完成公路、水路、航空、铁路路况、运输等信息发布，更好服务广大市民群众出行。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持续保障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数据使用人员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年成本</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51040024T000011692583-公路灾害防治工程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完成G353(K3322.697-K3323.300)灾害防治，切实解决群众安全出行问题，保障人民群众生命财产，公路安全水平显著提升。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3,037.00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3,037.00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完成公路灾害防治工程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完成投资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40635273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边坡治理、明洞、修复路基、交通安全设施综合处理</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里程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工程质量合格</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按时拨付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带动经济发展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稳定</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公路安全水平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基本公共服务水平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生态环境保护</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强化</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促进交通持续发展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51040024T000011759429-普通公路及其附属设施养护维修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完成省道214线K0+000-K45+746段路面大修工程收尾工作</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涉及项目</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里程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45.746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公路安全水平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交通建设符合环评审批要求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项目尾款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41.961138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51040025Y000012228923-交通运行监测及数据分析费1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加强我市交通行业监督管理，提升科技兴安水平，通过监测手段，有效的减少一般事故，坚决防范遏制重特大事故发生，确保攀枝花市交通运输行业安全。</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8.45</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8.45</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24小时实时监测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每月数据分析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分析交通行业事故起因，减少类似事故</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减少事故</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提供科学、具有指导性相关报告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提供报告</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遇重特大事故及时报告及调查原因</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及时反映问题</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按时提供相关报告</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提供报告</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促进我市交通运输高质量发展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促进安全发展</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防范、减少重特大交通事故发生</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减少事故发生</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广大人民群众</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监测和数据分析费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51040022T000005954860-丧葬抚恤费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攀枝花市公路养护总段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确保顺利发放职工死亡抚恤，保障职工及家属权益。</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31.41</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31.41</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涉及人数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保障职工及家属权益效果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家属满意度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31.41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51040023T000008727530-农村公路管护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攀枝花市公路养护总段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完成农村公路养护任务</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68.76%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68.76%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支出农村公路养护</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完工项目完工合格率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按期完成投资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对经济发展的促进作用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基本公共服务水平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公路安全水平</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交通建设符合环评审批要求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适合</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新改建公路项目适应未来一段时间内交通需求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改善通行服务水平群众满意度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项目总金额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51040023T000009187152-市级挂职干部补助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攀枝花市公路养护总段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对挂职干部进行补助</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挂职干部1人</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符合补助条件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2024年12月31日前完成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对挂职干部进行补助</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效果明显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挂职干部满意度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补助费用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51040025T000012619389-退休人员一次性补贴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攀枝花市交通运输局部门</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攀枝花市公路养护总段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完善退休职工津补贴。</w:t>
            </w:r>
          </w:p>
        </w:tc>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涉及人数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资金合规性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按期完成支付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保障退休职工权益效果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补贴金额</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rPr>
          <w:rFonts w:hint="eastAsia"/>
          <w:lang w:val="en-US" w:eastAsia="zh-CN"/>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highlight w:val="none"/>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附件2</w:t>
      </w:r>
      <w:r>
        <w:rPr>
          <w:rFonts w:hint="eastAsia" w:ascii="黑体" w:hAnsi="宋体" w:eastAsia="黑体" w:cs="Times New Roman"/>
          <w:kern w:val="2"/>
          <w:sz w:val="32"/>
          <w:szCs w:val="32"/>
          <w:lang w:val="en-US" w:eastAsia="zh-CN" w:bidi="ar"/>
        </w:rPr>
        <w:t xml:space="preserve"> </w:t>
      </w:r>
    </w:p>
    <w:p>
      <w:pPr>
        <w:pStyle w:val="16"/>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eastAsia="zh-CN"/>
        </w:rPr>
        <w:t>安全环保经费</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按照国家、省、市相关工作安排，以“三管、三必须”的原则开展交通运输行业安全生产及生态环境保护的监督管理工作。</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按照国家、省、市相关工作安排，以“三管、三必须”的原则开展交通运输行业安全生产及生态环境保护的监督管理工作。</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安全环保宣传不少于</w:t>
      </w:r>
      <w:r>
        <w:rPr>
          <w:rFonts w:hint="eastAsia" w:ascii="仿宋" w:hAnsi="仿宋" w:eastAsia="仿宋" w:cs="仿宋"/>
          <w:sz w:val="32"/>
          <w:szCs w:val="32"/>
          <w:lang w:val="en-US" w:eastAsia="zh-CN"/>
        </w:rPr>
        <w:t>100人次，安全环保培训、会议、交叉检查次数不少于600人次，安全环保督导检查车辆租赁台次不少于200次</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质量指标：按时完成安全生产各项工作任务。</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en-US" w:eastAsia="zh-CN"/>
        </w:rPr>
        <w:t>完成交通安全生产各项目标任务，财政补助成本10万元及时到位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交通领域未发生重特大安全环保事故，全市交通运输行业安全环保意识和管理水平，人民群众获得感和安全感大大提升，服务对象满意度≥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spacing w:line="600" w:lineRule="exact"/>
        <w:jc w:val="center"/>
        <w:outlineLvl w:val="9"/>
        <w:rPr>
          <w:rFonts w:hint="eastAsia" w:ascii="仿宋" w:hAnsi="仿宋" w:eastAsia="仿宋" w:cs="仿宋"/>
          <w:sz w:val="32"/>
          <w:szCs w:val="32"/>
        </w:rPr>
      </w:pPr>
    </w:p>
    <w:p>
      <w:pPr>
        <w:pStyle w:val="16"/>
        <w:keepNext w:val="0"/>
        <w:keepLines w:val="0"/>
        <w:widowControl w:val="0"/>
        <w:suppressLineNumbers w:val="0"/>
        <w:spacing w:before="0" w:beforeAutospacing="0" w:after="0" w:afterAutospacing="0" w:line="560" w:lineRule="exact"/>
        <w:ind w:left="0" w:right="0"/>
        <w:jc w:val="center"/>
        <w:rPr>
          <w:rFonts w:hint="default" w:ascii="方正小标宋简体" w:hAnsi="宋体" w:eastAsia="方正小标宋简体" w:cs="Times New Roman"/>
          <w:color w:val="000000"/>
          <w:kern w:val="0"/>
          <w:sz w:val="44"/>
          <w:szCs w:val="44"/>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（炳二区客运中心项目）</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完成炳二区遗留款项支付，维护社会稳定</w:t>
      </w:r>
      <w:r>
        <w:rPr>
          <w:rFonts w:hint="eastAsia" w:ascii="仿宋" w:hAnsi="仿宋" w:eastAsia="仿宋" w:cs="仿宋"/>
          <w:sz w:val="32"/>
          <w:szCs w:val="32"/>
          <w:lang w:val="zh-CN" w:eastAsia="zh-CN"/>
        </w:rPr>
        <w:t>。</w:t>
      </w:r>
      <w:r>
        <w:rPr>
          <w:rFonts w:hint="eastAsia" w:ascii="仿宋" w:hAnsi="仿宋" w:eastAsia="仿宋" w:cs="仿宋"/>
          <w:b w:val="0"/>
          <w:bCs/>
          <w:sz w:val="32"/>
          <w:szCs w:val="32"/>
          <w:lang w:val="zh-CN"/>
        </w:rPr>
        <w:t>项目</w:t>
      </w:r>
      <w:r>
        <w:rPr>
          <w:rFonts w:hint="eastAsia" w:ascii="仿宋" w:hAnsi="仿宋" w:eastAsia="仿宋" w:cs="仿宋"/>
          <w:sz w:val="32"/>
          <w:szCs w:val="32"/>
          <w:lang w:val="zh-CN"/>
        </w:rPr>
        <w:t>申报内容与具体实施内容相符、申报目标合理可行。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完成炳二区遗留款项支付，维护社会稳定</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完成炳二区遗留款项支付</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质量指标：资金使用合规。</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经济成本指标：财政补助成本300万元。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300万元。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年内完成炳二区遗留款项支付，</w:t>
      </w:r>
      <w:r>
        <w:rPr>
          <w:rFonts w:hint="eastAsia" w:ascii="仿宋" w:hAnsi="仿宋" w:eastAsia="仿宋" w:cs="仿宋"/>
          <w:sz w:val="32"/>
          <w:szCs w:val="32"/>
          <w:lang w:val="en-US" w:eastAsia="zh-CN"/>
        </w:rPr>
        <w:t>资金使用合规，财政补助成本300万元及时到位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维护社会稳定，服务对象满意度≥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pStyle w:val="23"/>
        <w:rPr>
          <w:rFonts w:hint="eastAsia"/>
          <w:lang w:val="zh-CN"/>
        </w:rPr>
      </w:pPr>
    </w:p>
    <w:p>
      <w:pPr>
        <w:pStyle w:val="16"/>
        <w:keepNext w:val="0"/>
        <w:keepLines w:val="0"/>
        <w:widowControl w:val="0"/>
        <w:suppressLineNumbers w:val="0"/>
        <w:spacing w:before="0" w:beforeAutospacing="0" w:after="0" w:afterAutospacing="0" w:line="560" w:lineRule="exact"/>
        <w:ind w:left="0" w:right="0"/>
        <w:jc w:val="center"/>
        <w:rPr>
          <w:rFonts w:hint="default" w:ascii="方正小标宋简体" w:hAnsi="方正小标宋简体" w:eastAsia="方正小标宋简体" w:cs="方正小标宋简体"/>
          <w:color w:val="000000"/>
          <w:kern w:val="0"/>
          <w:sz w:val="44"/>
          <w:szCs w:val="44"/>
          <w:lang w:val="en-US" w:eastAsia="zh-CN" w:bidi="ar"/>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第十一食堂劳务费</w:t>
      </w:r>
      <w:r>
        <w:rPr>
          <w:rFonts w:ascii="Times New Roman" w:hAnsi="Times New Roman" w:eastAsia="仿宋_GB2312"/>
          <w:color w:val="auto"/>
          <w:kern w:val="2"/>
          <w:sz w:val="32"/>
          <w:szCs w:val="32"/>
        </w:rPr>
        <w:t>）</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市级机关职工第十一食堂外包，维持食堂正常运行</w:t>
      </w:r>
      <w:r>
        <w:rPr>
          <w:rFonts w:hint="eastAsia" w:ascii="仿宋" w:hAnsi="仿宋" w:eastAsia="仿宋" w:cs="仿宋"/>
          <w:sz w:val="32"/>
          <w:szCs w:val="32"/>
          <w:lang w:val="zh-CN" w:eastAsia="zh-CN"/>
        </w:rPr>
        <w:t>。</w:t>
      </w:r>
      <w:r>
        <w:rPr>
          <w:rFonts w:hint="eastAsia" w:ascii="仿宋" w:hAnsi="仿宋" w:eastAsia="仿宋" w:cs="仿宋"/>
          <w:b w:val="0"/>
          <w:bCs/>
          <w:sz w:val="32"/>
          <w:szCs w:val="32"/>
          <w:lang w:val="zh-CN"/>
        </w:rPr>
        <w:t>项目</w:t>
      </w:r>
      <w:r>
        <w:rPr>
          <w:rFonts w:hint="eastAsia" w:ascii="仿宋" w:hAnsi="仿宋" w:eastAsia="仿宋" w:cs="仿宋"/>
          <w:sz w:val="32"/>
          <w:szCs w:val="32"/>
          <w:lang w:val="zh-CN"/>
        </w:rPr>
        <w:t>申报内容与具体实施内容相符、申报目标合理可行。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市级机关职工第十一食堂外包，维持食堂正常运行</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数量指标：每天就餐人数不低于220人</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质量指标：保障食品安全、消费安全。</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经济成本指标：财政补助成本33.8万元。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33.8万元。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维持食堂正常运行，</w:t>
      </w:r>
      <w:r>
        <w:rPr>
          <w:rFonts w:hint="eastAsia" w:ascii="仿宋" w:hAnsi="仿宋" w:eastAsia="仿宋" w:cs="仿宋"/>
          <w:sz w:val="32"/>
          <w:szCs w:val="32"/>
          <w:lang w:val="en-US" w:eastAsia="zh-CN"/>
        </w:rPr>
        <w:t>资金使用合规，财政补助成本33.8万元及时到位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解决就业，为职工提供服务，服务对象满意度≥</w:t>
      </w:r>
      <w:r>
        <w:rPr>
          <w:rFonts w:hint="eastAsia" w:ascii="仿宋" w:hAnsi="仿宋" w:eastAsia="仿宋" w:cs="仿宋"/>
          <w:sz w:val="32"/>
          <w:szCs w:val="32"/>
          <w:lang w:val="en-US" w:eastAsia="zh-CN"/>
        </w:rPr>
        <w:t>95%，达到绩效目标。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16"/>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color w:val="000000"/>
          <w:kern w:val="0"/>
          <w:sz w:val="44"/>
          <w:szCs w:val="44"/>
          <w:lang w:val="en-US" w:eastAsia="zh-CN" w:bidi="ar"/>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动车开行补贴</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补贴开行攀枝花至成都动车，满足群众高质量出行服务。</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补贴开行攀枝花至成都动车。</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开行两对攀枝花至成都直达动车</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质量指标：动车开行安全有序</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经济成本指标：财政补助成本1600万元。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1600万元。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en-US" w:eastAsia="zh-CN"/>
        </w:rPr>
        <w:t>补贴开行攀枝花至成都动车</w:t>
      </w:r>
      <w:r>
        <w:rPr>
          <w:rFonts w:hint="eastAsia" w:ascii="仿宋" w:hAnsi="仿宋" w:eastAsia="仿宋" w:cs="仿宋"/>
          <w:sz w:val="32"/>
          <w:szCs w:val="32"/>
          <w:lang w:val="zh-CN"/>
        </w:rPr>
        <w:t>，保证</w:t>
      </w:r>
      <w:r>
        <w:rPr>
          <w:rFonts w:hint="eastAsia" w:ascii="仿宋" w:hAnsi="仿宋" w:eastAsia="仿宋" w:cs="仿宋"/>
          <w:sz w:val="32"/>
          <w:szCs w:val="32"/>
          <w:lang w:val="en-US" w:eastAsia="zh-CN"/>
        </w:rPr>
        <w:t>动车运行安全有序，财政补助成本1600万元及时到位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带动我市经济社会发展，方便市民群众出行，服务对象满意度≥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16"/>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color w:val="000000"/>
          <w:kern w:val="0"/>
          <w:sz w:val="44"/>
          <w:szCs w:val="44"/>
          <w:lang w:val="en-US" w:eastAsia="zh-CN" w:bidi="ar"/>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jc w:val="center"/>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(公路应急安全保通恢复费)</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color w:val="000000"/>
          <w:sz w:val="32"/>
          <w:szCs w:val="32"/>
        </w:rPr>
      </w:pPr>
      <w:r>
        <w:rPr>
          <w:rFonts w:hint="eastAsia" w:ascii="仿宋" w:hAnsi="仿宋" w:eastAsia="仿宋" w:cs="仿宋"/>
          <w:color w:val="000000"/>
          <w:sz w:val="32"/>
          <w:szCs w:val="32"/>
        </w:rPr>
        <w:t>对损毁公路路段进行恢复性施工，恢复公路正常使用功能，同时也恢复和提高了此路段通行能力，区域交通安全提供持续有力保障</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numPr>
          <w:ilvl w:val="0"/>
          <w:numId w:val="0"/>
        </w:numPr>
        <w:adjustRightInd w:val="0"/>
        <w:snapToGrid w:val="0"/>
        <w:spacing w:line="600" w:lineRule="exact"/>
        <w:ind w:firstLine="640" w:firstLineChars="200"/>
        <w:rPr>
          <w:rFonts w:hint="eastAsia" w:ascii="仿宋" w:hAnsi="仿宋" w:eastAsia="仿宋" w:cs="仿宋"/>
          <w:color w:val="000000"/>
          <w:sz w:val="32"/>
          <w:szCs w:val="32"/>
          <w:lang w:val="zh-CN"/>
        </w:rPr>
      </w:pPr>
      <w:r>
        <w:rPr>
          <w:rFonts w:hint="eastAsia" w:ascii="仿宋" w:hAnsi="仿宋" w:eastAsia="仿宋" w:cs="仿宋"/>
          <w:sz w:val="32"/>
          <w:szCs w:val="32"/>
          <w:lang w:val="zh-CN"/>
        </w:rPr>
        <w:t>对损毁公路路段进行恢复性施工，恢复公路正常使用功能，同时也恢复和提高了此路段通行能力，区域交通安全提供持续有力保障</w:t>
      </w:r>
    </w:p>
    <w:p>
      <w:pPr>
        <w:numPr>
          <w:ilvl w:val="0"/>
          <w:numId w:val="8"/>
        </w:numPr>
        <w:adjustRightInd w:val="0"/>
        <w:snapToGrid w:val="0"/>
        <w:spacing w:line="600" w:lineRule="exact"/>
        <w:ind w:firstLine="7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项目应实现的具体绩效目标。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数量指标：浇筑混凝土挡墙不少于</w:t>
      </w:r>
      <w:r>
        <w:rPr>
          <w:rFonts w:hint="eastAsia" w:ascii="仿宋" w:hAnsi="仿宋" w:eastAsia="仿宋" w:cs="仿宋"/>
          <w:sz w:val="32"/>
          <w:szCs w:val="32"/>
          <w:lang w:val="en-US" w:eastAsia="zh-CN"/>
        </w:rPr>
        <w:t>200立方米，恢复沥青路面及安防设施不少于10公里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质量指标：建设项目完成验收，工程质量合格率达到100%。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时效指标：工期按工完成，资金完成拨付。</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成本指标：财政补助资金50万元。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rPr>
        <w:t>申报内容与实际相符，申报目标合理可行。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eastAsia="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50万元。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项目工期按时完成验收通过，资金完成拨付，</w:t>
      </w:r>
      <w:r>
        <w:rPr>
          <w:rFonts w:hint="eastAsia" w:ascii="仿宋" w:hAnsi="仿宋" w:eastAsia="仿宋" w:cs="仿宋"/>
          <w:sz w:val="32"/>
          <w:szCs w:val="32"/>
          <w:lang w:val="en-US" w:eastAsia="zh-CN"/>
        </w:rPr>
        <w:t>工程质量合格率达到100%。</w:t>
      </w:r>
      <w:r>
        <w:rPr>
          <w:rFonts w:hint="eastAsia" w:ascii="仿宋" w:hAnsi="仿宋" w:eastAsia="仿宋" w:cs="仿宋"/>
          <w:sz w:val="32"/>
          <w:szCs w:val="32"/>
          <w:lang w:val="zh-CN"/>
        </w:rPr>
        <w:t>无资金结余情况，无违规记录，对照项目计划完成目标。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极大提升公路安全水平，提升人民出行便捷性及人民满意度。</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adjustRightInd w:val="0"/>
        <w:snapToGrid w:val="0"/>
        <w:spacing w:line="600" w:lineRule="exact"/>
        <w:ind w:firstLine="720"/>
        <w:jc w:val="center"/>
        <w:rPr>
          <w:rFonts w:hint="default" w:ascii="方正小标宋简体" w:hAnsi="方正小标宋简体" w:eastAsia="方正小标宋简体" w:cs="方正小标宋简体"/>
          <w:color w:val="000000"/>
          <w:kern w:val="0"/>
          <w:sz w:val="44"/>
          <w:szCs w:val="44"/>
          <w:lang w:val="en-US" w:eastAsia="zh-CN" w:bidi="ar"/>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2"/>
        <w:jc w:val="center"/>
        <w:rPr>
          <w:sz w:val="32"/>
          <w:szCs w:val="32"/>
        </w:rPr>
      </w:pPr>
      <w:r>
        <w:rPr>
          <w:rFonts w:hint="eastAsia"/>
          <w:sz w:val="32"/>
          <w:szCs w:val="32"/>
        </w:rPr>
        <w:t>（公路事业发展中心普通公路及其附属设施养护维修）</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color w:val="000000"/>
          <w:sz w:val="32"/>
          <w:szCs w:val="32"/>
        </w:rPr>
        <w:t>抓实抓细交通建设项目监督管理，加强源头管控，压实安全生产责任，强化项目施工现场生态环境保护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常态化开展公路管养，强化考核评价，注重公路养护质量，促进全市普通公路建管养运协调发展</w:t>
      </w:r>
      <w:r>
        <w:rPr>
          <w:rFonts w:hint="eastAsia" w:ascii="仿宋" w:hAnsi="仿宋" w:eastAsia="仿宋" w:cs="仿宋"/>
          <w:color w:val="000000"/>
          <w:sz w:val="32"/>
          <w:szCs w:val="32"/>
          <w:lang w:eastAsia="zh-CN"/>
        </w:rPr>
        <w:t>。</w:t>
      </w:r>
    </w:p>
    <w:p>
      <w:pPr>
        <w:numPr>
          <w:ilvl w:val="0"/>
          <w:numId w:val="9"/>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lang w:val="zh-CN"/>
        </w:rPr>
        <w:t>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根据预算年度工作目标和工作计划提出真实、详细的下年度预算申请。</w:t>
      </w: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对</w:t>
      </w:r>
      <w:r>
        <w:rPr>
          <w:rFonts w:hint="eastAsia" w:ascii="仿宋" w:hAnsi="仿宋" w:eastAsia="仿宋" w:cs="仿宋"/>
          <w:color w:val="auto"/>
          <w:sz w:val="32"/>
          <w:szCs w:val="32"/>
          <w:highlight w:val="none"/>
          <w:shd w:val="clear" w:color="auto" w:fill="FFFFFF"/>
        </w:rPr>
        <w:t>各科</w:t>
      </w:r>
      <w:r>
        <w:rPr>
          <w:rFonts w:hint="eastAsia" w:ascii="仿宋" w:hAnsi="仿宋" w:eastAsia="仿宋" w:cs="仿宋"/>
          <w:color w:val="auto"/>
          <w:sz w:val="32"/>
          <w:szCs w:val="32"/>
          <w:highlight w:val="none"/>
          <w:shd w:val="clear" w:color="auto" w:fill="FFFFFF"/>
          <w:lang w:val="zh-CN"/>
        </w:rPr>
        <w:t>室的下年度预算申请进行初审与协调，对各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申请的专项经费逐项进行比对与论证，结合</w:t>
      </w:r>
      <w:r>
        <w:rPr>
          <w:rFonts w:hint="eastAsia" w:ascii="仿宋" w:hAnsi="仿宋" w:eastAsia="仿宋" w:cs="仿宋"/>
          <w:color w:val="auto"/>
          <w:sz w:val="32"/>
          <w:szCs w:val="32"/>
          <w:highlight w:val="none"/>
          <w:shd w:val="clear" w:color="auto" w:fill="FFFFFF"/>
        </w:rPr>
        <w:t>财力及</w:t>
      </w:r>
      <w:r>
        <w:rPr>
          <w:rFonts w:hint="eastAsia" w:ascii="仿宋" w:hAnsi="仿宋" w:eastAsia="仿宋" w:cs="仿宋"/>
          <w:color w:val="auto"/>
          <w:sz w:val="32"/>
          <w:szCs w:val="32"/>
          <w:highlight w:val="none"/>
          <w:shd w:val="clear" w:color="auto" w:fill="FFFFFF"/>
          <w:lang w:val="zh-CN"/>
        </w:rPr>
        <w:t>本局</w:t>
      </w:r>
      <w:r>
        <w:rPr>
          <w:rFonts w:hint="eastAsia" w:ascii="仿宋" w:hAnsi="仿宋" w:eastAsia="仿宋" w:cs="仿宋"/>
          <w:color w:val="auto"/>
          <w:sz w:val="32"/>
          <w:szCs w:val="32"/>
          <w:highlight w:val="none"/>
          <w:shd w:val="clear" w:color="auto" w:fill="FFFFFF"/>
        </w:rPr>
        <w:t>实际</w:t>
      </w:r>
      <w:r>
        <w:rPr>
          <w:rFonts w:hint="eastAsia" w:ascii="仿宋" w:hAnsi="仿宋" w:eastAsia="仿宋" w:cs="仿宋"/>
          <w:color w:val="auto"/>
          <w:sz w:val="32"/>
          <w:szCs w:val="32"/>
          <w:highlight w:val="none"/>
          <w:shd w:val="clear" w:color="auto" w:fill="FFFFFF"/>
          <w:lang w:val="zh-CN"/>
        </w:rPr>
        <w:t>，根据项目的轻重缓急，提出支出项目预算建议数。</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rPr>
        <w:t>严格按照预算要求及《攀枝花市级财政交通专项资金管理办法》管理和使用资金，确保资金专款专用</w:t>
      </w:r>
      <w:r>
        <w:rPr>
          <w:rFonts w:hint="eastAsia" w:ascii="仿宋" w:hAnsi="仿宋" w:eastAsia="仿宋" w:cs="仿宋"/>
          <w:color w:val="auto"/>
          <w:sz w:val="32"/>
          <w:szCs w:val="32"/>
          <w:highlight w:val="none"/>
          <w:shd w:val="clear" w:color="auto" w:fill="FFFFFF"/>
          <w:lang w:eastAsia="zh-CN"/>
        </w:rPr>
        <w:t>。</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根据</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财政下达的预算控制数和局预算年度的收支预测，在收支平衡的基础上，编制</w:t>
      </w:r>
      <w:r>
        <w:rPr>
          <w:rFonts w:hint="eastAsia" w:ascii="仿宋" w:hAnsi="仿宋" w:eastAsia="仿宋" w:cs="仿宋"/>
          <w:color w:val="auto"/>
          <w:sz w:val="32"/>
          <w:szCs w:val="32"/>
          <w:highlight w:val="none"/>
          <w:shd w:val="clear" w:color="auto" w:fill="FFFFFF"/>
        </w:rPr>
        <w:t>单位</w:t>
      </w:r>
      <w:r>
        <w:rPr>
          <w:rFonts w:hint="eastAsia" w:ascii="仿宋" w:hAnsi="仿宋" w:eastAsia="仿宋" w:cs="仿宋"/>
          <w:color w:val="auto"/>
          <w:sz w:val="32"/>
          <w:szCs w:val="32"/>
          <w:highlight w:val="none"/>
          <w:shd w:val="clear" w:color="auto" w:fill="FFFFFF"/>
          <w:lang w:val="zh-CN"/>
        </w:rPr>
        <w:t>下一年度预算草案，形成预算建议数，经</w:t>
      </w:r>
      <w:r>
        <w:rPr>
          <w:rFonts w:hint="eastAsia" w:ascii="仿宋" w:hAnsi="仿宋" w:eastAsia="仿宋" w:cs="仿宋"/>
          <w:color w:val="auto"/>
          <w:sz w:val="32"/>
          <w:szCs w:val="32"/>
          <w:highlight w:val="none"/>
          <w:shd w:val="clear" w:color="auto" w:fill="FFFFFF"/>
        </w:rPr>
        <w:t>集体</w:t>
      </w:r>
      <w:r>
        <w:rPr>
          <w:rFonts w:hint="eastAsia" w:ascii="仿宋" w:hAnsi="仿宋" w:eastAsia="仿宋" w:cs="仿宋"/>
          <w:color w:val="auto"/>
          <w:sz w:val="32"/>
          <w:szCs w:val="32"/>
          <w:highlight w:val="none"/>
          <w:shd w:val="clear" w:color="auto" w:fill="FFFFFF"/>
          <w:lang w:val="zh-CN"/>
        </w:rPr>
        <w:t>讨论后上报</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财政局。</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完成省道214线K0+000-K45+746段路面大修工程收尾工作。</w:t>
      </w:r>
    </w:p>
    <w:p>
      <w:pPr>
        <w:numPr>
          <w:ilvl w:val="0"/>
          <w:numId w:val="10"/>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项目应实现的具体绩效目标，包括目标的量化、细化情况以及项目实施进度计划等。</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数量指标：共计一个项目，完成率</w:t>
      </w:r>
      <w:r>
        <w:rPr>
          <w:rFonts w:hint="eastAsia" w:ascii="仿宋" w:hAnsi="仿宋" w:eastAsia="仿宋" w:cs="仿宋"/>
          <w:sz w:val="32"/>
          <w:szCs w:val="32"/>
          <w:lang w:val="en-US" w:eastAsia="zh-CN"/>
        </w:rPr>
        <w:t>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质量指标：建设项目完成验收，工程质量合格率达到100%。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时效指标：工期按工完成，资金完成拨付。</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成本指标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拨付项目尾款</w:t>
      </w:r>
      <w:r>
        <w:rPr>
          <w:rFonts w:hint="eastAsia" w:ascii="仿宋" w:hAnsi="仿宋" w:eastAsia="仿宋" w:cs="仿宋"/>
          <w:sz w:val="32"/>
          <w:szCs w:val="32"/>
          <w:lang w:val="en-US" w:eastAsia="zh-CN"/>
        </w:rPr>
        <w:t>41.9611万元</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效益指标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社会效益指标：提升公路安全水平。</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满意度指标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服务对象满意度指标：社会对象满意度</w:t>
      </w:r>
      <w:r>
        <w:rPr>
          <w:rFonts w:hint="eastAsia" w:ascii="仿宋" w:hAnsi="仿宋" w:eastAsia="仿宋" w:cs="仿宋"/>
          <w:sz w:val="32"/>
          <w:szCs w:val="32"/>
          <w:lang w:val="en-US" w:eastAsia="zh-CN"/>
        </w:rPr>
        <w:t>85%以上。</w:t>
      </w:r>
    </w:p>
    <w:p>
      <w:pPr>
        <w:numPr>
          <w:ilvl w:val="0"/>
          <w:numId w:val="10"/>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结合项目202</w:t>
      </w:r>
      <w:r>
        <w:rPr>
          <w:rFonts w:hint="eastAsia" w:ascii="仿宋" w:hAnsi="仿宋" w:eastAsia="仿宋" w:cs="仿宋"/>
          <w:sz w:val="32"/>
          <w:szCs w:val="32"/>
          <w:lang w:val="en-US" w:eastAsia="zh-CN"/>
        </w:rPr>
        <w:t>4</w:t>
      </w:r>
      <w:r>
        <w:rPr>
          <w:rFonts w:hint="eastAsia" w:ascii="仿宋" w:hAnsi="仿宋" w:eastAsia="仿宋" w:cs="仿宋"/>
          <w:sz w:val="32"/>
          <w:szCs w:val="32"/>
        </w:rPr>
        <w:t>年实际需求、相关费用标准及市场价格水平，重点对数量是否合理、投入是否经济、预算测算是否准确、测算过程是否详细、测算依据是否充分等方面进行了评估。评估认为，该项目任务数量基本合理、预算测算过程较为详细、测算依据基本充分、有一定的经济性。</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eastAsia="zh-CN"/>
        </w:rPr>
      </w:pPr>
      <w:r>
        <w:rPr>
          <w:rFonts w:hint="eastAsia" w:ascii="仿宋" w:hAnsi="仿宋" w:eastAsia="仿宋" w:cs="仿宋"/>
          <w:sz w:val="32"/>
          <w:szCs w:val="32"/>
        </w:rPr>
        <w:t>结合项目实际需求、</w:t>
      </w:r>
      <w:r>
        <w:rPr>
          <w:rFonts w:hint="eastAsia" w:ascii="仿宋" w:hAnsi="仿宋" w:eastAsia="仿宋" w:cs="仿宋"/>
          <w:sz w:val="32"/>
          <w:szCs w:val="32"/>
          <w:lang w:eastAsia="zh-CN"/>
        </w:rPr>
        <w:t>完工验收情况等开展自评。</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numPr>
          <w:ilvl w:val="0"/>
          <w:numId w:val="0"/>
        </w:numPr>
        <w:adjustRightInd w:val="0"/>
        <w:snapToGrid w:val="0"/>
        <w:spacing w:line="578"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项目设立按固定履行评估论证、申报程序。绩效目标设置于计划期内的任务量、预算安排的资金量基本匹配，绩效目标设置基本科学合理、规范完成。预算项目在规定时间内完成项目入库。</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zh-CN" w:eastAsia="zh-CN"/>
        </w:rPr>
      </w:pPr>
      <w:r>
        <w:rPr>
          <w:rFonts w:hint="eastAsia" w:ascii="仿宋" w:hAnsi="仿宋" w:eastAsia="仿宋" w:cs="仿宋"/>
          <w:sz w:val="32"/>
          <w:szCs w:val="32"/>
          <w:lang w:val="zh-CN"/>
        </w:rPr>
        <w:t>1．资金计划。</w:t>
      </w:r>
      <w:r>
        <w:rPr>
          <w:rFonts w:hint="eastAsia" w:ascii="仿宋" w:hAnsi="仿宋" w:eastAsia="仿宋" w:cs="仿宋"/>
          <w:color w:val="000000"/>
          <w:kern w:val="0"/>
          <w:sz w:val="32"/>
          <w:szCs w:val="32"/>
          <w:shd w:val="clear" w:color="auto" w:fill="FFFFFF"/>
          <w:lang w:val="zh-CN" w:eastAsia="zh-CN"/>
        </w:rPr>
        <w:t>该项目资金计划</w:t>
      </w:r>
      <w:r>
        <w:rPr>
          <w:rFonts w:hint="eastAsia" w:ascii="仿宋" w:hAnsi="仿宋" w:eastAsia="仿宋" w:cs="仿宋"/>
          <w:color w:val="000000"/>
          <w:kern w:val="0"/>
          <w:sz w:val="32"/>
          <w:szCs w:val="32"/>
          <w:shd w:val="clear" w:color="auto" w:fill="FFFFFF"/>
          <w:lang w:val="en-US" w:eastAsia="zh-CN"/>
        </w:rPr>
        <w:t>41.96万元，</w:t>
      </w:r>
      <w:r>
        <w:rPr>
          <w:rFonts w:hint="eastAsia" w:ascii="仿宋" w:hAnsi="仿宋" w:eastAsia="仿宋" w:cs="仿宋"/>
          <w:color w:val="000000"/>
          <w:kern w:val="0"/>
          <w:sz w:val="32"/>
          <w:szCs w:val="32"/>
          <w:shd w:val="clear" w:color="auto" w:fill="FFFFFF"/>
          <w:lang w:val="zh-CN" w:eastAsia="zh-CN"/>
        </w:rPr>
        <w:t>属于市级一般公共预算资金。</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2．资金到位。</w:t>
      </w:r>
      <w:r>
        <w:rPr>
          <w:rFonts w:hint="eastAsia" w:ascii="仿宋" w:hAnsi="仿宋" w:eastAsia="仿宋" w:cs="仿宋"/>
          <w:color w:val="000000"/>
          <w:kern w:val="0"/>
          <w:sz w:val="32"/>
          <w:szCs w:val="32"/>
          <w:shd w:val="clear" w:color="auto" w:fill="FFFFFF"/>
          <w:lang w:val="zh-CN" w:eastAsia="zh-CN"/>
        </w:rPr>
        <w:t>该项目资金实际到位</w:t>
      </w:r>
      <w:r>
        <w:rPr>
          <w:rFonts w:hint="eastAsia" w:ascii="仿宋" w:hAnsi="仿宋" w:eastAsia="仿宋" w:cs="仿宋"/>
          <w:color w:val="000000"/>
          <w:kern w:val="0"/>
          <w:sz w:val="32"/>
          <w:szCs w:val="32"/>
          <w:shd w:val="clear" w:color="auto" w:fill="FFFFFF"/>
          <w:lang w:val="en-US" w:eastAsia="zh-CN"/>
        </w:rPr>
        <w:t>41.96万元。</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zh-CN"/>
        </w:rPr>
        <w:t>3．资金使用。</w:t>
      </w:r>
      <w:r>
        <w:rPr>
          <w:rFonts w:hint="eastAsia" w:ascii="仿宋" w:hAnsi="仿宋" w:eastAsia="仿宋" w:cs="仿宋"/>
          <w:color w:val="000000"/>
          <w:kern w:val="0"/>
          <w:sz w:val="32"/>
          <w:szCs w:val="32"/>
          <w:shd w:val="clear" w:color="auto" w:fill="FFFFFF"/>
          <w:lang w:val="zh-CN" w:eastAsia="zh-CN"/>
        </w:rPr>
        <w:t>该项目资金实际支付</w:t>
      </w:r>
      <w:r>
        <w:rPr>
          <w:rFonts w:hint="eastAsia" w:ascii="仿宋" w:hAnsi="仿宋" w:eastAsia="仿宋" w:cs="仿宋"/>
          <w:color w:val="000000"/>
          <w:kern w:val="0"/>
          <w:sz w:val="32"/>
          <w:szCs w:val="32"/>
          <w:shd w:val="clear" w:color="auto" w:fill="FFFFFF"/>
          <w:lang w:val="en-US" w:eastAsia="zh-CN"/>
        </w:rPr>
        <w:t>41.96万元，</w:t>
      </w:r>
      <w:r>
        <w:rPr>
          <w:rFonts w:hint="eastAsia" w:ascii="仿宋" w:hAnsi="仿宋" w:eastAsia="仿宋" w:cs="仿宋"/>
          <w:color w:val="000000"/>
          <w:kern w:val="0"/>
          <w:sz w:val="32"/>
          <w:szCs w:val="32"/>
          <w:shd w:val="clear" w:color="auto" w:fill="FFFFFF"/>
          <w:lang w:val="zh-CN" w:eastAsia="zh-CN"/>
        </w:rPr>
        <w:t>支付标准、支付进度、支付依据合规合法、与预算相符，</w:t>
      </w:r>
      <w:r>
        <w:rPr>
          <w:rFonts w:hint="eastAsia" w:ascii="仿宋" w:hAnsi="仿宋" w:eastAsia="仿宋" w:cs="仿宋"/>
          <w:color w:val="000000"/>
          <w:kern w:val="0"/>
          <w:sz w:val="32"/>
          <w:szCs w:val="32"/>
          <w:shd w:val="clear" w:color="auto" w:fill="FFFFFF"/>
          <w:lang w:val="en-US" w:eastAsia="zh-CN"/>
        </w:rPr>
        <w:t>完成率100%。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numPr>
          <w:ilvl w:val="0"/>
          <w:numId w:val="12"/>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项目组织架构及实施流程。</w:t>
      </w:r>
    </w:p>
    <w:p>
      <w:pPr>
        <w:pStyle w:val="2"/>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完成省道214线K0+000-K45+746段路面大修工程收尾工作。</w:t>
      </w:r>
    </w:p>
    <w:p>
      <w:pPr>
        <w:numPr>
          <w:ilvl w:val="0"/>
          <w:numId w:val="12"/>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b/>
          <w:sz w:val="32"/>
          <w:szCs w:val="32"/>
          <w:lang w:val="zh-CN"/>
        </w:rPr>
        <w:t>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项目实施遵守相关法律法规；项目调整手续完备；项目合同、验收报告、技术鉴定等资料齐全并及时归档；项目实施的人员条件、场地设备、信息支撑等落实到位</w:t>
      </w:r>
    </w:p>
    <w:p>
      <w:pPr>
        <w:numPr>
          <w:ilvl w:val="0"/>
          <w:numId w:val="12"/>
        </w:numPr>
        <w:adjustRightInd w:val="0"/>
        <w:snapToGrid w:val="0"/>
        <w:spacing w:line="600" w:lineRule="exact"/>
        <w:ind w:left="0" w:leftChars="0" w:firstLine="720"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项目监管情况。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项目工期按时完成验收通过，资金完成拨付，</w:t>
      </w:r>
      <w:r>
        <w:rPr>
          <w:rFonts w:hint="eastAsia" w:ascii="仿宋" w:hAnsi="仿宋" w:eastAsia="仿宋" w:cs="仿宋"/>
          <w:sz w:val="32"/>
          <w:szCs w:val="32"/>
          <w:lang w:val="en-US" w:eastAsia="zh-CN"/>
        </w:rPr>
        <w:t>工程质量合格率达到100%。</w:t>
      </w:r>
      <w:r>
        <w:rPr>
          <w:rFonts w:hint="eastAsia" w:ascii="仿宋" w:hAnsi="仿宋" w:eastAsia="仿宋" w:cs="仿宋"/>
          <w:sz w:val="32"/>
          <w:szCs w:val="32"/>
          <w:lang w:val="zh-CN"/>
        </w:rPr>
        <w:t>无资金结余情况，无违规记录，对照项目计划完成目标。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极大提升公路安全水平，提升人民出行便捷性及人民满意度。</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w:t>
      </w: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交通部门作为行政管理机构，专业技术人员有限，机电运行能力不足，也难以保障本工程庞大系统的长期稳定运行。因此，建议工程实施过程中，积极引导社会第三方力量的积极参与，统筹解决工程建设和运行问题。</w:t>
      </w:r>
    </w:p>
    <w:p/>
    <w:p>
      <w:pPr>
        <w:spacing w:line="600" w:lineRule="exact"/>
        <w:jc w:val="center"/>
        <w:outlineLvl w:val="9"/>
        <w:rPr>
          <w:rFonts w:hint="eastAsia" w:ascii="仿宋" w:hAnsi="仿宋" w:eastAsia="仿宋" w:cs="仿宋"/>
          <w:sz w:val="32"/>
          <w:szCs w:val="32"/>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eastAsia="zh-CN"/>
        </w:rPr>
        <w:t>航道维护</w:t>
      </w:r>
      <w:r>
        <w:rPr>
          <w:rFonts w:ascii="Times New Roman" w:hAnsi="Times New Roman" w:eastAsia="仿宋_GB2312"/>
          <w:color w:val="auto"/>
          <w:kern w:val="2"/>
          <w:sz w:val="32"/>
          <w:szCs w:val="32"/>
        </w:rPr>
        <w:t>）</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kern w:val="0"/>
          <w:sz w:val="32"/>
          <w:szCs w:val="32"/>
        </w:rPr>
      </w:pPr>
      <w:r>
        <w:rPr>
          <w:rFonts w:hint="eastAsia" w:ascii="仿宋" w:hAnsi="仿宋" w:eastAsia="仿宋" w:cs="仿宋"/>
          <w:sz w:val="32"/>
          <w:szCs w:val="32"/>
          <w:lang w:val="zh-CN"/>
        </w:rPr>
        <w:t>1．</w:t>
      </w:r>
      <w:r>
        <w:rPr>
          <w:rFonts w:hint="eastAsia" w:ascii="仿宋" w:hAnsi="仿宋" w:eastAsia="仿宋" w:cs="仿宋"/>
          <w:kern w:val="0"/>
          <w:sz w:val="32"/>
          <w:szCs w:val="32"/>
        </w:rPr>
        <w:t>项目主管单位：攀枝花市</w:t>
      </w:r>
      <w:r>
        <w:rPr>
          <w:rFonts w:hint="eastAsia" w:ascii="仿宋" w:hAnsi="仿宋" w:eastAsia="仿宋" w:cs="仿宋"/>
          <w:kern w:val="0"/>
          <w:sz w:val="32"/>
          <w:szCs w:val="32"/>
          <w:lang w:val="en-US" w:eastAsia="zh-CN"/>
        </w:rPr>
        <w:t>航务海事</w:t>
      </w:r>
      <w:r>
        <w:rPr>
          <w:rFonts w:hint="eastAsia" w:ascii="仿宋" w:hAnsi="仿宋" w:eastAsia="仿宋" w:cs="仿宋"/>
          <w:kern w:val="0"/>
          <w:sz w:val="32"/>
          <w:szCs w:val="32"/>
        </w:rPr>
        <w:t>中心</w:t>
      </w:r>
    </w:p>
    <w:p>
      <w:pPr>
        <w:adjustRightInd w:val="0"/>
        <w:snapToGrid w:val="0"/>
        <w:spacing w:line="6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kern w:val="0"/>
          <w:sz w:val="32"/>
          <w:szCs w:val="32"/>
        </w:rPr>
        <w:t>职能：</w:t>
      </w:r>
      <w:r>
        <w:rPr>
          <w:rFonts w:hint="eastAsia" w:ascii="仿宋" w:hAnsi="仿宋" w:eastAsia="仿宋" w:cs="仿宋"/>
          <w:sz w:val="32"/>
          <w:szCs w:val="32"/>
        </w:rPr>
        <w:t>负责辖区水域内航道的维护，港口、码头的管理</w:t>
      </w:r>
      <w:r>
        <w:rPr>
          <w:rFonts w:hint="eastAsia" w:ascii="仿宋" w:hAnsi="仿宋" w:eastAsia="仿宋" w:cs="仿宋"/>
          <w:sz w:val="32"/>
          <w:szCs w:val="32"/>
          <w:lang w:eastAsia="zh-CN"/>
        </w:rPr>
        <w:t>。</w:t>
      </w:r>
    </w:p>
    <w:p>
      <w:pPr>
        <w:numPr>
          <w:ilvl w:val="0"/>
          <w:numId w:val="13"/>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kern w:val="0"/>
          <w:sz w:val="32"/>
          <w:szCs w:val="32"/>
        </w:rPr>
        <w:t>《中华人民共和国航道法》、《四川省航道条例》，</w:t>
      </w:r>
      <w:r>
        <w:rPr>
          <w:rFonts w:hint="eastAsia" w:ascii="仿宋" w:hAnsi="仿宋" w:eastAsia="仿宋" w:cs="仿宋"/>
          <w:color w:val="000000"/>
          <w:sz w:val="32"/>
          <w:szCs w:val="32"/>
        </w:rPr>
        <w:t>为保证全市航道通航秩序畅通、安全，保障船舶通航安全，确保圆满完成2024年航道建设、维护、保护、宣传工作目标。</w:t>
      </w:r>
    </w:p>
    <w:p>
      <w:pPr>
        <w:numPr>
          <w:ilvl w:val="0"/>
          <w:numId w:val="13"/>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autoSpaceDE w:val="0"/>
        <w:autoSpaceDN w:val="0"/>
        <w:adjustRightInd w:val="0"/>
        <w:spacing w:line="560" w:lineRule="exact"/>
        <w:ind w:firstLine="640" w:firstLineChars="200"/>
        <w:jc w:val="left"/>
        <w:rPr>
          <w:rFonts w:hint="eastAsia" w:ascii="仿宋" w:hAnsi="仿宋" w:eastAsia="仿宋" w:cs="仿宋"/>
          <w:sz w:val="32"/>
          <w:szCs w:val="32"/>
          <w:lang w:val="zh-CN"/>
        </w:rPr>
      </w:pPr>
      <w:r>
        <w:rPr>
          <w:rFonts w:hint="eastAsia" w:ascii="仿宋" w:hAnsi="仿宋" w:eastAsia="仿宋" w:cs="仿宋"/>
          <w:color w:val="000000"/>
          <w:sz w:val="32"/>
          <w:szCs w:val="32"/>
          <w:shd w:val="clear" w:color="auto" w:fill="FFFFFF"/>
        </w:rPr>
        <w:t>该项目资金纳入财政预算管理。</w:t>
      </w:r>
      <w:r>
        <w:rPr>
          <w:rFonts w:hint="eastAsia" w:ascii="仿宋" w:hAnsi="仿宋" w:eastAsia="仿宋" w:cs="仿宋"/>
          <w:kern w:val="0"/>
          <w:sz w:val="32"/>
          <w:szCs w:val="32"/>
        </w:rPr>
        <w:t>根据《中华人民共和国会计法》、《会计基础工作规范》，制定了攀枝花市地方海事局财务管理制度，对资金使用、支付等作了严格规定，有效确保了项目资金的合理使用。</w:t>
      </w:r>
    </w:p>
    <w:p>
      <w:pPr>
        <w:numPr>
          <w:ilvl w:val="0"/>
          <w:numId w:val="13"/>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autoSpaceDE w:val="0"/>
        <w:autoSpaceDN w:val="0"/>
        <w:adjustRightInd w:val="0"/>
        <w:spacing w:line="560" w:lineRule="exact"/>
        <w:ind w:firstLine="640" w:firstLineChars="200"/>
        <w:jc w:val="left"/>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按项目支出预算管理办法的要求，对项目支出的内容和项目支出进度进行合理经费分配支出。</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kern w:val="0"/>
          <w:sz w:val="32"/>
          <w:szCs w:val="32"/>
        </w:rPr>
        <w:t>2024年航道维护经费项目支出包括，航道巡查、航道标识标牌制作、国内水路运输及其辅助业年度核查打击非法营运行为、对水运企业落实安全生产主体责任培训宣传等。</w:t>
      </w:r>
    </w:p>
    <w:p>
      <w:pPr>
        <w:autoSpaceDE w:val="0"/>
        <w:autoSpaceDN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2024年，按照巡航计划，每月结合工作实际和专项工作开展，巡航检查。通过巡航检查，保障通航秩序，提升船舶航行安全，开展国内水路运输及其辅助业年度核查，促进水路运输业健康发展。</w:t>
      </w:r>
    </w:p>
    <w:p>
      <w:pPr>
        <w:autoSpaceDE w:val="0"/>
        <w:autoSpaceDN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严格按照预算法、项目支出预算管理办法的要求，合理安排航道维护经费支出，按照川海巡229看守合同、标识标牌安装合同、验收合同、增值税发票要求，进行实报实销的原则，于2024年12月支付完毕。航道维护经费支出主要包括开展航道巡查、航道标识标牌制作、年度核查打击非法营运、宣传培训水运企业落实安全生产主体责任等。</w:t>
      </w:r>
    </w:p>
    <w:p>
      <w:pPr>
        <w:autoSpaceDE w:val="0"/>
        <w:autoSpaceDN w:val="0"/>
        <w:spacing w:line="560" w:lineRule="exact"/>
        <w:ind w:firstLine="640" w:firstLineChars="200"/>
        <w:jc w:val="left"/>
        <w:rPr>
          <w:rFonts w:hint="eastAsia" w:ascii="仿宋" w:hAnsi="仿宋" w:eastAsia="仿宋" w:cs="仿宋"/>
          <w:sz w:val="32"/>
          <w:szCs w:val="32"/>
          <w:lang w:val="zh-CN"/>
        </w:rPr>
      </w:pPr>
      <w:r>
        <w:rPr>
          <w:rFonts w:hint="eastAsia" w:ascii="仿宋" w:hAnsi="仿宋" w:eastAsia="仿宋" w:cs="仿宋"/>
          <w:kern w:val="0"/>
          <w:sz w:val="32"/>
          <w:szCs w:val="32"/>
        </w:rPr>
        <w:t>2024年航道维护项目资金全年实际支出2万元，完成年度预算100%。</w:t>
      </w:r>
    </w:p>
    <w:p>
      <w:pPr>
        <w:autoSpaceDE w:val="0"/>
        <w:autoSpaceDN w:val="0"/>
        <w:spacing w:line="560" w:lineRule="exact"/>
        <w:ind w:firstLine="640" w:firstLineChars="2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申报内容根据我中心主要工作职责和实际情况制定，参考以前年度实际执行情况，申报目标合理可行。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sz w:val="32"/>
          <w:szCs w:val="32"/>
          <w:lang w:val="zh-CN"/>
        </w:rPr>
        <w:t>项目</w:t>
      </w:r>
      <w:r>
        <w:rPr>
          <w:rFonts w:hint="eastAsia" w:ascii="仿宋" w:hAnsi="仿宋" w:eastAsia="仿宋" w:cs="仿宋"/>
          <w:kern w:val="0"/>
          <w:sz w:val="32"/>
          <w:szCs w:val="32"/>
        </w:rPr>
        <w:t>结合实际工作和</w:t>
      </w:r>
      <w:r>
        <w:rPr>
          <w:rFonts w:hint="eastAsia" w:ascii="仿宋" w:hAnsi="仿宋" w:eastAsia="仿宋" w:cs="仿宋"/>
          <w:kern w:val="0"/>
          <w:sz w:val="32"/>
          <w:szCs w:val="32"/>
          <w:lang w:val="en-US" w:eastAsia="zh-CN"/>
        </w:rPr>
        <w:t>反馈</w:t>
      </w:r>
      <w:r>
        <w:rPr>
          <w:rFonts w:hint="eastAsia" w:ascii="仿宋" w:hAnsi="仿宋" w:eastAsia="仿宋" w:cs="仿宋"/>
          <w:kern w:val="0"/>
          <w:sz w:val="32"/>
          <w:szCs w:val="32"/>
        </w:rPr>
        <w:t>开展</w:t>
      </w:r>
      <w:r>
        <w:rPr>
          <w:rFonts w:hint="eastAsia" w:ascii="仿宋" w:hAnsi="仿宋" w:eastAsia="仿宋" w:cs="仿宋"/>
          <w:sz w:val="32"/>
          <w:szCs w:val="32"/>
          <w:lang w:val="zh-CN"/>
        </w:rPr>
        <w:t>绩效自评，</w:t>
      </w:r>
      <w:r>
        <w:rPr>
          <w:rFonts w:hint="eastAsia" w:ascii="仿宋" w:hAnsi="仿宋" w:eastAsia="仿宋" w:cs="仿宋"/>
          <w:sz w:val="32"/>
          <w:szCs w:val="32"/>
          <w:lang w:val="en-US" w:eastAsia="zh-CN"/>
        </w:rPr>
        <w:t>采用“线上”’结合“线下”等抽查方式逐步完善航道巡查工作，增强安全宣传和水上应急救援能力增加群众满意度，形成自评报告。</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utoSpaceDE w:val="0"/>
        <w:autoSpaceDN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2024年度，航道维护项目资金申报 2万元，批复2万元。</w:t>
      </w:r>
    </w:p>
    <w:p>
      <w:pPr>
        <w:numPr>
          <w:ilvl w:val="0"/>
          <w:numId w:val="14"/>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资金计划、到位及使用情况（可用表格形式反映）。</w:t>
      </w:r>
    </w:p>
    <w:p>
      <w:pPr>
        <w:autoSpaceDE w:val="0"/>
        <w:autoSpaceDN w:val="0"/>
        <w:spacing w:line="560" w:lineRule="exact"/>
        <w:ind w:firstLine="640" w:firstLineChars="200"/>
        <w:jc w:val="left"/>
        <w:rPr>
          <w:rFonts w:hint="eastAsia" w:ascii="仿宋" w:hAnsi="仿宋" w:eastAsia="仿宋" w:cs="仿宋"/>
          <w:b/>
          <w:sz w:val="32"/>
          <w:szCs w:val="32"/>
          <w:lang w:val="en-US" w:eastAsia="zh-CN"/>
        </w:rPr>
      </w:pPr>
      <w:r>
        <w:rPr>
          <w:rFonts w:hint="eastAsia" w:ascii="仿宋" w:hAnsi="仿宋" w:eastAsia="仿宋" w:cs="仿宋"/>
          <w:kern w:val="0"/>
          <w:sz w:val="32"/>
          <w:szCs w:val="32"/>
        </w:rPr>
        <w:t>2024年度，航道维护项目预算资金2万元，使用2万元，使用率100%。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utoSpaceDE w:val="0"/>
        <w:autoSpaceDN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严格按照预算法、项目预算支出管理办法等规定，严格执行财务管理制度，合理安排经费支出，合理合法合规支出项目经费。</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kern w:val="0"/>
          <w:sz w:val="32"/>
          <w:szCs w:val="32"/>
        </w:rPr>
      </w:pPr>
      <w:r>
        <w:rPr>
          <w:rFonts w:hint="eastAsia" w:ascii="仿宋" w:hAnsi="仿宋" w:eastAsia="仿宋" w:cs="仿宋"/>
          <w:kern w:val="0"/>
          <w:sz w:val="32"/>
          <w:szCs w:val="32"/>
        </w:rPr>
        <w:t>结合工作实际和专项工作开展，巡航检查。通过巡航检查，保障通航秩序，提升船舶航行安全，开展国内水路运输及其辅助业年度核查，</w:t>
      </w:r>
      <w:r>
        <w:rPr>
          <w:rFonts w:hint="eastAsia" w:ascii="仿宋" w:hAnsi="仿宋" w:eastAsia="仿宋" w:cs="仿宋"/>
          <w:kern w:val="0"/>
          <w:sz w:val="32"/>
          <w:szCs w:val="32"/>
          <w:lang w:val="en-US" w:eastAsia="zh-CN"/>
        </w:rPr>
        <w:t>确保项目</w:t>
      </w:r>
      <w:r>
        <w:rPr>
          <w:rFonts w:hint="eastAsia" w:ascii="仿宋" w:hAnsi="仿宋" w:eastAsia="仿宋" w:cs="仿宋"/>
          <w:color w:val="000000"/>
          <w:sz w:val="32"/>
          <w:szCs w:val="32"/>
        </w:rPr>
        <w:t>决策依据较充分、绩效目标较明确，项目资金分配合理，使用范围合规，组织实施较规范。</w:t>
      </w:r>
      <w:r>
        <w:rPr>
          <w:rFonts w:hint="eastAsia" w:ascii="仿宋" w:hAnsi="仿宋" w:eastAsia="仿宋" w:cs="仿宋"/>
          <w:kern w:val="0"/>
          <w:sz w:val="32"/>
          <w:szCs w:val="32"/>
        </w:rPr>
        <w:t>2024年12月全面完成项目支付。</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pStyle w:val="62"/>
        <w:ind w:firstLine="960" w:firstLineChars="300"/>
        <w:rPr>
          <w:rFonts w:hint="eastAsia" w:ascii="仿宋" w:hAnsi="仿宋" w:eastAsia="仿宋" w:cs="仿宋"/>
          <w:sz w:val="32"/>
          <w:szCs w:val="32"/>
        </w:rPr>
      </w:pPr>
      <w:r>
        <w:rPr>
          <w:rFonts w:hint="eastAsia" w:ascii="仿宋" w:hAnsi="仿宋" w:eastAsia="仿宋" w:cs="仿宋"/>
          <w:b w:val="0"/>
          <w:bCs/>
          <w:sz w:val="32"/>
          <w:szCs w:val="32"/>
          <w:lang w:val="zh-CN"/>
        </w:rPr>
        <w:t>2024年按照巡航计划，</w:t>
      </w:r>
      <w:r>
        <w:rPr>
          <w:rFonts w:hint="eastAsia" w:ascii="仿宋" w:hAnsi="仿宋" w:eastAsia="仿宋" w:cs="仿宋"/>
          <w:b w:val="0"/>
          <w:bCs/>
          <w:sz w:val="32"/>
          <w:szCs w:val="32"/>
          <w:lang w:val="en-US" w:eastAsia="zh-CN"/>
        </w:rPr>
        <w:t>除日常工作外</w:t>
      </w:r>
      <w:r>
        <w:rPr>
          <w:rFonts w:hint="eastAsia" w:ascii="仿宋" w:hAnsi="仿宋" w:eastAsia="仿宋" w:cs="仿宋"/>
          <w:sz w:val="32"/>
          <w:szCs w:val="32"/>
        </w:rPr>
        <w:t>核对辖区应急船舶分布位置、紧急联系人等信息，研讨、更新了金沙江（攀枝花段）紧急拦截船舶部署图，完成“攀枝花市水路运输应急船舶分布示意图”更新、公布，并全面整备“川海巡229”，提升水上应急处置能力。按照市委市政府要求，拟定银江湖水上巡逻救助应急力量建设方案。</w:t>
      </w:r>
    </w:p>
    <w:p>
      <w:pPr>
        <w:ind w:firstLine="640" w:firstLineChars="0"/>
        <w:rPr>
          <w:rFonts w:hint="eastAsia" w:ascii="仿宋" w:hAnsi="仿宋" w:eastAsia="仿宋" w:cs="仿宋"/>
          <w:sz w:val="32"/>
          <w:szCs w:val="32"/>
        </w:rPr>
      </w:pPr>
      <w:r>
        <w:rPr>
          <w:rFonts w:hint="eastAsia" w:ascii="仿宋" w:hAnsi="仿宋" w:eastAsia="仿宋" w:cs="仿宋"/>
          <w:color w:val="000000"/>
          <w:sz w:val="32"/>
          <w:szCs w:val="32"/>
        </w:rPr>
        <w:t>采取“线上”抽查和“线下”检查相结合方式，全年</w:t>
      </w:r>
      <w:r>
        <w:rPr>
          <w:rFonts w:hint="eastAsia" w:ascii="仿宋" w:hAnsi="仿宋" w:eastAsia="仿宋" w:cs="仿宋"/>
          <w:sz w:val="32"/>
          <w:szCs w:val="32"/>
        </w:rPr>
        <w:t>共开展</w:t>
      </w:r>
      <w:r>
        <w:rPr>
          <w:rFonts w:hint="eastAsia" w:ascii="仿宋" w:hAnsi="仿宋" w:eastAsia="仿宋" w:cs="仿宋"/>
          <w:snapToGrid w:val="0"/>
          <w:sz w:val="32"/>
          <w:szCs w:val="32"/>
        </w:rPr>
        <w:t>线上巡查45次，沿江巡航和岸巡16次，</w:t>
      </w:r>
      <w:r>
        <w:rPr>
          <w:rFonts w:hint="eastAsia" w:ascii="仿宋" w:hAnsi="仿宋" w:eastAsia="仿宋" w:cs="仿宋"/>
          <w:sz w:val="32"/>
          <w:szCs w:val="32"/>
        </w:rPr>
        <w:t>线下水上交通安全检查指导65次，检查单位74家次，渡口码头30座次、水域47处次、船舶216艘次</w:t>
      </w:r>
      <w:r>
        <w:rPr>
          <w:rFonts w:hint="eastAsia" w:ascii="仿宋" w:hAnsi="仿宋" w:eastAsia="仿宋" w:cs="仿宋"/>
          <w:snapToGrid w:val="0"/>
          <w:sz w:val="32"/>
          <w:szCs w:val="32"/>
        </w:rPr>
        <w:t>，</w:t>
      </w:r>
      <w:r>
        <w:rPr>
          <w:rFonts w:hint="eastAsia" w:ascii="仿宋" w:hAnsi="仿宋" w:eastAsia="仿宋" w:cs="仿宋"/>
          <w:sz w:val="32"/>
          <w:szCs w:val="32"/>
        </w:rPr>
        <w:t>印发通报、提醒敦促函各1份，发现并整改问题106个</w:t>
      </w:r>
      <w:r>
        <w:rPr>
          <w:rFonts w:hint="eastAsia" w:ascii="仿宋" w:hAnsi="仿宋" w:eastAsia="仿宋" w:cs="仿宋"/>
          <w:snapToGrid w:val="0"/>
          <w:sz w:val="32"/>
          <w:szCs w:val="32"/>
        </w:rPr>
        <w:t>。</w:t>
      </w:r>
      <w:r>
        <w:rPr>
          <w:rFonts w:hint="eastAsia" w:ascii="仿宋" w:hAnsi="仿宋" w:eastAsia="仿宋" w:cs="仿宋"/>
          <w:sz w:val="32"/>
          <w:szCs w:val="32"/>
        </w:rPr>
        <w:t>初步完成辖区水上交通安全风险排查辨识工作，编制了市辖区水上交通安全风险源辨识管控清单，完成排查点位13个，梳理确定为较大风险点位1个，一般风险点位12个。</w:t>
      </w:r>
      <w:bookmarkStart w:id="80" w:name="OLE_LINK3"/>
      <w:bookmarkStart w:id="81" w:name="OLE_LINK4"/>
      <w:r>
        <w:rPr>
          <w:rFonts w:hint="eastAsia" w:ascii="仿宋" w:hAnsi="仿宋" w:eastAsia="仿宋" w:cs="仿宋"/>
          <w:sz w:val="32"/>
          <w:szCs w:val="32"/>
        </w:rPr>
        <w:t>组织</w:t>
      </w:r>
      <w:bookmarkEnd w:id="80"/>
      <w:bookmarkEnd w:id="81"/>
      <w:r>
        <w:rPr>
          <w:rFonts w:hint="eastAsia" w:ascii="仿宋" w:hAnsi="仿宋" w:eastAsia="仿宋" w:cs="仿宋"/>
          <w:sz w:val="32"/>
          <w:szCs w:val="32"/>
        </w:rPr>
        <w:t>编制了《金沙江（雅砻江口至迤布苦段）航道示意图》，图中涉及航道里程（两江口至迤布苦）约62千米，识别标注桥梁6座、礁石（区）42处、浅滩11处、狭窄航段10处、掉头区域13处，为船舶安全航行提供参考。持续强化“长江十年禁捕”和河湖长制工作宣传引导。在重要码头开展长江十年禁捕宣传，发放宣传资料100余份，利用LED屏滚动播放宣传标语15条，教育引导水路交通从业人员带头做好长江禁捕工作，大力营造人人参与的社会氛围。印发《攀枝花市交通运输局 攀枝花市自然资源和规划局 攀枝花市水利局攀枝花市农业农村局 攀枝花市应急管理局关于规范港口码头外客运船舶停靠站点有关建设管理工作的通知》，对全市客运船舶停靠、客运停靠点选址和建设等进行了规范。</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pStyle w:val="62"/>
        <w:ind w:firstLine="640"/>
        <w:rPr>
          <w:rFonts w:hint="eastAsia" w:ascii="仿宋" w:hAnsi="仿宋" w:eastAsia="仿宋" w:cs="仿宋"/>
          <w:sz w:val="32"/>
          <w:szCs w:val="32"/>
        </w:rPr>
      </w:pPr>
      <w:r>
        <w:rPr>
          <w:rFonts w:hint="eastAsia" w:ascii="仿宋" w:hAnsi="仿宋" w:eastAsia="仿宋" w:cs="仿宋"/>
          <w:sz w:val="32"/>
          <w:szCs w:val="32"/>
          <w:lang w:val="zh-CN"/>
        </w:rPr>
        <w:t>通过巡航检查，保障通航秩序，提升船舶航行安全，促进水路运输业健康发展。加大航道通航秩序检查力度，全年</w:t>
      </w:r>
      <w:r>
        <w:rPr>
          <w:rFonts w:hint="eastAsia" w:ascii="仿宋" w:hAnsi="仿宋" w:eastAsia="仿宋" w:cs="仿宋"/>
          <w:sz w:val="32"/>
          <w:szCs w:val="32"/>
        </w:rPr>
        <w:t>未发生责任性安全事故，也未发生一般性及以上环保事件。</w:t>
      </w:r>
    </w:p>
    <w:p>
      <w:pPr>
        <w:adjustRightInd w:val="0"/>
        <w:snapToGrid w:val="0"/>
        <w:spacing w:line="600" w:lineRule="exact"/>
        <w:rPr>
          <w:rFonts w:hint="eastAsia" w:ascii="仿宋" w:hAnsi="仿宋" w:eastAsia="仿宋" w:cs="仿宋"/>
          <w:sz w:val="32"/>
          <w:szCs w:val="32"/>
          <w:lang w:val="zh-CN"/>
        </w:rPr>
      </w:pPr>
      <w:r>
        <w:rPr>
          <w:rFonts w:hint="eastAsia" w:ascii="仿宋" w:hAnsi="仿宋" w:eastAsia="仿宋" w:cs="仿宋"/>
          <w:sz w:val="32"/>
          <w:szCs w:val="32"/>
          <w:lang w:val="zh-CN"/>
        </w:rPr>
        <w:t>全市水路客货运输量完成市委市政府下达目标任务，群众满意度大幅度提升。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utoSpaceDE w:val="0"/>
        <w:autoSpaceDN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通过项目的有效实施，每月分解目标任务，全年较好完成航道巡查、养护、宣传、保护。促进全市水路运输业健康发展，全年未发生水路交通、航道安全事故。群众满意度大幅度提高，群众满意度达9</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%以上。</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无</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sz w:val="32"/>
          <w:szCs w:val="32"/>
          <w:lang w:eastAsia="zh-CN"/>
        </w:rPr>
      </w:pPr>
      <w:r>
        <w:rPr>
          <w:rFonts w:hint="eastAsia" w:ascii="仿宋" w:hAnsi="仿宋" w:eastAsia="仿宋" w:cs="仿宋"/>
          <w:b/>
          <w:sz w:val="32"/>
          <w:szCs w:val="32"/>
          <w:lang w:val="zh-CN"/>
        </w:rPr>
        <w:t>（三）相关建议。</w:t>
      </w:r>
      <w:r>
        <w:rPr>
          <w:rFonts w:hint="eastAsia" w:ascii="仿宋" w:hAnsi="仿宋" w:eastAsia="仿宋" w:cs="仿宋"/>
          <w:sz w:val="32"/>
          <w:szCs w:val="32"/>
          <w:lang w:val="en-US" w:eastAsia="zh-CN"/>
        </w:rPr>
        <w:t>无</w:t>
      </w:r>
    </w:p>
    <w:p>
      <w:pPr>
        <w:spacing w:line="600" w:lineRule="exact"/>
        <w:jc w:val="center"/>
        <w:outlineLvl w:val="9"/>
        <w:rPr>
          <w:rFonts w:hint="eastAsia" w:ascii="仿宋" w:hAnsi="仿宋" w:eastAsia="仿宋" w:cs="仿宋"/>
          <w:sz w:val="32"/>
          <w:szCs w:val="32"/>
        </w:rPr>
      </w:pPr>
    </w:p>
    <w:p>
      <w:pPr>
        <w:spacing w:line="600" w:lineRule="exact"/>
        <w:jc w:val="center"/>
        <w:outlineLvl w:val="9"/>
        <w:rPr>
          <w:rFonts w:hint="eastAsia" w:ascii="仿宋" w:hAnsi="仿宋" w:eastAsia="仿宋" w:cs="仿宋"/>
          <w:sz w:val="32"/>
          <w:szCs w:val="32"/>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航线补贴</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因机场航线开通后需渡过一段时期的培育期，并且结合客流量小，航班上座率低等原因，新航线开通初期需要政府给予政策、资金支持、引导。目前我市对攀枝花—西安、攀枝花—南京、桂林—攀枝花—重庆、上海浦东—武汉—攀枝花、攀枝花—广州5条航线进行补贴</w:t>
      </w:r>
      <w:r>
        <w:rPr>
          <w:rFonts w:hint="eastAsia" w:ascii="仿宋" w:hAnsi="仿宋" w:eastAsia="仿宋" w:cs="仿宋"/>
          <w:sz w:val="32"/>
          <w:szCs w:val="32"/>
          <w:lang w:val="zh-CN" w:eastAsia="zh-CN"/>
        </w:rPr>
        <w:t>。</w:t>
      </w:r>
      <w:r>
        <w:rPr>
          <w:rFonts w:hint="eastAsia" w:ascii="仿宋" w:hAnsi="仿宋" w:eastAsia="仿宋" w:cs="仿宋"/>
          <w:b w:val="0"/>
          <w:bCs/>
          <w:sz w:val="32"/>
          <w:szCs w:val="32"/>
          <w:lang w:val="zh-CN"/>
        </w:rPr>
        <w:t>项目</w:t>
      </w:r>
      <w:r>
        <w:rPr>
          <w:rFonts w:hint="eastAsia" w:ascii="仿宋" w:hAnsi="仿宋" w:eastAsia="仿宋" w:cs="仿宋"/>
          <w:sz w:val="32"/>
          <w:szCs w:val="32"/>
          <w:lang w:val="zh-CN"/>
        </w:rPr>
        <w:t>申报内容与具体实施内容相符、申报目标合理可行。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补贴航线不多余</w:t>
      </w:r>
      <w:r>
        <w:rPr>
          <w:rFonts w:hint="eastAsia" w:ascii="仿宋" w:hAnsi="仿宋" w:eastAsia="仿宋" w:cs="仿宋"/>
          <w:sz w:val="32"/>
          <w:szCs w:val="32"/>
          <w:lang w:val="en-US" w:eastAsia="zh-CN"/>
        </w:rPr>
        <w:t>5条。</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项目应实现的具体绩效目标。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补贴航线不多余</w:t>
      </w:r>
      <w:r>
        <w:rPr>
          <w:rFonts w:hint="eastAsia" w:ascii="仿宋" w:hAnsi="仿宋" w:eastAsia="仿宋" w:cs="仿宋"/>
          <w:sz w:val="32"/>
          <w:szCs w:val="32"/>
          <w:lang w:val="en-US" w:eastAsia="zh-CN"/>
        </w:rPr>
        <w:t>5条。</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质量指标：补贴及时到位。</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经济成本指标：财政补助成本3103.06万元。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3103.06万元。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年内完成航线补贴，</w:t>
      </w:r>
      <w:r>
        <w:rPr>
          <w:rFonts w:hint="eastAsia" w:ascii="仿宋" w:hAnsi="仿宋" w:eastAsia="仿宋" w:cs="仿宋"/>
          <w:sz w:val="32"/>
          <w:szCs w:val="32"/>
          <w:lang w:val="en-US" w:eastAsia="zh-CN"/>
        </w:rPr>
        <w:t>补贴及时到位，确保航线运行平稳。财政补助成本3103.06万元及时到位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方便群众出行，服务对象满意度≥</w:t>
      </w:r>
      <w:r>
        <w:rPr>
          <w:rFonts w:hint="eastAsia" w:ascii="仿宋" w:hAnsi="仿宋" w:eastAsia="仿宋" w:cs="仿宋"/>
          <w:sz w:val="32"/>
          <w:szCs w:val="32"/>
          <w:lang w:val="en-US" w:eastAsia="zh-CN"/>
        </w:rPr>
        <w:t>80%，达到绩效目标。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spacing w:line="600" w:lineRule="exact"/>
        <w:jc w:val="center"/>
        <w:outlineLvl w:val="9"/>
        <w:rPr>
          <w:rFonts w:hint="eastAsia" w:ascii="仿宋" w:hAnsi="仿宋" w:eastAsia="仿宋" w:cs="仿宋"/>
          <w:sz w:val="32"/>
          <w:szCs w:val="32"/>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机场大巴营运补贴</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补贴机场大巴运营，保证群众出行。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补贴机场大巴运营</w:t>
      </w:r>
      <w:r>
        <w:rPr>
          <w:rFonts w:hint="eastAsia" w:ascii="仿宋" w:hAnsi="仿宋" w:eastAsia="仿宋" w:cs="仿宋"/>
          <w:sz w:val="32"/>
          <w:szCs w:val="32"/>
          <w:lang w:val="zh-CN" w:eastAsia="zh-CN"/>
        </w:rPr>
        <w:t>。</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班次根据航班次确定。</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质量指标：市区至机场大巴运行安全有序</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经济成本指标：财政补助成本50万元。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50万元。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年内对机场大巴进行补贴，保证</w:t>
      </w:r>
      <w:r>
        <w:rPr>
          <w:rFonts w:hint="eastAsia" w:ascii="仿宋" w:hAnsi="仿宋" w:eastAsia="仿宋" w:cs="仿宋"/>
          <w:sz w:val="32"/>
          <w:szCs w:val="32"/>
          <w:lang w:val="en-US" w:eastAsia="zh-CN"/>
        </w:rPr>
        <w:t>市区至机场大巴运行安全有序，财政补助成本50万元及时到位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方便市民群众出行，为市民乘机提供方便，服务对象满意度≥</w:t>
      </w:r>
      <w:r>
        <w:rPr>
          <w:rFonts w:hint="eastAsia" w:ascii="仿宋" w:hAnsi="仿宋" w:eastAsia="仿宋" w:cs="仿宋"/>
          <w:sz w:val="32"/>
          <w:szCs w:val="32"/>
          <w:lang w:val="en-US" w:eastAsia="zh-CN"/>
        </w:rPr>
        <w:t>95%，达到绩效目标。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ind w:firstLine="883"/>
        <w:jc w:val="center"/>
        <w:rPr>
          <w:rFonts w:hint="default" w:ascii="方正小标宋简体" w:hAnsi="方正小标宋简体" w:eastAsia="方正小标宋简体" w:cs="方正小标宋简体"/>
          <w:color w:val="000000"/>
          <w:kern w:val="0"/>
          <w:sz w:val="44"/>
          <w:szCs w:val="44"/>
          <w:lang w:val="en-US" w:eastAsia="zh-CN" w:bidi="ar"/>
        </w:rPr>
      </w:pPr>
    </w:p>
    <w:p>
      <w:pPr>
        <w:pStyle w:val="38"/>
        <w:spacing w:line="600" w:lineRule="exact"/>
        <w:ind w:firstLine="883"/>
        <w:jc w:val="center"/>
        <w:rPr>
          <w:rFonts w:ascii="Times New Roman" w:hAnsi="Times New Roman" w:eastAsia="仿宋_GB2312"/>
          <w:color w:val="auto"/>
          <w:kern w:val="2"/>
          <w:sz w:val="32"/>
          <w:szCs w:val="32"/>
        </w:rPr>
      </w:pPr>
      <w:r>
        <w:rPr>
          <w:rFonts w:hint="default" w:ascii="方正小标宋简体" w:hAnsi="方正小标宋简体" w:eastAsia="方正小标宋简体" w:cs="方正小标宋简体"/>
          <w:color w:val="000000"/>
          <w:kern w:val="0"/>
          <w:sz w:val="44"/>
          <w:szCs w:val="44"/>
          <w:lang w:val="en-US" w:eastAsia="zh-CN" w:bidi="ar"/>
        </w:rPr>
        <w:t>项目支出绩效自评报告</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机场大巴营运补贴</w:t>
      </w:r>
      <w:r>
        <w:rPr>
          <w:rFonts w:ascii="Times New Roman" w:hAnsi="Times New Roman" w:eastAsia="仿宋_GB2312"/>
          <w:color w:val="auto"/>
          <w:kern w:val="2"/>
          <w:sz w:val="32"/>
          <w:szCs w:val="32"/>
        </w:rPr>
        <w:t>）</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补贴机场大巴运营，保证群众出行。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补贴机场大巴运营</w:t>
      </w:r>
      <w:r>
        <w:rPr>
          <w:rFonts w:hint="eastAsia" w:ascii="仿宋" w:hAnsi="仿宋" w:eastAsia="仿宋" w:cs="仿宋"/>
          <w:sz w:val="32"/>
          <w:szCs w:val="32"/>
          <w:lang w:val="zh-CN" w:eastAsia="zh-CN"/>
        </w:rPr>
        <w:t>。</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班次根据航班次确定。</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质量指标：市区至机场大巴运行安全有序</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经济成本指标：财政补助成本50万元。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50万元。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年内对机场大巴进行补贴，保证</w:t>
      </w:r>
      <w:r>
        <w:rPr>
          <w:rFonts w:hint="eastAsia" w:ascii="仿宋" w:hAnsi="仿宋" w:eastAsia="仿宋" w:cs="仿宋"/>
          <w:sz w:val="32"/>
          <w:szCs w:val="32"/>
          <w:lang w:val="en-US" w:eastAsia="zh-CN"/>
        </w:rPr>
        <w:t>市区至机场大巴运行安全有序，财政补助成本50万元及时到位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方便市民群众出行，为市民乘机提供方便，服务对象满意度≥</w:t>
      </w:r>
      <w:r>
        <w:rPr>
          <w:rFonts w:hint="eastAsia" w:ascii="仿宋" w:hAnsi="仿宋" w:eastAsia="仿宋" w:cs="仿宋"/>
          <w:sz w:val="32"/>
          <w:szCs w:val="32"/>
          <w:lang w:val="en-US" w:eastAsia="zh-CN"/>
        </w:rPr>
        <w:t>95%，达到绩效目标。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3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交通建设抓项目促投资稳增长奖补资金</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autoSpaceDE w:val="0"/>
        <w:autoSpaceDN w:val="0"/>
        <w:adjustRightInd w:val="0"/>
        <w:spacing w:line="56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项目主管单位：攀枝花市交通建设工程服务中心</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kern w:val="0"/>
          <w:sz w:val="32"/>
          <w:szCs w:val="32"/>
        </w:rPr>
        <w:t>职能：</w:t>
      </w:r>
      <w:r>
        <w:rPr>
          <w:rFonts w:hint="eastAsia" w:ascii="仿宋" w:hAnsi="仿宋" w:eastAsia="仿宋" w:cs="仿宋"/>
          <w:sz w:val="32"/>
          <w:szCs w:val="32"/>
        </w:rPr>
        <w:t>具体负责全市在建公路工程原材料、工程实体质量重点抽检工作</w:t>
      </w:r>
      <w:r>
        <w:rPr>
          <w:rFonts w:hint="eastAsia" w:ascii="仿宋" w:hAnsi="仿宋" w:eastAsia="仿宋" w:cs="仿宋"/>
          <w:kern w:val="0"/>
          <w:sz w:val="32"/>
          <w:szCs w:val="32"/>
        </w:rPr>
        <w:t>。</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 项目立项、资金申报的依据。</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四川省交通运输厅《关于推进四川省公路水运建设项目工程质量重点抽验的通知》（川交函﹝2014﹞357号）；</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四川省交通运输厅《关于进一步加强我省公路水运建设工程质量监管工作的通知》（川交函〔2014〕270号）。</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3．资金管理办法制定情况，资金支持具体项目的条件、范围与支持方式概况。</w:t>
      </w:r>
    </w:p>
    <w:p>
      <w:pPr>
        <w:autoSpaceDE w:val="0"/>
        <w:autoSpaceDN w:val="0"/>
        <w:adjustRightInd w:val="0"/>
        <w:spacing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(1)资金管理</w:t>
      </w:r>
      <w:r>
        <w:rPr>
          <w:rFonts w:hint="eastAsia" w:ascii="仿宋" w:hAnsi="仿宋" w:eastAsia="仿宋" w:cs="仿宋"/>
          <w:kern w:val="0"/>
          <w:sz w:val="32"/>
          <w:szCs w:val="32"/>
        </w:rPr>
        <w:t>办法</w:t>
      </w:r>
      <w:r>
        <w:rPr>
          <w:rFonts w:hint="eastAsia" w:ascii="仿宋" w:hAnsi="仿宋" w:eastAsia="仿宋" w:cs="仿宋"/>
          <w:color w:val="000000"/>
          <w:sz w:val="32"/>
          <w:szCs w:val="32"/>
          <w:shd w:val="clear" w:color="auto" w:fill="FFFFFF"/>
        </w:rPr>
        <w:t>：该项目资金纳入财政预算管理。</w:t>
      </w:r>
    </w:p>
    <w:p>
      <w:pPr>
        <w:snapToGri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(2)资金支持具体项目的条件、范围：该专项资金主要为支付委托第三方进行</w:t>
      </w:r>
      <w:r>
        <w:rPr>
          <w:rFonts w:hint="eastAsia" w:ascii="仿宋" w:hAnsi="仿宋" w:eastAsia="仿宋" w:cs="仿宋"/>
          <w:sz w:val="32"/>
          <w:szCs w:val="32"/>
        </w:rPr>
        <w:t>质量</w:t>
      </w:r>
      <w:r>
        <w:rPr>
          <w:rFonts w:hint="eastAsia" w:ascii="仿宋" w:hAnsi="仿宋" w:eastAsia="仿宋" w:cs="仿宋"/>
          <w:color w:val="000000"/>
          <w:sz w:val="32"/>
          <w:szCs w:val="32"/>
          <w:shd w:val="clear" w:color="auto" w:fill="FFFFFF"/>
        </w:rPr>
        <w:t>抽检的委托费用。</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sz w:val="32"/>
          <w:szCs w:val="32"/>
          <w:shd w:val="clear" w:color="auto" w:fill="FFFFFF"/>
        </w:rPr>
        <w:t>(3)资金</w:t>
      </w:r>
      <w:r>
        <w:rPr>
          <w:rFonts w:hint="eastAsia" w:ascii="仿宋" w:hAnsi="仿宋" w:eastAsia="仿宋" w:cs="仿宋"/>
          <w:kern w:val="0"/>
          <w:sz w:val="32"/>
          <w:szCs w:val="32"/>
        </w:rPr>
        <w:t>支持</w:t>
      </w:r>
      <w:r>
        <w:rPr>
          <w:rFonts w:hint="eastAsia" w:ascii="仿宋" w:hAnsi="仿宋" w:eastAsia="仿宋" w:cs="仿宋"/>
          <w:color w:val="000000"/>
          <w:sz w:val="32"/>
          <w:szCs w:val="32"/>
          <w:shd w:val="clear" w:color="auto" w:fill="FFFFFF"/>
        </w:rPr>
        <w:t>方式：根据抽检进度，通过授权支付方式。</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4. 资金分配的原则及考虑因素。</w:t>
      </w:r>
    </w:p>
    <w:p>
      <w:pPr>
        <w:autoSpaceDE w:val="0"/>
        <w:autoSpaceDN w:val="0"/>
        <w:adjustRightInd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资金分配的原则：抽检的工作量。</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kern w:val="0"/>
          <w:sz w:val="32"/>
          <w:szCs w:val="32"/>
        </w:rPr>
        <w:t>考虑因素：抽检发生的差旅等相关费用。</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napToGrid w:val="0"/>
          <w:color w:val="000000"/>
          <w:sz w:val="32"/>
          <w:szCs w:val="32"/>
        </w:rPr>
        <w:t>将工程质量检测作为质量监督的重要手段，以检测数据作为质量控制的依据，加强工程实体和原材料质量检测，加强工程质量的事前、事中及事后的监督。对高速公路、地方重点工程、养护大中修、涉路改建、抢险应急工程进行抽检。</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 项目应实现的具体绩效目标，包括目标的量化、细化情况以及项目实施进度计划等。</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总目标为为进一步加强我市交通建设工程质量管理，切实提升交通建设工程质量管控水平，确保工程项目耐久性，促进我市交通运输行业提质增效。</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sz w:val="32"/>
          <w:szCs w:val="32"/>
        </w:rPr>
        <w:t>具体绩效还有以下方面：一是有健全的财务管理、收支管理等制度。二是有“质量检测费用”使用计划和实施方案，并对资金使用进行监管、评估。三是对项目资金进行财务监管并有效执行，项目会计核算真实、准确和规范，各类会计核算资料提供及时，项目及时进行决算与审计。</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3. 分析评价申报内容是否与实际相符，申报目标是否合理可行。</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sz w:val="32"/>
          <w:szCs w:val="32"/>
          <w:shd w:val="clear" w:color="auto" w:fill="FFFFFF"/>
        </w:rPr>
        <w:t>申报内容根据我中心主要工作职责和实际情况制定，参考以前年度实际执行情况，申报目标合理可行。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对项目</w:t>
      </w:r>
      <w:r>
        <w:rPr>
          <w:rFonts w:hint="eastAsia" w:ascii="仿宋" w:hAnsi="仿宋" w:eastAsia="仿宋" w:cs="仿宋"/>
          <w:sz w:val="32"/>
          <w:szCs w:val="32"/>
          <w:lang w:val="zh-CN"/>
        </w:rPr>
        <w:t>指标对标，将实际成果与立项目标、行业基准进行对比，识别偏差（如进度滞后、成本超支）。</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 xml:space="preserve">采用以下方法：  </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lang w:val="zh-CN"/>
        </w:rPr>
        <w:t xml:space="preserve">定量分析：计算目标达成率、投入产出比等。 </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定性分析：通过</w:t>
      </w:r>
      <w:r>
        <w:rPr>
          <w:rFonts w:hint="eastAsia" w:ascii="仿宋" w:hAnsi="仿宋" w:eastAsia="仿宋" w:cs="仿宋"/>
          <w:sz w:val="32"/>
          <w:szCs w:val="32"/>
          <w:lang w:val="en-US" w:eastAsia="zh-CN"/>
        </w:rPr>
        <w:t>理论联系实际</w:t>
      </w:r>
      <w:r>
        <w:rPr>
          <w:rFonts w:hint="eastAsia" w:ascii="仿宋" w:hAnsi="仿宋" w:eastAsia="仿宋" w:cs="仿宋"/>
          <w:sz w:val="32"/>
          <w:szCs w:val="32"/>
          <w:lang w:val="zh-CN"/>
        </w:rPr>
        <w:t xml:space="preserve">分析、专家评分法评估项目综合成效，按评分规则（如优秀/良好/合格/不合格）对绩效进行等级划分，并附具体依据。  </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案例对比：参考同类项目经验，评估创新性与可持续性。</w:t>
      </w:r>
    </w:p>
    <w:p>
      <w:pPr>
        <w:adjustRightInd w:val="0"/>
        <w:snapToGrid w:val="0"/>
        <w:spacing w:line="600" w:lineRule="exact"/>
        <w:ind w:firstLine="1040" w:firstLineChars="325"/>
        <w:rPr>
          <w:rFonts w:hint="eastAsia" w:ascii="仿宋" w:hAnsi="仿宋" w:eastAsia="仿宋" w:cs="仿宋"/>
          <w:sz w:val="32"/>
          <w:szCs w:val="32"/>
          <w:lang w:val="zh-CN"/>
        </w:rPr>
      </w:pPr>
      <w:r>
        <w:rPr>
          <w:rFonts w:hint="eastAsia" w:ascii="仿宋" w:hAnsi="仿宋" w:eastAsia="仿宋" w:cs="仿宋"/>
          <w:sz w:val="32"/>
          <w:szCs w:val="32"/>
          <w:lang w:val="zh-CN"/>
        </w:rPr>
        <w:t>4.、形成自评报告。</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utoSpaceDE w:val="0"/>
        <w:autoSpaceDN w:val="0"/>
        <w:adjustRightInd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共申报资金18.95万元，批复资金18.95万元，中途无调整情况。</w:t>
      </w:r>
    </w:p>
    <w:p>
      <w:pPr>
        <w:numPr>
          <w:ilvl w:val="0"/>
          <w:numId w:val="15"/>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资金计划、到位及使用情况（可用表格形式反映）。</w:t>
      </w:r>
    </w:p>
    <w:tbl>
      <w:tblPr>
        <w:tblStyle w:val="18"/>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683"/>
        <w:gridCol w:w="683"/>
        <w:gridCol w:w="574"/>
        <w:gridCol w:w="792"/>
        <w:gridCol w:w="736"/>
        <w:gridCol w:w="547"/>
        <w:gridCol w:w="766"/>
        <w:gridCol w:w="834"/>
        <w:gridCol w:w="532"/>
        <w:gridCol w:w="683"/>
        <w:gridCol w:w="698"/>
        <w:gridCol w:w="67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月份</w:t>
            </w:r>
          </w:p>
        </w:tc>
        <w:tc>
          <w:tcPr>
            <w:tcW w:w="683"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1月</w:t>
            </w:r>
          </w:p>
        </w:tc>
        <w:tc>
          <w:tcPr>
            <w:tcW w:w="683"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2月</w:t>
            </w:r>
          </w:p>
        </w:tc>
        <w:tc>
          <w:tcPr>
            <w:tcW w:w="574"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3月</w:t>
            </w:r>
          </w:p>
        </w:tc>
        <w:tc>
          <w:tcPr>
            <w:tcW w:w="792"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4月</w:t>
            </w:r>
          </w:p>
        </w:tc>
        <w:tc>
          <w:tcPr>
            <w:tcW w:w="736"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5月</w:t>
            </w:r>
          </w:p>
        </w:tc>
        <w:tc>
          <w:tcPr>
            <w:tcW w:w="547"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6月</w:t>
            </w:r>
          </w:p>
        </w:tc>
        <w:tc>
          <w:tcPr>
            <w:tcW w:w="766"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7月</w:t>
            </w:r>
          </w:p>
        </w:tc>
        <w:tc>
          <w:tcPr>
            <w:tcW w:w="834"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8月</w:t>
            </w:r>
          </w:p>
        </w:tc>
        <w:tc>
          <w:tcPr>
            <w:tcW w:w="532"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9月</w:t>
            </w:r>
          </w:p>
        </w:tc>
        <w:tc>
          <w:tcPr>
            <w:tcW w:w="683"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10月</w:t>
            </w:r>
          </w:p>
        </w:tc>
        <w:tc>
          <w:tcPr>
            <w:tcW w:w="698"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11月</w:t>
            </w:r>
          </w:p>
        </w:tc>
        <w:tc>
          <w:tcPr>
            <w:tcW w:w="670"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12月</w:t>
            </w:r>
          </w:p>
        </w:tc>
        <w:tc>
          <w:tcPr>
            <w:tcW w:w="755"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计划</w:t>
            </w: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74"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92" w:type="dxa"/>
          </w:tcPr>
          <w:p>
            <w:pPr>
              <w:autoSpaceDE w:val="0"/>
              <w:autoSpaceDN w:val="0"/>
              <w:adjustRightInd w:val="0"/>
              <w:spacing w:line="56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18.95</w:t>
            </w:r>
          </w:p>
        </w:tc>
        <w:tc>
          <w:tcPr>
            <w:tcW w:w="736"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47"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66"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834"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32"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98"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70"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55" w:type="dxa"/>
          </w:tcPr>
          <w:p>
            <w:pPr>
              <w:autoSpaceDE w:val="0"/>
              <w:autoSpaceDN w:val="0"/>
              <w:adjustRightInd w:val="0"/>
              <w:spacing w:line="56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到位</w:t>
            </w: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74"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92" w:type="dxa"/>
          </w:tcPr>
          <w:p>
            <w:pPr>
              <w:autoSpaceDE w:val="0"/>
              <w:autoSpaceDN w:val="0"/>
              <w:adjustRightInd w:val="0"/>
              <w:spacing w:line="56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18.95</w:t>
            </w:r>
          </w:p>
        </w:tc>
        <w:tc>
          <w:tcPr>
            <w:tcW w:w="736"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47"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66"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834"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32"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98"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70"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55" w:type="dxa"/>
          </w:tcPr>
          <w:p>
            <w:pPr>
              <w:autoSpaceDE w:val="0"/>
              <w:autoSpaceDN w:val="0"/>
              <w:adjustRightInd w:val="0"/>
              <w:spacing w:line="56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tcPr>
          <w:p>
            <w:pPr>
              <w:autoSpaceDE w:val="0"/>
              <w:autoSpaceDN w:val="0"/>
              <w:adjustRightIn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支付</w:t>
            </w: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74"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92"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36"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547"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66" w:type="dxa"/>
          </w:tcPr>
          <w:p>
            <w:pPr>
              <w:autoSpaceDE w:val="0"/>
              <w:autoSpaceDN w:val="0"/>
              <w:adjustRightInd w:val="0"/>
              <w:spacing w:line="56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4</w:t>
            </w:r>
          </w:p>
        </w:tc>
        <w:tc>
          <w:tcPr>
            <w:tcW w:w="834" w:type="dxa"/>
          </w:tcPr>
          <w:p>
            <w:pPr>
              <w:autoSpaceDE w:val="0"/>
              <w:autoSpaceDN w:val="0"/>
              <w:adjustRightInd w:val="0"/>
              <w:spacing w:line="56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14.95</w:t>
            </w:r>
          </w:p>
        </w:tc>
        <w:tc>
          <w:tcPr>
            <w:tcW w:w="532"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83"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98"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670" w:type="dxa"/>
          </w:tcPr>
          <w:p>
            <w:pPr>
              <w:autoSpaceDE w:val="0"/>
              <w:autoSpaceDN w:val="0"/>
              <w:adjustRightInd w:val="0"/>
              <w:spacing w:line="560" w:lineRule="exact"/>
              <w:jc w:val="right"/>
              <w:rPr>
                <w:rFonts w:hint="eastAsia" w:ascii="仿宋" w:hAnsi="仿宋" w:eastAsia="仿宋" w:cs="仿宋"/>
                <w:kern w:val="0"/>
                <w:sz w:val="32"/>
                <w:szCs w:val="32"/>
              </w:rPr>
            </w:pPr>
          </w:p>
        </w:tc>
        <w:tc>
          <w:tcPr>
            <w:tcW w:w="755" w:type="dxa"/>
          </w:tcPr>
          <w:p>
            <w:pPr>
              <w:autoSpaceDE w:val="0"/>
              <w:autoSpaceDN w:val="0"/>
              <w:adjustRightInd w:val="0"/>
              <w:spacing w:line="56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18.95</w:t>
            </w:r>
          </w:p>
        </w:tc>
      </w:tr>
    </w:tbl>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项目经费严格按照财务管理制度进行管理，保证专款专用，不存在截留、滞留、挤占、挪用、套取、虚报、冒领的问题，资金支付由质量检测人员、财务人员按照财务制度进行资金的审核、支付和核算，所有支出均以转账方式进行，在具体支付时，具备了合同、正式发票等相关材料，手续是完善的，不存在虚假会计凭证的情况，会计严格执行财务管理制度，财务处理及时，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pStyle w:val="31"/>
        <w:numPr>
          <w:ilvl w:val="0"/>
          <w:numId w:val="16"/>
        </w:numPr>
        <w:adjustRightInd w:val="0"/>
        <w:snapToGrid w:val="0"/>
        <w:spacing w:line="600" w:lineRule="exact"/>
        <w:ind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项目组织架构及实施流程。</w:t>
      </w:r>
    </w:p>
    <w:p>
      <w:pPr>
        <w:autoSpaceDE w:val="0"/>
        <w:autoSpaceDN w:val="0"/>
        <w:adjustRightInd w:val="0"/>
        <w:spacing w:line="560" w:lineRule="exact"/>
        <w:ind w:left="72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1.初步制定抽检计划； </w:t>
      </w:r>
    </w:p>
    <w:p>
      <w:pPr>
        <w:autoSpaceDE w:val="0"/>
        <w:autoSpaceDN w:val="0"/>
        <w:adjustRightInd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2.根据抽检计划委托第三方进行质量抽检；</w:t>
      </w:r>
    </w:p>
    <w:p>
      <w:p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kern w:val="0"/>
          <w:sz w:val="32"/>
          <w:szCs w:val="32"/>
        </w:rPr>
        <w:t>3.根据抽检结果和合同申报计划，支付抽检费用</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项目以加强我市交通建设项目工程质量安全监管，确保工程质量与安全为目标，</w:t>
      </w:r>
      <w:r>
        <w:rPr>
          <w:rFonts w:hint="eastAsia" w:ascii="仿宋" w:hAnsi="仿宋" w:eastAsia="仿宋" w:cs="仿宋"/>
          <w:color w:val="000000"/>
          <w:sz w:val="32"/>
          <w:szCs w:val="32"/>
        </w:rPr>
        <w:t>项目决策依据较充分、绩效目标较明确，项目资金分配合理，使用范围合规，组织实施较规范。</w:t>
      </w:r>
    </w:p>
    <w:p>
      <w:pPr>
        <w:adjustRightInd w:val="0"/>
        <w:snapToGrid w:val="0"/>
        <w:spacing w:line="600" w:lineRule="exact"/>
        <w:ind w:left="720"/>
        <w:rPr>
          <w:rFonts w:hint="eastAsia" w:ascii="仿宋" w:hAnsi="仿宋" w:eastAsia="仿宋" w:cs="仿宋"/>
          <w:b/>
          <w:sz w:val="32"/>
          <w:szCs w:val="32"/>
          <w:lang w:val="zh-CN"/>
        </w:rPr>
      </w:pPr>
      <w:r>
        <w:rPr>
          <w:rFonts w:hint="eastAsia" w:ascii="仿宋" w:hAnsi="仿宋" w:eastAsia="仿宋" w:cs="仿宋"/>
          <w:b/>
          <w:sz w:val="32"/>
          <w:szCs w:val="32"/>
          <w:lang w:val="zh-CN"/>
        </w:rPr>
        <w:t>（三）项目监管情况。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sz w:val="32"/>
          <w:szCs w:val="32"/>
          <w:shd w:val="clear" w:color="auto" w:fill="FFFFFF"/>
        </w:rPr>
        <w:t>质量检测</w:t>
      </w:r>
      <w:r>
        <w:rPr>
          <w:rFonts w:hint="eastAsia" w:ascii="仿宋" w:hAnsi="仿宋" w:eastAsia="仿宋" w:cs="仿宋"/>
          <w:color w:val="000000"/>
          <w:sz w:val="32"/>
          <w:szCs w:val="32"/>
        </w:rPr>
        <w:t>经费</w:t>
      </w:r>
      <w:r>
        <w:rPr>
          <w:rFonts w:hint="eastAsia" w:ascii="仿宋" w:hAnsi="仿宋" w:eastAsia="仿宋" w:cs="仿宋"/>
          <w:color w:val="000000"/>
          <w:sz w:val="32"/>
          <w:szCs w:val="32"/>
          <w:shd w:val="clear" w:color="auto" w:fill="FFFFFF"/>
        </w:rPr>
        <w:t>，接受财政监督局适时监督检查和审计等相关部门的监督，由于本单位严格执行财政资金管理制度，主管部门严格按照监管程序加强管理、监管，监管效果好。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napToGrid w:val="0"/>
          <w:sz w:val="32"/>
          <w:szCs w:val="32"/>
        </w:rPr>
        <w:t>全年累计完成我市国省干线、重点农村公路、施工原材料等抽检共3次，达到了设定的目标，全年预算18.95万元，实际支付18.95万元，执行率100%。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sz w:val="32"/>
          <w:szCs w:val="32"/>
        </w:rPr>
        <w:t>该项目的实施，进一步推进了我市公路水运建设项目工程质量安全监督工作，确保了交通建设工程结构安全和质量控制。质量抽检工作进一步加强了全市公路工程质量安全的过程监督，确保交通建设工程结构安全与质量控制，去年我市在建交通建设项目未发生一起质量事故。</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640" w:firstLineChars="200"/>
        <w:rPr>
          <w:rFonts w:hint="eastAsia" w:ascii="仿宋" w:hAnsi="仿宋" w:eastAsia="仿宋" w:cs="仿宋"/>
          <w:sz w:val="32"/>
          <w:szCs w:val="32"/>
          <w:bdr w:val="single" w:color="auto" w:sz="4" w:space="0"/>
          <w:lang w:val="zh-CN"/>
        </w:rPr>
      </w:pPr>
      <w:r>
        <w:rPr>
          <w:rFonts w:hint="eastAsia" w:ascii="仿宋" w:hAnsi="仿宋" w:eastAsia="仿宋" w:cs="仿宋"/>
          <w:color w:val="000000"/>
          <w:sz w:val="32"/>
          <w:szCs w:val="32"/>
        </w:rPr>
        <w:t>该项目绩效目标较明确、决策依据较充分、资金使用合理合规，组织实施较规范</w:t>
      </w:r>
      <w:r>
        <w:rPr>
          <w:rFonts w:hint="eastAsia" w:ascii="仿宋" w:hAnsi="仿宋" w:eastAsia="仿宋" w:cs="仿宋"/>
          <w:snapToGrid w:val="0"/>
          <w:color w:val="000000"/>
          <w:sz w:val="32"/>
          <w:szCs w:val="32"/>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我中心2024年工作计划中只对抽查项目做了督查工作粗略安排，对年度计划工作安排不够明细。未明确抽检项目重点合同段、重点工程部位、重点检测指标等抽检内容。</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adjustRightInd w:val="0"/>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建议主管部门制定实施方案，进一步细化目标。质监机构应制定年度重点抽检总体方案，在交通建设项目工程量的基础上，对逐次抽检工作进行计划安排，确定抽检时间、建设项目范围、工程部位、质量指标和检测方法等。</w:t>
      </w:r>
    </w:p>
    <w:p>
      <w:pPr>
        <w:pStyle w:val="2"/>
        <w:rPr>
          <w:rFonts w:hint="eastAsia"/>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38"/>
        <w:spacing w:line="600" w:lineRule="exact"/>
        <w:ind w:firstLine="640"/>
        <w:jc w:val="center"/>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（交通运行监测及数据分析费）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color w:val="000000"/>
          <w:sz w:val="32"/>
          <w:szCs w:val="32"/>
        </w:rPr>
        <w:t>抓实抓细交通建设项目监督管理，加强源头管控，压实安全生产责任，强化项目施工现场生态环境保护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常态化开展公路管养，强化考核评价，注重公路养护质量，促进全市普通公路建管养运协调发展</w:t>
      </w:r>
      <w:r>
        <w:rPr>
          <w:rFonts w:hint="eastAsia" w:ascii="仿宋" w:hAnsi="仿宋" w:eastAsia="仿宋" w:cs="仿宋"/>
          <w:color w:val="000000"/>
          <w:sz w:val="32"/>
          <w:szCs w:val="32"/>
          <w:lang w:eastAsia="zh-CN"/>
        </w:rPr>
        <w:t>。</w:t>
      </w:r>
    </w:p>
    <w:p>
      <w:pPr>
        <w:numPr>
          <w:ilvl w:val="0"/>
          <w:numId w:val="9"/>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lang w:val="zh-CN"/>
        </w:rPr>
        <w:t>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根据预算年度工作目标和工作计划提出真实、详细的下年度预算申请。</w:t>
      </w: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对</w:t>
      </w:r>
      <w:r>
        <w:rPr>
          <w:rFonts w:hint="eastAsia" w:ascii="仿宋" w:hAnsi="仿宋" w:eastAsia="仿宋" w:cs="仿宋"/>
          <w:color w:val="auto"/>
          <w:sz w:val="32"/>
          <w:szCs w:val="32"/>
          <w:highlight w:val="none"/>
          <w:shd w:val="clear" w:color="auto" w:fill="FFFFFF"/>
        </w:rPr>
        <w:t>各科</w:t>
      </w:r>
      <w:r>
        <w:rPr>
          <w:rFonts w:hint="eastAsia" w:ascii="仿宋" w:hAnsi="仿宋" w:eastAsia="仿宋" w:cs="仿宋"/>
          <w:color w:val="auto"/>
          <w:sz w:val="32"/>
          <w:szCs w:val="32"/>
          <w:highlight w:val="none"/>
          <w:shd w:val="clear" w:color="auto" w:fill="FFFFFF"/>
          <w:lang w:val="zh-CN"/>
        </w:rPr>
        <w:t>室的下年度预算申请进行初审与协调，对各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申请的专项经费逐项进行比对与论证，结合</w:t>
      </w:r>
      <w:r>
        <w:rPr>
          <w:rFonts w:hint="eastAsia" w:ascii="仿宋" w:hAnsi="仿宋" w:eastAsia="仿宋" w:cs="仿宋"/>
          <w:color w:val="auto"/>
          <w:sz w:val="32"/>
          <w:szCs w:val="32"/>
          <w:highlight w:val="none"/>
          <w:shd w:val="clear" w:color="auto" w:fill="FFFFFF"/>
        </w:rPr>
        <w:t>财力及</w:t>
      </w:r>
      <w:r>
        <w:rPr>
          <w:rFonts w:hint="eastAsia" w:ascii="仿宋" w:hAnsi="仿宋" w:eastAsia="仿宋" w:cs="仿宋"/>
          <w:color w:val="auto"/>
          <w:sz w:val="32"/>
          <w:szCs w:val="32"/>
          <w:highlight w:val="none"/>
          <w:shd w:val="clear" w:color="auto" w:fill="FFFFFF"/>
          <w:lang w:val="zh-CN"/>
        </w:rPr>
        <w:t>本局</w:t>
      </w:r>
      <w:r>
        <w:rPr>
          <w:rFonts w:hint="eastAsia" w:ascii="仿宋" w:hAnsi="仿宋" w:eastAsia="仿宋" w:cs="仿宋"/>
          <w:color w:val="auto"/>
          <w:sz w:val="32"/>
          <w:szCs w:val="32"/>
          <w:highlight w:val="none"/>
          <w:shd w:val="clear" w:color="auto" w:fill="FFFFFF"/>
        </w:rPr>
        <w:t>实际</w:t>
      </w:r>
      <w:r>
        <w:rPr>
          <w:rFonts w:hint="eastAsia" w:ascii="仿宋" w:hAnsi="仿宋" w:eastAsia="仿宋" w:cs="仿宋"/>
          <w:color w:val="auto"/>
          <w:sz w:val="32"/>
          <w:szCs w:val="32"/>
          <w:highlight w:val="none"/>
          <w:shd w:val="clear" w:color="auto" w:fill="FFFFFF"/>
          <w:lang w:val="zh-CN"/>
        </w:rPr>
        <w:t>，根据项目的轻重缓急，提出支出项目预算建议数。</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rPr>
        <w:t>严格按照预算要求及《攀枝花市级财政交通专项资金管理办法》管理和使用资金，确保资金专款专用</w:t>
      </w:r>
      <w:r>
        <w:rPr>
          <w:rFonts w:hint="eastAsia" w:ascii="仿宋" w:hAnsi="仿宋" w:eastAsia="仿宋" w:cs="仿宋"/>
          <w:color w:val="auto"/>
          <w:sz w:val="32"/>
          <w:szCs w:val="32"/>
          <w:highlight w:val="none"/>
          <w:shd w:val="clear" w:color="auto" w:fill="FFFFFF"/>
          <w:lang w:eastAsia="zh-CN"/>
        </w:rPr>
        <w:t>。</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根据</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财政下达的预算控制数和局预算年度的收支预测，在收支平衡的基础上，编制</w:t>
      </w:r>
      <w:r>
        <w:rPr>
          <w:rFonts w:hint="eastAsia" w:ascii="仿宋" w:hAnsi="仿宋" w:eastAsia="仿宋" w:cs="仿宋"/>
          <w:color w:val="auto"/>
          <w:sz w:val="32"/>
          <w:szCs w:val="32"/>
          <w:highlight w:val="none"/>
          <w:shd w:val="clear" w:color="auto" w:fill="FFFFFF"/>
        </w:rPr>
        <w:t>单位</w:t>
      </w:r>
      <w:r>
        <w:rPr>
          <w:rFonts w:hint="eastAsia" w:ascii="仿宋" w:hAnsi="仿宋" w:eastAsia="仿宋" w:cs="仿宋"/>
          <w:color w:val="auto"/>
          <w:sz w:val="32"/>
          <w:szCs w:val="32"/>
          <w:highlight w:val="none"/>
          <w:shd w:val="clear" w:color="auto" w:fill="FFFFFF"/>
          <w:lang w:val="zh-CN"/>
        </w:rPr>
        <w:t>下一年度预算草案，形成预算建议数，经</w:t>
      </w:r>
      <w:r>
        <w:rPr>
          <w:rFonts w:hint="eastAsia" w:ascii="仿宋" w:hAnsi="仿宋" w:eastAsia="仿宋" w:cs="仿宋"/>
          <w:color w:val="auto"/>
          <w:sz w:val="32"/>
          <w:szCs w:val="32"/>
          <w:highlight w:val="none"/>
          <w:shd w:val="clear" w:color="auto" w:fill="FFFFFF"/>
        </w:rPr>
        <w:t>集体</w:t>
      </w:r>
      <w:r>
        <w:rPr>
          <w:rFonts w:hint="eastAsia" w:ascii="仿宋" w:hAnsi="仿宋" w:eastAsia="仿宋" w:cs="仿宋"/>
          <w:color w:val="auto"/>
          <w:sz w:val="32"/>
          <w:szCs w:val="32"/>
          <w:highlight w:val="none"/>
          <w:shd w:val="clear" w:color="auto" w:fill="FFFFFF"/>
          <w:lang w:val="zh-CN"/>
        </w:rPr>
        <w:t>讨论后上报</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财政局。</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加强我市交通行业监督管理，提升科技兴安水平，通过监测手段，有效的减少一般事故，坚决防范遏制重特大事故发生，确保攀枝花市交通运输行业安全。</w:t>
      </w:r>
    </w:p>
    <w:p>
      <w:pPr>
        <w:numPr>
          <w:ilvl w:val="0"/>
          <w:numId w:val="8"/>
        </w:numPr>
        <w:adjustRightInd w:val="0"/>
        <w:snapToGrid w:val="0"/>
        <w:spacing w:line="600" w:lineRule="exact"/>
        <w:ind w:firstLine="7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项目应实现的具体绩效目标，包括目标的量化、细化情况以及项目实施进度计划等。</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数量指标：共计一个项目，完成率</w:t>
      </w:r>
      <w:r>
        <w:rPr>
          <w:rFonts w:hint="eastAsia" w:ascii="仿宋" w:hAnsi="仿宋" w:eastAsia="仿宋" w:cs="仿宋"/>
          <w:sz w:val="32"/>
          <w:szCs w:val="32"/>
          <w:lang w:val="en-US" w:eastAsia="zh-CN"/>
        </w:rPr>
        <w:t>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质量指标：建设项目完成验收，工程质量合格率达到100%。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时效指标：工期按工完成，资金完成拨付。</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成本指标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安排市级一般预算资金8.4464万元。</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效益指标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社会效益指标：促进我市交通运输高质量发展。</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满意度指标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服务对象满意度指标：社会对象满意度</w:t>
      </w:r>
      <w:r>
        <w:rPr>
          <w:rFonts w:hint="eastAsia" w:ascii="仿宋" w:hAnsi="仿宋" w:eastAsia="仿宋" w:cs="仿宋"/>
          <w:sz w:val="32"/>
          <w:szCs w:val="32"/>
          <w:lang w:val="en-US" w:eastAsia="zh-CN"/>
        </w:rPr>
        <w:t>85%以上。</w:t>
      </w:r>
    </w:p>
    <w:p>
      <w:pPr>
        <w:numPr>
          <w:ilvl w:val="0"/>
          <w:numId w:val="10"/>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结合项目202</w:t>
      </w:r>
      <w:r>
        <w:rPr>
          <w:rFonts w:hint="eastAsia" w:ascii="仿宋" w:hAnsi="仿宋" w:eastAsia="仿宋" w:cs="仿宋"/>
          <w:sz w:val="32"/>
          <w:szCs w:val="32"/>
          <w:lang w:val="en-US" w:eastAsia="zh-CN"/>
        </w:rPr>
        <w:t>4</w:t>
      </w:r>
      <w:r>
        <w:rPr>
          <w:rFonts w:hint="eastAsia" w:ascii="仿宋" w:hAnsi="仿宋" w:eastAsia="仿宋" w:cs="仿宋"/>
          <w:sz w:val="32"/>
          <w:szCs w:val="32"/>
        </w:rPr>
        <w:t>年实际需求、相关费用标准及市场价格水平，重点对数量是否合理、投入是否经济、预算测算是否准确、测算过程是否详细、测算依据是否充分等方面进行了评估。评估认为，该项目任务数量基本合理、预算测算过程较为详细、测算依据基本充分、有一定的经济性。</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eastAsia="zh-CN"/>
        </w:rPr>
      </w:pPr>
      <w:r>
        <w:rPr>
          <w:rFonts w:hint="eastAsia" w:ascii="仿宋" w:hAnsi="仿宋" w:eastAsia="仿宋" w:cs="仿宋"/>
          <w:sz w:val="32"/>
          <w:szCs w:val="32"/>
        </w:rPr>
        <w:t>结合项目实际需求、</w:t>
      </w:r>
      <w:r>
        <w:rPr>
          <w:rFonts w:hint="eastAsia" w:ascii="仿宋" w:hAnsi="仿宋" w:eastAsia="仿宋" w:cs="仿宋"/>
          <w:sz w:val="32"/>
          <w:szCs w:val="32"/>
          <w:lang w:eastAsia="zh-CN"/>
        </w:rPr>
        <w:t>完工验收情况等开展自评。</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numPr>
          <w:ilvl w:val="0"/>
          <w:numId w:val="0"/>
        </w:numPr>
        <w:adjustRightInd w:val="0"/>
        <w:snapToGrid w:val="0"/>
        <w:spacing w:line="578"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项目设立按固定履行评估论证、申报程序。绩效目标设置于计划期内的任务量、预算安排的资金量基本匹配，绩效目标设置基本科学合理、规范完成。预算项目在规定时间内完成项目入库。</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zh-CN" w:eastAsia="zh-CN"/>
        </w:rPr>
      </w:pPr>
      <w:r>
        <w:rPr>
          <w:rFonts w:hint="eastAsia" w:ascii="仿宋" w:hAnsi="仿宋" w:eastAsia="仿宋" w:cs="仿宋"/>
          <w:sz w:val="32"/>
          <w:szCs w:val="32"/>
          <w:lang w:val="zh-CN"/>
        </w:rPr>
        <w:t>1．资金计划。</w:t>
      </w:r>
      <w:r>
        <w:rPr>
          <w:rFonts w:hint="eastAsia" w:ascii="仿宋" w:hAnsi="仿宋" w:eastAsia="仿宋" w:cs="仿宋"/>
          <w:color w:val="000000"/>
          <w:kern w:val="0"/>
          <w:sz w:val="32"/>
          <w:szCs w:val="32"/>
          <w:shd w:val="clear" w:color="auto" w:fill="FFFFFF"/>
          <w:lang w:val="zh-CN" w:eastAsia="zh-CN"/>
        </w:rPr>
        <w:t>该项目资金计划</w:t>
      </w:r>
      <w:r>
        <w:rPr>
          <w:rFonts w:hint="eastAsia" w:ascii="仿宋" w:hAnsi="仿宋" w:eastAsia="仿宋" w:cs="仿宋"/>
          <w:color w:val="000000"/>
          <w:kern w:val="0"/>
          <w:sz w:val="32"/>
          <w:szCs w:val="32"/>
          <w:shd w:val="clear" w:color="auto" w:fill="FFFFFF"/>
          <w:lang w:val="en-US" w:eastAsia="zh-CN"/>
        </w:rPr>
        <w:t>8.4464万元，</w:t>
      </w:r>
      <w:r>
        <w:rPr>
          <w:rFonts w:hint="eastAsia" w:ascii="仿宋" w:hAnsi="仿宋" w:eastAsia="仿宋" w:cs="仿宋"/>
          <w:color w:val="000000"/>
          <w:kern w:val="0"/>
          <w:sz w:val="32"/>
          <w:szCs w:val="32"/>
          <w:shd w:val="clear" w:color="auto" w:fill="FFFFFF"/>
          <w:lang w:val="zh-CN" w:eastAsia="zh-CN"/>
        </w:rPr>
        <w:t>属于市级一般公共预算资金。</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2．资金到位。</w:t>
      </w:r>
      <w:r>
        <w:rPr>
          <w:rFonts w:hint="eastAsia" w:ascii="仿宋" w:hAnsi="仿宋" w:eastAsia="仿宋" w:cs="仿宋"/>
          <w:color w:val="000000"/>
          <w:kern w:val="0"/>
          <w:sz w:val="32"/>
          <w:szCs w:val="32"/>
          <w:shd w:val="clear" w:color="auto" w:fill="FFFFFF"/>
          <w:lang w:val="zh-CN" w:eastAsia="zh-CN"/>
        </w:rPr>
        <w:t>该项目资金实际到位</w:t>
      </w:r>
      <w:r>
        <w:rPr>
          <w:rFonts w:hint="eastAsia" w:ascii="仿宋" w:hAnsi="仿宋" w:eastAsia="仿宋" w:cs="仿宋"/>
          <w:color w:val="000000"/>
          <w:kern w:val="0"/>
          <w:sz w:val="32"/>
          <w:szCs w:val="32"/>
          <w:shd w:val="clear" w:color="auto" w:fill="FFFFFF"/>
          <w:lang w:val="en-US" w:eastAsia="zh-CN"/>
        </w:rPr>
        <w:t>8.4464万元。</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zh-CN"/>
        </w:rPr>
        <w:t>3．资金使用。</w:t>
      </w:r>
      <w:r>
        <w:rPr>
          <w:rFonts w:hint="eastAsia" w:ascii="仿宋" w:hAnsi="仿宋" w:eastAsia="仿宋" w:cs="仿宋"/>
          <w:color w:val="000000"/>
          <w:kern w:val="0"/>
          <w:sz w:val="32"/>
          <w:szCs w:val="32"/>
          <w:shd w:val="clear" w:color="auto" w:fill="FFFFFF"/>
          <w:lang w:val="zh-CN" w:eastAsia="zh-CN"/>
        </w:rPr>
        <w:t>该项目资金实际支付</w:t>
      </w:r>
      <w:r>
        <w:rPr>
          <w:rFonts w:hint="eastAsia" w:ascii="仿宋" w:hAnsi="仿宋" w:eastAsia="仿宋" w:cs="仿宋"/>
          <w:color w:val="000000"/>
          <w:kern w:val="0"/>
          <w:sz w:val="32"/>
          <w:szCs w:val="32"/>
          <w:shd w:val="clear" w:color="auto" w:fill="FFFFFF"/>
          <w:lang w:val="en-US" w:eastAsia="zh-CN"/>
        </w:rPr>
        <w:t>8.4464万元，</w:t>
      </w:r>
      <w:r>
        <w:rPr>
          <w:rFonts w:hint="eastAsia" w:ascii="仿宋" w:hAnsi="仿宋" w:eastAsia="仿宋" w:cs="仿宋"/>
          <w:color w:val="000000"/>
          <w:kern w:val="0"/>
          <w:sz w:val="32"/>
          <w:szCs w:val="32"/>
          <w:shd w:val="clear" w:color="auto" w:fill="FFFFFF"/>
          <w:lang w:val="zh-CN" w:eastAsia="zh-CN"/>
        </w:rPr>
        <w:t>支付标准、支付进度、支付依据合规合法、与预算相符，</w:t>
      </w:r>
      <w:r>
        <w:rPr>
          <w:rFonts w:hint="eastAsia" w:ascii="仿宋" w:hAnsi="仿宋" w:eastAsia="仿宋" w:cs="仿宋"/>
          <w:color w:val="000000"/>
          <w:kern w:val="0"/>
          <w:sz w:val="32"/>
          <w:szCs w:val="32"/>
          <w:shd w:val="clear" w:color="auto" w:fill="FFFFFF"/>
          <w:lang w:val="en-US" w:eastAsia="zh-CN"/>
        </w:rPr>
        <w:t>完成率100%。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numPr>
          <w:ilvl w:val="0"/>
          <w:numId w:val="12"/>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项目组织架构及实施流程。</w:t>
      </w:r>
    </w:p>
    <w:p>
      <w:pPr>
        <w:numPr>
          <w:ilvl w:val="0"/>
          <w:numId w:val="0"/>
        </w:numPr>
        <w:adjustRightInd w:val="0"/>
        <w:snapToGrid w:val="0"/>
        <w:spacing w:line="600" w:lineRule="exact"/>
        <w:ind w:firstLine="640" w:firstLineChars="2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加强我市交通行业监督管理，提升科技兴安水平，通过监测手段，有效的减少一般事故，坚决防范遏制重特大事故发生，确保攀枝花市交通运输行业安全。</w:t>
      </w:r>
    </w:p>
    <w:p>
      <w:pPr>
        <w:numPr>
          <w:ilvl w:val="0"/>
          <w:numId w:val="0"/>
        </w:numPr>
        <w:adjustRightInd w:val="0"/>
        <w:snapToGri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（二）项目管理情况。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项目实施遵守相关法律法规；项目调整手续完备；项目合同、验收报告、技术鉴定等资料齐全并及时归档；项目实施的人员条件、场地设备、信息支撑等落实到位</w:t>
      </w:r>
    </w:p>
    <w:p>
      <w:pPr>
        <w:numPr>
          <w:ilvl w:val="0"/>
          <w:numId w:val="12"/>
        </w:numPr>
        <w:adjustRightInd w:val="0"/>
        <w:snapToGrid w:val="0"/>
        <w:spacing w:line="600" w:lineRule="exact"/>
        <w:ind w:left="0" w:leftChars="0" w:firstLine="720"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项目监管情况。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项目工期按时完成验收通过，资金完成拨付，</w:t>
      </w:r>
      <w:r>
        <w:rPr>
          <w:rFonts w:hint="eastAsia" w:ascii="仿宋" w:hAnsi="仿宋" w:eastAsia="仿宋" w:cs="仿宋"/>
          <w:sz w:val="32"/>
          <w:szCs w:val="32"/>
          <w:lang w:val="en-US" w:eastAsia="zh-CN"/>
        </w:rPr>
        <w:t>工程质量合格率达到100%。</w:t>
      </w:r>
      <w:r>
        <w:rPr>
          <w:rFonts w:hint="eastAsia" w:ascii="仿宋" w:hAnsi="仿宋" w:eastAsia="仿宋" w:cs="仿宋"/>
          <w:sz w:val="32"/>
          <w:szCs w:val="32"/>
          <w:lang w:val="zh-CN"/>
        </w:rPr>
        <w:t>无资金结余情况，无违规记录，对照项目计划完成目标。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极大提升公路安全水平，提升人民出行便捷性及人民满意度。</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w:t>
      </w: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交通部门作为行政管理机构，专业技术人员有限，机电运行能力不足，也难以保障本工程庞大系统的长期稳定运行。因此，建议工程实施过程中，积极引导社会第三方力量的积极参与，统筹解决工程建设和运行问题。</w:t>
      </w:r>
    </w:p>
    <w:p>
      <w:pPr>
        <w:pStyle w:val="2"/>
        <w:rPr>
          <w:rFonts w:hint="eastAsia"/>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38"/>
        <w:spacing w:line="600" w:lineRule="exact"/>
        <w:ind w:firstLine="640"/>
        <w:jc w:val="cente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（交通运输（公路灾害）监测与应急指挥系统运行维护费）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color w:val="000000"/>
          <w:sz w:val="32"/>
          <w:szCs w:val="32"/>
        </w:rPr>
        <w:t>抓实抓细交通建设项目监督管理，加强源头管控，压实安全生产责任，强化项目施工现场生态环境保护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常态化开展公路管养，强化考核评价，注重公路养护质量，促进全市普通公路建管养运协调发展</w:t>
      </w:r>
      <w:r>
        <w:rPr>
          <w:rFonts w:hint="eastAsia" w:ascii="仿宋" w:hAnsi="仿宋" w:eastAsia="仿宋" w:cs="仿宋"/>
          <w:color w:val="000000"/>
          <w:sz w:val="32"/>
          <w:szCs w:val="32"/>
          <w:lang w:eastAsia="zh-CN"/>
        </w:rPr>
        <w:t>。</w:t>
      </w:r>
    </w:p>
    <w:p>
      <w:pPr>
        <w:numPr>
          <w:ilvl w:val="0"/>
          <w:numId w:val="9"/>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lang w:val="zh-CN"/>
        </w:rPr>
        <w:t>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根据预算年度工作目标和工作计划提出真实、详细的下年度预算申请。</w:t>
      </w: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对</w:t>
      </w:r>
      <w:r>
        <w:rPr>
          <w:rFonts w:hint="eastAsia" w:ascii="仿宋" w:hAnsi="仿宋" w:eastAsia="仿宋" w:cs="仿宋"/>
          <w:color w:val="auto"/>
          <w:sz w:val="32"/>
          <w:szCs w:val="32"/>
          <w:highlight w:val="none"/>
          <w:shd w:val="clear" w:color="auto" w:fill="FFFFFF"/>
        </w:rPr>
        <w:t>各科</w:t>
      </w:r>
      <w:r>
        <w:rPr>
          <w:rFonts w:hint="eastAsia" w:ascii="仿宋" w:hAnsi="仿宋" w:eastAsia="仿宋" w:cs="仿宋"/>
          <w:color w:val="auto"/>
          <w:sz w:val="32"/>
          <w:szCs w:val="32"/>
          <w:highlight w:val="none"/>
          <w:shd w:val="clear" w:color="auto" w:fill="FFFFFF"/>
          <w:lang w:val="zh-CN"/>
        </w:rPr>
        <w:t>室的下年度预算申请进行初审与协调，对各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申请的专项经费逐项进行比对与论证，结合</w:t>
      </w:r>
      <w:r>
        <w:rPr>
          <w:rFonts w:hint="eastAsia" w:ascii="仿宋" w:hAnsi="仿宋" w:eastAsia="仿宋" w:cs="仿宋"/>
          <w:color w:val="auto"/>
          <w:sz w:val="32"/>
          <w:szCs w:val="32"/>
          <w:highlight w:val="none"/>
          <w:shd w:val="clear" w:color="auto" w:fill="FFFFFF"/>
        </w:rPr>
        <w:t>财力及</w:t>
      </w:r>
      <w:r>
        <w:rPr>
          <w:rFonts w:hint="eastAsia" w:ascii="仿宋" w:hAnsi="仿宋" w:eastAsia="仿宋" w:cs="仿宋"/>
          <w:color w:val="auto"/>
          <w:sz w:val="32"/>
          <w:szCs w:val="32"/>
          <w:highlight w:val="none"/>
          <w:shd w:val="clear" w:color="auto" w:fill="FFFFFF"/>
          <w:lang w:val="zh-CN"/>
        </w:rPr>
        <w:t>本局</w:t>
      </w:r>
      <w:r>
        <w:rPr>
          <w:rFonts w:hint="eastAsia" w:ascii="仿宋" w:hAnsi="仿宋" w:eastAsia="仿宋" w:cs="仿宋"/>
          <w:color w:val="auto"/>
          <w:sz w:val="32"/>
          <w:szCs w:val="32"/>
          <w:highlight w:val="none"/>
          <w:shd w:val="clear" w:color="auto" w:fill="FFFFFF"/>
        </w:rPr>
        <w:t>实际</w:t>
      </w:r>
      <w:r>
        <w:rPr>
          <w:rFonts w:hint="eastAsia" w:ascii="仿宋" w:hAnsi="仿宋" w:eastAsia="仿宋" w:cs="仿宋"/>
          <w:color w:val="auto"/>
          <w:sz w:val="32"/>
          <w:szCs w:val="32"/>
          <w:highlight w:val="none"/>
          <w:shd w:val="clear" w:color="auto" w:fill="FFFFFF"/>
          <w:lang w:val="zh-CN"/>
        </w:rPr>
        <w:t>，根据项目的轻重缓急，提出支出项目预算建议数。</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rPr>
        <w:t>严格按照预算要求及《攀枝花市级财政交通专项资金管理办法》管理和使用资金，确保资金专款专用</w:t>
      </w:r>
      <w:r>
        <w:rPr>
          <w:rFonts w:hint="eastAsia" w:ascii="仿宋" w:hAnsi="仿宋" w:eastAsia="仿宋" w:cs="仿宋"/>
          <w:color w:val="auto"/>
          <w:sz w:val="32"/>
          <w:szCs w:val="32"/>
          <w:highlight w:val="none"/>
          <w:shd w:val="clear" w:color="auto" w:fill="FFFFFF"/>
          <w:lang w:eastAsia="zh-CN"/>
        </w:rPr>
        <w:t>。</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根据</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财政下达的预算控制数和局预算年度的收支预测，在收支平衡的基础上，编制</w:t>
      </w:r>
      <w:r>
        <w:rPr>
          <w:rFonts w:hint="eastAsia" w:ascii="仿宋" w:hAnsi="仿宋" w:eastAsia="仿宋" w:cs="仿宋"/>
          <w:color w:val="auto"/>
          <w:sz w:val="32"/>
          <w:szCs w:val="32"/>
          <w:highlight w:val="none"/>
          <w:shd w:val="clear" w:color="auto" w:fill="FFFFFF"/>
        </w:rPr>
        <w:t>单位</w:t>
      </w:r>
      <w:r>
        <w:rPr>
          <w:rFonts w:hint="eastAsia" w:ascii="仿宋" w:hAnsi="仿宋" w:eastAsia="仿宋" w:cs="仿宋"/>
          <w:color w:val="auto"/>
          <w:sz w:val="32"/>
          <w:szCs w:val="32"/>
          <w:highlight w:val="none"/>
          <w:shd w:val="clear" w:color="auto" w:fill="FFFFFF"/>
          <w:lang w:val="zh-CN"/>
        </w:rPr>
        <w:t>下一年度预算草案，形成预算建议数，经</w:t>
      </w:r>
      <w:r>
        <w:rPr>
          <w:rFonts w:hint="eastAsia" w:ascii="仿宋" w:hAnsi="仿宋" w:eastAsia="仿宋" w:cs="仿宋"/>
          <w:color w:val="auto"/>
          <w:sz w:val="32"/>
          <w:szCs w:val="32"/>
          <w:highlight w:val="none"/>
          <w:shd w:val="clear" w:color="auto" w:fill="FFFFFF"/>
        </w:rPr>
        <w:t>集体</w:t>
      </w:r>
      <w:r>
        <w:rPr>
          <w:rFonts w:hint="eastAsia" w:ascii="仿宋" w:hAnsi="仿宋" w:eastAsia="仿宋" w:cs="仿宋"/>
          <w:color w:val="auto"/>
          <w:sz w:val="32"/>
          <w:szCs w:val="32"/>
          <w:highlight w:val="none"/>
          <w:shd w:val="clear" w:color="auto" w:fill="FFFFFF"/>
          <w:lang w:val="zh-CN"/>
        </w:rPr>
        <w:t>讨论后上报</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财政局。</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pStyle w:val="2"/>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保证交通运输（公路灾害）监测与应急指挥系统正常运行</w:t>
      </w:r>
    </w:p>
    <w:p>
      <w:pPr>
        <w:numPr>
          <w:ilvl w:val="0"/>
          <w:numId w:val="8"/>
        </w:numPr>
        <w:adjustRightInd w:val="0"/>
        <w:snapToGrid w:val="0"/>
        <w:spacing w:line="600" w:lineRule="exact"/>
        <w:ind w:firstLine="7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项目应实现的具体绩效目标，包括目标的量化、细化情况以及项目实施进度计划等。</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数量指标：共计一个项目，完成率</w:t>
      </w:r>
      <w:r>
        <w:rPr>
          <w:rFonts w:hint="eastAsia" w:ascii="仿宋" w:hAnsi="仿宋" w:eastAsia="仿宋" w:cs="仿宋"/>
          <w:sz w:val="32"/>
          <w:szCs w:val="32"/>
          <w:lang w:val="en-US" w:eastAsia="zh-CN"/>
        </w:rPr>
        <w:t>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质量指标：建设项目完成验收，工程质量合格率达到100%。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时效指标：工期按工完成，资金完成拨付。</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成本指标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安排市级一般预算资金11万元。</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效益指标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社会效益指标：减少一般事故，遏制重特大事故。</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满意度指标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服务对象满意度指标：社会对象满意度</w:t>
      </w:r>
      <w:r>
        <w:rPr>
          <w:rFonts w:hint="eastAsia" w:ascii="仿宋" w:hAnsi="仿宋" w:eastAsia="仿宋" w:cs="仿宋"/>
          <w:sz w:val="32"/>
          <w:szCs w:val="32"/>
          <w:lang w:val="en-US" w:eastAsia="zh-CN"/>
        </w:rPr>
        <w:t>85%以上。</w:t>
      </w:r>
    </w:p>
    <w:p>
      <w:pPr>
        <w:numPr>
          <w:ilvl w:val="0"/>
          <w:numId w:val="10"/>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结合项目202</w:t>
      </w:r>
      <w:r>
        <w:rPr>
          <w:rFonts w:hint="eastAsia" w:ascii="仿宋" w:hAnsi="仿宋" w:eastAsia="仿宋" w:cs="仿宋"/>
          <w:sz w:val="32"/>
          <w:szCs w:val="32"/>
          <w:lang w:val="en-US" w:eastAsia="zh-CN"/>
        </w:rPr>
        <w:t>4</w:t>
      </w:r>
      <w:r>
        <w:rPr>
          <w:rFonts w:hint="eastAsia" w:ascii="仿宋" w:hAnsi="仿宋" w:eastAsia="仿宋" w:cs="仿宋"/>
          <w:sz w:val="32"/>
          <w:szCs w:val="32"/>
        </w:rPr>
        <w:t>年实际需求、相关费用标准及市场价格水平，重点对数量是否合理、投入是否经济、预算测算是否准确、测算过程是否详细、测算依据是否充分等方面进行了评估。评估认为，该项目任务数量基本合理、预算测算过程较为详细、测算依据基本充分、有一定的经济性。</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eastAsia="zh-CN"/>
        </w:rPr>
      </w:pPr>
      <w:r>
        <w:rPr>
          <w:rFonts w:hint="eastAsia" w:ascii="仿宋" w:hAnsi="仿宋" w:eastAsia="仿宋" w:cs="仿宋"/>
          <w:sz w:val="32"/>
          <w:szCs w:val="32"/>
        </w:rPr>
        <w:t>结合项目实际需求、</w:t>
      </w:r>
      <w:r>
        <w:rPr>
          <w:rFonts w:hint="eastAsia" w:ascii="仿宋" w:hAnsi="仿宋" w:eastAsia="仿宋" w:cs="仿宋"/>
          <w:sz w:val="32"/>
          <w:szCs w:val="32"/>
          <w:lang w:eastAsia="zh-CN"/>
        </w:rPr>
        <w:t>完工验收情况等开展自评。</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numPr>
          <w:ilvl w:val="0"/>
          <w:numId w:val="0"/>
        </w:numPr>
        <w:adjustRightInd w:val="0"/>
        <w:snapToGrid w:val="0"/>
        <w:spacing w:line="578"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项目设立按固定履行评估论证、申报程序。绩效目标设置于计划期内的任务量、预算安排的资金量基本匹配，绩效目标设置基本科学合理、规范完成。预算项目在规定时间内完成项目入库。</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zh-CN"/>
        </w:rPr>
        <w:t>1．资金计划。</w:t>
      </w:r>
      <w:r>
        <w:rPr>
          <w:rFonts w:hint="eastAsia" w:ascii="仿宋" w:hAnsi="仿宋" w:eastAsia="仿宋" w:cs="仿宋"/>
          <w:color w:val="000000"/>
          <w:kern w:val="0"/>
          <w:sz w:val="32"/>
          <w:szCs w:val="32"/>
          <w:shd w:val="clear" w:color="auto" w:fill="FFFFFF"/>
          <w:lang w:val="zh-CN" w:eastAsia="zh-CN"/>
        </w:rPr>
        <w:t>该项目资金计划</w:t>
      </w:r>
      <w:r>
        <w:rPr>
          <w:rFonts w:hint="eastAsia" w:ascii="仿宋" w:hAnsi="仿宋" w:eastAsia="仿宋" w:cs="仿宋"/>
          <w:color w:val="000000"/>
          <w:kern w:val="0"/>
          <w:sz w:val="32"/>
          <w:szCs w:val="32"/>
          <w:shd w:val="clear" w:color="auto" w:fill="FFFFFF"/>
          <w:lang w:val="en-US" w:eastAsia="zh-CN"/>
        </w:rPr>
        <w:t>11万元。</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2．资金到位。</w:t>
      </w:r>
      <w:r>
        <w:rPr>
          <w:rFonts w:hint="eastAsia" w:ascii="仿宋" w:hAnsi="仿宋" w:eastAsia="仿宋" w:cs="仿宋"/>
          <w:color w:val="000000"/>
          <w:kern w:val="0"/>
          <w:sz w:val="32"/>
          <w:szCs w:val="32"/>
          <w:shd w:val="clear" w:color="auto" w:fill="FFFFFF"/>
          <w:lang w:val="zh-CN" w:eastAsia="zh-CN"/>
        </w:rPr>
        <w:t>该项目资金实际到位</w:t>
      </w:r>
      <w:r>
        <w:rPr>
          <w:rFonts w:hint="eastAsia" w:ascii="仿宋" w:hAnsi="仿宋" w:eastAsia="仿宋" w:cs="仿宋"/>
          <w:color w:val="000000"/>
          <w:kern w:val="0"/>
          <w:sz w:val="32"/>
          <w:szCs w:val="32"/>
          <w:shd w:val="clear" w:color="auto" w:fill="FFFFFF"/>
          <w:lang w:val="en-US" w:eastAsia="zh-CN"/>
        </w:rPr>
        <w:t>11万元。</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zh-CN"/>
        </w:rPr>
        <w:t>3．资金使用。</w:t>
      </w:r>
      <w:r>
        <w:rPr>
          <w:rFonts w:hint="eastAsia" w:ascii="仿宋" w:hAnsi="仿宋" w:eastAsia="仿宋" w:cs="仿宋"/>
          <w:color w:val="000000"/>
          <w:kern w:val="0"/>
          <w:sz w:val="32"/>
          <w:szCs w:val="32"/>
          <w:shd w:val="clear" w:color="auto" w:fill="FFFFFF"/>
          <w:lang w:val="zh-CN" w:eastAsia="zh-CN"/>
        </w:rPr>
        <w:t>该项目资金实际支付</w:t>
      </w:r>
      <w:r>
        <w:rPr>
          <w:rFonts w:hint="eastAsia" w:ascii="仿宋" w:hAnsi="仿宋" w:eastAsia="仿宋" w:cs="仿宋"/>
          <w:color w:val="000000"/>
          <w:kern w:val="0"/>
          <w:sz w:val="32"/>
          <w:szCs w:val="32"/>
          <w:shd w:val="clear" w:color="auto" w:fill="FFFFFF"/>
          <w:lang w:val="en-US" w:eastAsia="zh-CN"/>
        </w:rPr>
        <w:t>11万元，</w:t>
      </w:r>
      <w:r>
        <w:rPr>
          <w:rFonts w:hint="eastAsia" w:ascii="仿宋" w:hAnsi="仿宋" w:eastAsia="仿宋" w:cs="仿宋"/>
          <w:color w:val="000000"/>
          <w:kern w:val="0"/>
          <w:sz w:val="32"/>
          <w:szCs w:val="32"/>
          <w:shd w:val="clear" w:color="auto" w:fill="FFFFFF"/>
          <w:lang w:val="zh-CN" w:eastAsia="zh-CN"/>
        </w:rPr>
        <w:t>支付标准、支付进度、支付依据合规合法、与预算相符，</w:t>
      </w:r>
      <w:r>
        <w:rPr>
          <w:rFonts w:hint="eastAsia" w:ascii="仿宋" w:hAnsi="仿宋" w:eastAsia="仿宋" w:cs="仿宋"/>
          <w:color w:val="000000"/>
          <w:kern w:val="0"/>
          <w:sz w:val="32"/>
          <w:szCs w:val="32"/>
          <w:shd w:val="clear" w:color="auto" w:fill="FFFFFF"/>
          <w:lang w:val="en-US" w:eastAsia="zh-CN"/>
        </w:rPr>
        <w:t>完成率100%。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numPr>
          <w:ilvl w:val="0"/>
          <w:numId w:val="12"/>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项目组织架构及实施流程。</w:t>
      </w:r>
    </w:p>
    <w:p>
      <w:pPr>
        <w:numPr>
          <w:ilvl w:val="0"/>
          <w:numId w:val="0"/>
        </w:numPr>
        <w:adjustRightInd w:val="0"/>
        <w:snapToGrid w:val="0"/>
        <w:spacing w:line="600" w:lineRule="exact"/>
        <w:ind w:firstLine="640" w:firstLineChars="2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加强我市交通行业监督管理，提升科技兴安水平，通过监测手段，有效的减少一般事故，坚决防范遏制重特大事故发生，确保攀枝花市交通运输行业安全。</w:t>
      </w:r>
    </w:p>
    <w:p>
      <w:pPr>
        <w:numPr>
          <w:ilvl w:val="0"/>
          <w:numId w:val="0"/>
        </w:numPr>
        <w:adjustRightInd w:val="0"/>
        <w:snapToGri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（二）项目管理情况。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项目实施遵守相关法律法规；项目调整手续完备；项目合同、验收报告、技术鉴定等资料齐全并及时归档；项目实施的人员条件、场地设备、信息支撑等落实到位</w:t>
      </w:r>
    </w:p>
    <w:p>
      <w:pPr>
        <w:numPr>
          <w:ilvl w:val="0"/>
          <w:numId w:val="12"/>
        </w:numPr>
        <w:adjustRightInd w:val="0"/>
        <w:snapToGrid w:val="0"/>
        <w:spacing w:line="600" w:lineRule="exact"/>
        <w:ind w:left="0" w:leftChars="0" w:firstLine="720"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项目监管情况。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项目工期按时完成验收通过，资金完成拨付，</w:t>
      </w:r>
      <w:r>
        <w:rPr>
          <w:rFonts w:hint="eastAsia" w:ascii="仿宋" w:hAnsi="仿宋" w:eastAsia="仿宋" w:cs="仿宋"/>
          <w:sz w:val="32"/>
          <w:szCs w:val="32"/>
          <w:lang w:val="en-US" w:eastAsia="zh-CN"/>
        </w:rPr>
        <w:t>工程质量合格率达到100%。</w:t>
      </w:r>
      <w:r>
        <w:rPr>
          <w:rFonts w:hint="eastAsia" w:ascii="仿宋" w:hAnsi="仿宋" w:eastAsia="仿宋" w:cs="仿宋"/>
          <w:sz w:val="32"/>
          <w:szCs w:val="32"/>
          <w:lang w:val="zh-CN"/>
        </w:rPr>
        <w:t>无资金结余情况，无违规记录，对照项目计划完成目标。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极大提升公路安全水平，提升人民出行便捷性及人民满意度。</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w:t>
      </w: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交通部门作为行政管理机构，专业技术人员有限，机电运行能力不足，也难以保障本工程庞大系统的长期稳定运行。因此，建议工程实施过程中，积极引导社会第三方力量的积极参与，统筹解决工程建设和运行问题。</w:t>
      </w:r>
    </w:p>
    <w:p>
      <w:pPr>
        <w:pStyle w:val="2"/>
        <w:rPr>
          <w:rFonts w:hint="eastAsia"/>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金沙江航运综合开发项目</w:t>
      </w:r>
      <w:r>
        <w:rPr>
          <w:rFonts w:ascii="Times New Roman" w:hAnsi="Times New Roman" w:eastAsia="仿宋_GB2312"/>
          <w:color w:val="auto"/>
          <w:kern w:val="2"/>
          <w:sz w:val="32"/>
          <w:szCs w:val="32"/>
        </w:rPr>
        <w:t>）</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完成金沙江航道开发。</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完成金沙江航道开发。</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开发航道里程</w:t>
      </w:r>
      <w:r>
        <w:rPr>
          <w:rFonts w:hint="eastAsia" w:ascii="仿宋" w:hAnsi="仿宋" w:eastAsia="仿宋" w:cs="仿宋"/>
          <w:sz w:val="32"/>
          <w:szCs w:val="32"/>
          <w:lang w:val="en-US" w:eastAsia="zh-CN"/>
        </w:rPr>
        <w:t>78公里。</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质量指标：高质量开发</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经济成本指标：财政补助成本20万元。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20万元。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年内启动</w:t>
      </w:r>
      <w:r>
        <w:rPr>
          <w:rFonts w:hint="eastAsia" w:ascii="仿宋" w:hAnsi="仿宋" w:eastAsia="仿宋" w:cs="仿宋"/>
          <w:color w:val="auto"/>
          <w:kern w:val="2"/>
          <w:sz w:val="32"/>
          <w:szCs w:val="32"/>
        </w:rPr>
        <w:t>金沙江航运综合开发项目</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财政补助成本20万元及时到位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方便市民群众出行，服务对象满意度≥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金沙江三堆子大桥新建工程</w:t>
      </w:r>
      <w:r>
        <w:rPr>
          <w:rFonts w:ascii="Times New Roman" w:hAnsi="Times New Roman" w:eastAsia="仿宋_GB2312"/>
          <w:color w:val="auto"/>
          <w:kern w:val="2"/>
          <w:sz w:val="32"/>
          <w:szCs w:val="32"/>
        </w:rPr>
        <w:t>）</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位于攀枝花市成昆铁路三堆子大桥下游650米，跨越金沙江，北岸连接省道S310宁华路，南岸连接县道XD02金歇路，新建一座连续刚构配菱形立交布置的跨江大桥，同时对由于建桥受到影响的原超限检测站进行拆除搬迁。项目建成将产生较大的社会效益和经济效益，建成后解决盐边县、仁和区和钒钛产业园区工业重载交通的运输需求，成为全市重要的重载运输桥梁，有效缓解周边道路压力。同时，本项目为鲊石渡口的“渡改桥”，建成后将方便两岸群众出行，改善群众生活，消除航船营运安全隐患。现该桥梁已按期建设完成并通车，项目建设的目的已实现。</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新建一座连续刚构配菱形立交布置的跨江大桥。现该桥梁已按期建设完成并通车，项目建设的目的已实现，但资金尚未支付完毕，项目用于欠付工程款。</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新建大桥一座，拆除老超限检测站，搬迁新建超限检测站一个。</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质量指标：符合国家规定，交工验收合格 设计荷载</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时效指标：按合同约定</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经济成本指标：财政补助成本15916万元。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15916万元。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新建大桥一座，拆除老超限检测站，搬迁新建超限检测站一个。</w:t>
      </w:r>
      <w:r>
        <w:rPr>
          <w:rFonts w:hint="eastAsia" w:ascii="仿宋" w:hAnsi="仿宋" w:eastAsia="仿宋" w:cs="仿宋"/>
          <w:sz w:val="32"/>
          <w:szCs w:val="32"/>
          <w:lang w:val="en-US" w:eastAsia="zh-CN"/>
        </w:rPr>
        <w:t>财政补助成本15916万元及时到位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降低了园区企业的运输成本，增加了园区企业的经济效益。同时方便两岸群众出行，改善群众生活，消除航船营运安全隐患，群众对象满意度≥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hint="eastAsia" w:ascii="阿里巴巴普惠体 R" w:hAnsi="阿里巴巴普惠体 R" w:eastAsia="阿里巴巴普惠体 R" w:cs="阿里巴巴普惠体 R"/>
          <w:color w:val="auto"/>
          <w:kern w:val="2"/>
          <w:sz w:val="40"/>
          <w:szCs w:val="40"/>
        </w:rPr>
      </w:pPr>
    </w:p>
    <w:p>
      <w:pPr>
        <w:pStyle w:val="38"/>
        <w:spacing w:line="600" w:lineRule="exact"/>
        <w:jc w:val="center"/>
        <w:rPr>
          <w:rFonts w:hint="eastAsia" w:ascii="阿里巴巴普惠体 R" w:hAnsi="阿里巴巴普惠体 R" w:eastAsia="阿里巴巴普惠体 R" w:cs="阿里巴巴普惠体 R"/>
          <w:color w:val="auto"/>
          <w:kern w:val="2"/>
          <w:sz w:val="40"/>
          <w:szCs w:val="40"/>
        </w:rPr>
      </w:pPr>
      <w:r>
        <w:rPr>
          <w:rFonts w:hint="eastAsia" w:ascii="阿里巴巴普惠体 R" w:hAnsi="阿里巴巴普惠体 R" w:eastAsia="阿里巴巴普惠体 R" w:cs="阿里巴巴普惠体 R"/>
          <w:color w:val="auto"/>
          <w:kern w:val="2"/>
          <w:sz w:val="40"/>
          <w:szCs w:val="40"/>
        </w:rPr>
        <w:t>项目支出绩效自评报告</w:t>
      </w:r>
    </w:p>
    <w:p>
      <w:pPr>
        <w:pStyle w:val="38"/>
        <w:spacing w:line="600" w:lineRule="exact"/>
        <w:jc w:val="cente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（市级农村公路养护）</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我单位管养的</w:t>
      </w:r>
      <w:bookmarkStart w:id="82" w:name="OLE_LINK1"/>
      <w:r>
        <w:rPr>
          <w:rFonts w:hint="eastAsia" w:ascii="仿宋" w:hAnsi="仿宋" w:eastAsia="仿宋" w:cs="仿宋"/>
          <w:sz w:val="32"/>
          <w:szCs w:val="32"/>
        </w:rPr>
        <w:t>农村公路（县道）</w:t>
      </w:r>
      <w:bookmarkEnd w:id="82"/>
      <w:r>
        <w:rPr>
          <w:rFonts w:hint="eastAsia" w:ascii="仿宋" w:hAnsi="仿宋" w:eastAsia="仿宋" w:cs="仿宋"/>
          <w:sz w:val="32"/>
          <w:szCs w:val="32"/>
        </w:rPr>
        <w:t>总里程24.017公里，其中X002线0.329公里，X003线11.111公里，X004线0.252公里，X005线12.325公里。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管养农村公路（县道）桥梁1928.53延米/13座，其中特大桥768.54延米/2座，大桥963.37延米/6座，中桥164.46延米/4座，小桥32.16延米/1座。</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管养农村公路（县道）长隧道3175延米/2座。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我单位严格按照《攀枝花市农村公路日常养护要求及标准》要求，开展</w:t>
      </w:r>
      <w:r>
        <w:rPr>
          <w:rFonts w:hint="eastAsia" w:ascii="仿宋" w:hAnsi="仿宋" w:eastAsia="仿宋" w:cs="仿宋"/>
          <w:kern w:val="0"/>
          <w:sz w:val="32"/>
          <w:szCs w:val="32"/>
        </w:rPr>
        <w:t>公路养护各项工作，项目执行过程中的检查、监督、指导、考核工作，并接受上级部门的监督。</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 项目立项、资金申报的依据。</w:t>
      </w:r>
    </w:p>
    <w:p>
      <w:pPr>
        <w:ind w:firstLine="640" w:firstLineChars="200"/>
        <w:rPr>
          <w:rStyle w:val="63"/>
          <w:rFonts w:hint="eastAsia" w:ascii="仿宋" w:hAnsi="仿宋" w:eastAsia="仿宋" w:cs="仿宋"/>
          <w:sz w:val="32"/>
          <w:szCs w:val="32"/>
          <w:lang w:val="zh-CN"/>
        </w:rPr>
      </w:pPr>
      <w:r>
        <w:rPr>
          <w:rStyle w:val="63"/>
          <w:rFonts w:hint="eastAsia" w:ascii="仿宋" w:hAnsi="仿宋" w:eastAsia="仿宋" w:cs="仿宋"/>
          <w:sz w:val="32"/>
          <w:szCs w:val="32"/>
        </w:rPr>
        <w:t>按照《攀枝花市人民政府办公室关于深化农村公路管理养护体制改革实施方案的通知》（攀办发〔</w:t>
      </w:r>
      <w:r>
        <w:rPr>
          <w:rStyle w:val="64"/>
          <w:rFonts w:hint="eastAsia" w:ascii="仿宋" w:hAnsi="仿宋" w:eastAsia="仿宋" w:cs="仿宋"/>
          <w:sz w:val="32"/>
          <w:szCs w:val="32"/>
        </w:rPr>
        <w:t>2020</w:t>
      </w:r>
      <w:r>
        <w:rPr>
          <w:rStyle w:val="63"/>
          <w:rFonts w:hint="eastAsia" w:ascii="仿宋" w:hAnsi="仿宋" w:eastAsia="仿宋" w:cs="仿宋"/>
          <w:sz w:val="32"/>
          <w:szCs w:val="32"/>
        </w:rPr>
        <w:t>〕</w:t>
      </w:r>
      <w:r>
        <w:rPr>
          <w:rStyle w:val="64"/>
          <w:rFonts w:hint="eastAsia" w:ascii="仿宋" w:hAnsi="仿宋" w:eastAsia="仿宋" w:cs="仿宋"/>
          <w:sz w:val="32"/>
          <w:szCs w:val="32"/>
        </w:rPr>
        <w:t>88</w:t>
      </w:r>
      <w:r>
        <w:rPr>
          <w:rStyle w:val="63"/>
          <w:rFonts w:hint="eastAsia" w:ascii="仿宋" w:hAnsi="仿宋" w:eastAsia="仿宋" w:cs="仿宋"/>
          <w:sz w:val="32"/>
          <w:szCs w:val="32"/>
        </w:rPr>
        <w:t>号）要求，</w:t>
      </w:r>
      <w:r>
        <w:rPr>
          <w:rFonts w:hint="eastAsia" w:ascii="仿宋" w:hAnsi="仿宋" w:eastAsia="仿宋" w:cs="仿宋"/>
          <w:color w:val="000000"/>
          <w:sz w:val="32"/>
          <w:szCs w:val="32"/>
        </w:rPr>
        <w:t>通过财政投入</w:t>
      </w:r>
      <w:r>
        <w:rPr>
          <w:rFonts w:hint="eastAsia" w:ascii="仿宋" w:hAnsi="仿宋" w:eastAsia="仿宋" w:cs="仿宋"/>
          <w:sz w:val="32"/>
          <w:szCs w:val="32"/>
        </w:rPr>
        <w:t>，</w:t>
      </w:r>
      <w:r>
        <w:rPr>
          <w:rStyle w:val="63"/>
          <w:rFonts w:hint="eastAsia" w:ascii="仿宋" w:hAnsi="仿宋" w:eastAsia="仿宋" w:cs="仿宋"/>
          <w:sz w:val="32"/>
          <w:szCs w:val="32"/>
        </w:rPr>
        <w:t>足额落实农村公路日常养护资金。</w:t>
      </w:r>
      <w:r>
        <w:rPr>
          <w:rStyle w:val="63"/>
          <w:rFonts w:hint="eastAsia" w:ascii="仿宋" w:hAnsi="仿宋" w:eastAsia="仿宋" w:cs="仿宋"/>
          <w:sz w:val="32"/>
          <w:szCs w:val="32"/>
          <w:lang w:val="zh-CN"/>
        </w:rPr>
        <w:t>申报项目预算金额为5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Style w:val="63"/>
          <w:rFonts w:hint="eastAsia" w:ascii="仿宋" w:hAnsi="仿宋" w:eastAsia="仿宋" w:cs="仿宋"/>
          <w:sz w:val="32"/>
          <w:szCs w:val="32"/>
          <w:lang w:val="zh-CN"/>
        </w:rPr>
        <w:t>万元，资金来源为市级财政资金。财政批复金额为5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4000万元,</w:t>
      </w:r>
      <w:r>
        <w:rPr>
          <w:rStyle w:val="63"/>
          <w:rFonts w:hint="eastAsia" w:ascii="仿宋" w:hAnsi="仿宋" w:eastAsia="仿宋" w:cs="仿宋"/>
          <w:sz w:val="32"/>
          <w:szCs w:val="32"/>
          <w:lang w:val="zh-CN"/>
        </w:rPr>
        <w:t>符合资金管理办法等相关规定。</w:t>
      </w:r>
    </w:p>
    <w:p>
      <w:pPr>
        <w:ind w:firstLine="640" w:firstLineChars="200"/>
        <w:rPr>
          <w:rStyle w:val="63"/>
          <w:rFonts w:hint="eastAsia" w:ascii="仿宋" w:hAnsi="仿宋" w:eastAsia="仿宋" w:cs="仿宋"/>
          <w:sz w:val="32"/>
          <w:szCs w:val="32"/>
        </w:rPr>
      </w:pPr>
      <w:r>
        <w:rPr>
          <w:rStyle w:val="63"/>
          <w:rFonts w:hint="eastAsia" w:ascii="仿宋" w:hAnsi="仿宋" w:eastAsia="仿宋" w:cs="仿宋"/>
          <w:sz w:val="32"/>
          <w:szCs w:val="32"/>
        </w:rPr>
        <w:t>3.资金管理办法制定情况，资金支持具体项目的条件、范围与支持方式概况。</w:t>
      </w:r>
    </w:p>
    <w:p>
      <w:pPr>
        <w:ind w:firstLine="640" w:firstLineChars="200"/>
        <w:rPr>
          <w:rStyle w:val="63"/>
          <w:rFonts w:hint="eastAsia" w:ascii="仿宋" w:hAnsi="仿宋" w:eastAsia="仿宋" w:cs="仿宋"/>
          <w:sz w:val="32"/>
          <w:szCs w:val="32"/>
        </w:rPr>
      </w:pPr>
      <w:r>
        <w:rPr>
          <w:rStyle w:val="63"/>
          <w:rFonts w:hint="eastAsia" w:ascii="仿宋" w:hAnsi="仿宋" w:eastAsia="仿宋" w:cs="仿宋"/>
          <w:sz w:val="32"/>
          <w:szCs w:val="32"/>
        </w:rPr>
        <w:t>根据《攀枝花市公路养护总段关于印发普通公路养护工程项目管理实施细则的通知》攀养总〔2024〕148 号、《攀枝花市公路养护总段财务管理制度》攀养总〔2025〕17号的相关规定，养护工程项目资金实行专款专用，养护工程执行计量支付，施工单位按规定格式提出工程计量申请并提供符合设计及规范要求的质量保证资料，经监理单位审核，项目管理组审查签证，工程计量满足合同约定后，经办人填制《攀枝花市公路养护总段专项资金支付申请表》，并附申请文件、合同、发票等资料，按经办部门负责人、经办部门分管领导、财务部门负责人、财务分管领导、单位负责人签字同意后提交财务，财务据此进行资金支付。</w:t>
      </w:r>
    </w:p>
    <w:p>
      <w:pPr>
        <w:ind w:firstLine="640" w:firstLineChars="200"/>
        <w:rPr>
          <w:rStyle w:val="63"/>
          <w:rFonts w:hint="eastAsia" w:ascii="仿宋" w:hAnsi="仿宋" w:eastAsia="仿宋" w:cs="仿宋"/>
          <w:sz w:val="32"/>
          <w:szCs w:val="32"/>
        </w:rPr>
      </w:pPr>
      <w:r>
        <w:rPr>
          <w:rStyle w:val="63"/>
          <w:rFonts w:hint="eastAsia" w:ascii="仿宋" w:hAnsi="仿宋" w:eastAsia="仿宋" w:cs="仿宋"/>
          <w:sz w:val="32"/>
          <w:szCs w:val="32"/>
        </w:rPr>
        <w:t>4. 资金分配的原则及考虑因素。</w:t>
      </w:r>
    </w:p>
    <w:p>
      <w:pPr>
        <w:ind w:firstLine="640" w:firstLineChars="200"/>
        <w:rPr>
          <w:rStyle w:val="63"/>
          <w:rFonts w:hint="eastAsia" w:ascii="仿宋" w:hAnsi="仿宋" w:eastAsia="仿宋" w:cs="仿宋"/>
          <w:sz w:val="32"/>
          <w:szCs w:val="32"/>
        </w:rPr>
      </w:pPr>
      <w:r>
        <w:rPr>
          <w:rStyle w:val="63"/>
          <w:rFonts w:hint="eastAsia" w:ascii="仿宋" w:hAnsi="仿宋" w:eastAsia="仿宋" w:cs="仿宋"/>
          <w:sz w:val="32"/>
          <w:szCs w:val="32"/>
        </w:rPr>
        <w:t>根据各段队管养的农村公路里程进行资金分配。</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完成农村公路（县道）24.017公里、桥梁1928.53延米/13座、隧道3175延米/2座以及附属设施的日常保养、日常维修和管理等日常养护工作。</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 项目应实现的具体绩效目标，包括目标的量化、细化情况以及项目实施进度计划等。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r>
        <w:rPr>
          <w:rFonts w:hint="eastAsia" w:ascii="仿宋" w:hAnsi="仿宋" w:eastAsia="仿宋" w:cs="仿宋"/>
          <w:sz w:val="32"/>
          <w:szCs w:val="32"/>
        </w:rPr>
        <w:t>按照公路养护技术标准、规范，保持公路及其附属设施处于良好的技术状态，保障公路安全畅通，达到“畅、安、舒、美”的公路通行环境，提升公路服务水平。</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项目实施进度计划：</w:t>
      </w:r>
      <w:r>
        <w:rPr>
          <w:rFonts w:hint="eastAsia" w:ascii="仿宋" w:hAnsi="仿宋" w:eastAsia="仿宋" w:cs="仿宋"/>
          <w:kern w:val="0"/>
          <w:sz w:val="32"/>
          <w:szCs w:val="32"/>
        </w:rPr>
        <w:t>目工期计划12个月，于2024年12月31日按期完工。</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3. 分析评价申报内容是否与实际相符，申报目标是否合理可行。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kern w:val="0"/>
          <w:sz w:val="32"/>
          <w:szCs w:val="32"/>
        </w:rPr>
        <w:t>申报内容与实际相符，申报目标合理可行。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kern w:val="0"/>
          <w:sz w:val="32"/>
          <w:szCs w:val="32"/>
        </w:rPr>
      </w:pPr>
      <w:r>
        <w:rPr>
          <w:rFonts w:hint="eastAsia" w:ascii="仿宋" w:hAnsi="仿宋" w:eastAsia="仿宋" w:cs="仿宋"/>
          <w:kern w:val="0"/>
          <w:sz w:val="32"/>
          <w:szCs w:val="32"/>
        </w:rPr>
        <w:t>根据《攀枝花市公路养护总段关于印发奖励绩效管理实施方案（修订）的通知》（攀养总〔2023〕95 号）的相关规定，按照“分级负责、逐级考核”的原则，绩效考核体系分为三级，即：一级考核由总段机关各科室组成考核小组对各单位在本年度中工作开展、工作创新、目标完成等情况进行综合考核；二级考核由各单位按月负责组织实施，主要对各单位所属养护站履行工作职能职责及日常工作完成情况等方面进行考核；三级考核由养护站对职工个人按月进行考核。根据工作完成情况实行加减分。</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申报项目预算金额为</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万元，资金来源为市级财政资金。财政批复金额为</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rPr>
        <w:t>万元,</w:t>
      </w:r>
      <w:r>
        <w:rPr>
          <w:rFonts w:hint="eastAsia" w:ascii="仿宋" w:hAnsi="仿宋" w:eastAsia="仿宋" w:cs="仿宋"/>
          <w:sz w:val="32"/>
          <w:szCs w:val="32"/>
          <w:lang w:val="zh-CN"/>
        </w:rPr>
        <w:t>符合资金管理办法等相关规定。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1．资金计划。2024年度我单位管养农村公路养护计划投入资金</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2．资金到位。本级拨付2024年度农村公路管护资金</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3．资金使用。</w:t>
      </w:r>
      <w:r>
        <w:rPr>
          <w:rFonts w:hint="eastAsia" w:ascii="仿宋" w:hAnsi="仿宋" w:eastAsia="仿宋" w:cs="仿宋"/>
          <w:sz w:val="32"/>
          <w:szCs w:val="32"/>
        </w:rPr>
        <w:t>我单位严格按照《攀枝花市农村公路日常养护要求及标准》要求，以公路日常养护为抓手，</w:t>
      </w:r>
      <w:r>
        <w:rPr>
          <w:rStyle w:val="65"/>
          <w:rFonts w:hint="eastAsia" w:ascii="仿宋" w:hAnsi="仿宋" w:eastAsia="仿宋" w:cs="仿宋"/>
          <w:spacing w:val="-20"/>
          <w:kern w:val="0"/>
          <w:sz w:val="32"/>
          <w:szCs w:val="32"/>
        </w:rPr>
        <w:t>积极开展路域环境整治</w:t>
      </w:r>
      <w:r>
        <w:rPr>
          <w:rStyle w:val="65"/>
          <w:rFonts w:hint="eastAsia" w:ascii="仿宋" w:hAnsi="仿宋" w:eastAsia="仿宋" w:cs="仿宋"/>
          <w:sz w:val="32"/>
          <w:szCs w:val="32"/>
        </w:rPr>
        <w:t>工作，2024年度投入</w:t>
      </w:r>
      <w:r>
        <w:rPr>
          <w:rFonts w:hint="eastAsia" w:ascii="仿宋" w:hAnsi="仿宋" w:eastAsia="仿宋" w:cs="仿宋"/>
          <w:sz w:val="32"/>
          <w:szCs w:val="32"/>
          <w:lang w:val="zh-CN"/>
        </w:rPr>
        <w:t>农村公路养护资金</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万元，主要用于路面保洁及病害维修、沿线附属设施完善及维护等。</w:t>
      </w:r>
      <w:r>
        <w:rPr>
          <w:rFonts w:hint="eastAsia" w:ascii="仿宋" w:hAnsi="仿宋" w:eastAsia="仿宋" w:cs="仿宋"/>
          <w:color w:val="000000"/>
          <w:sz w:val="32"/>
          <w:szCs w:val="32"/>
        </w:rPr>
        <w:t>项目完成后，及时按照程序组织验收、办理结算、资料整理归档等工作。</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lang w:val="zh-CN"/>
        </w:rPr>
        <w:t>我单位财务管理制度健全，人员配置满足工作需求，账务处理及时，会计核算严格按照法律法规、行业规定、单位规章制度等执行。</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项目组织架构：项目管理：计划养护科；质量监督：公路实验室；安全监督部门：安全保卫科；实施单位：总段下属各单位。</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kern w:val="0"/>
          <w:sz w:val="32"/>
          <w:szCs w:val="32"/>
        </w:rPr>
        <w:t>实施流程：总段下属各单位按照（</w:t>
      </w:r>
      <w:r>
        <w:rPr>
          <w:rStyle w:val="63"/>
          <w:rFonts w:hint="eastAsia" w:ascii="仿宋" w:hAnsi="仿宋" w:eastAsia="仿宋" w:cs="仿宋"/>
          <w:sz w:val="32"/>
          <w:szCs w:val="32"/>
        </w:rPr>
        <w:t>上报计划→下达任务→招采→实施→验收→计量→结算→支付</w:t>
      </w:r>
      <w:r>
        <w:rPr>
          <w:rFonts w:hint="eastAsia" w:ascii="仿宋" w:hAnsi="仿宋" w:eastAsia="仿宋" w:cs="仿宋"/>
          <w:kern w:val="0"/>
          <w:sz w:val="32"/>
          <w:szCs w:val="32"/>
        </w:rPr>
        <w:t>）</w:t>
      </w:r>
      <w:r>
        <w:rPr>
          <w:rStyle w:val="63"/>
          <w:rFonts w:hint="eastAsia" w:ascii="仿宋" w:hAnsi="仿宋" w:eastAsia="仿宋" w:cs="仿宋"/>
          <w:sz w:val="32"/>
          <w:szCs w:val="32"/>
        </w:rPr>
        <w:t>流程组织实施，安全保卫科对项目安全进行监督管理，公路实验室对项目质量进行监督管理。</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结合项目特点，总体评价各项目实施单位执行相关法律法规及项目管理制度等情况，如招投标、政府采购、项目公示制等相关规定。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按照《公路养护技术标准》（JTG 5110-2023）、《公路桥涵养护规范》（JTG 5120-2021）、《公路隧道养护技术规范》（JTG H12-2015）、</w:t>
      </w:r>
      <w:r>
        <w:rPr>
          <w:rStyle w:val="63"/>
          <w:rFonts w:hint="eastAsia" w:ascii="仿宋" w:hAnsi="仿宋" w:eastAsia="仿宋" w:cs="仿宋"/>
          <w:sz w:val="32"/>
          <w:szCs w:val="32"/>
        </w:rPr>
        <w:t>《攀枝花市公路养护总段关于印发普通公路小修保养实施细则(试行)的通知》（攀养总〔2022〕76号）及《攀枝花市公路养护总段关于印发招标采购工作实施细则的通知》（攀养总〔2024〕 25号）等有关规定，</w:t>
      </w:r>
      <w:r>
        <w:rPr>
          <w:rFonts w:hint="eastAsia" w:ascii="仿宋" w:hAnsi="仿宋" w:eastAsia="仿宋" w:cs="仿宋"/>
          <w:sz w:val="32"/>
          <w:szCs w:val="32"/>
        </w:rPr>
        <w:t>各单位制定了养护工作计划，并按计划开展公路、桥隧日常保养工作，</w:t>
      </w:r>
      <w:r>
        <w:rPr>
          <w:rFonts w:hint="eastAsia" w:ascii="仿宋" w:hAnsi="仿宋" w:eastAsia="仿宋" w:cs="仿宋"/>
          <w:spacing w:val="-20"/>
          <w:sz w:val="32"/>
          <w:szCs w:val="32"/>
        </w:rPr>
        <w:t>常态化推进生态环境保护、城区道路巡查、</w:t>
      </w:r>
      <w:r>
        <w:rPr>
          <w:rStyle w:val="65"/>
          <w:rFonts w:hint="eastAsia" w:ascii="仿宋" w:hAnsi="仿宋" w:eastAsia="仿宋" w:cs="仿宋"/>
          <w:spacing w:val="-20"/>
          <w:kern w:val="0"/>
          <w:sz w:val="32"/>
          <w:szCs w:val="32"/>
        </w:rPr>
        <w:t>路面保洁以及路域环境整治工作，并</w:t>
      </w:r>
      <w:r>
        <w:rPr>
          <w:rStyle w:val="63"/>
          <w:rFonts w:hint="eastAsia" w:ascii="仿宋" w:hAnsi="仿宋" w:eastAsia="仿宋" w:cs="仿宋"/>
          <w:sz w:val="32"/>
          <w:szCs w:val="32"/>
        </w:rPr>
        <w:t>积极开展日常维修、水毁恢复工程建设工作，对总段安排的路面病害整治迎评等工作积极响应，认真落实，全力推进，确保管养公路安全通畅。</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说明项目主管部门为加强项目管理所采取的监管手段、监管程序、监管工作开展情况及实现的效果等。</w:t>
      </w:r>
    </w:p>
    <w:p>
      <w:pPr>
        <w:numPr>
          <w:ilvl w:val="255"/>
          <w:numId w:val="0"/>
        </w:numPr>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rPr>
        <w:t>养护实效检查采取了抽取部分路段（约管养里程10%）步行检查、和途径路段车行检查相结合的方式；养护站点和段部内业资料全覆盖检查。</w:t>
      </w:r>
    </w:p>
    <w:p>
      <w:pPr>
        <w:adjustRightInd w:val="0"/>
        <w:snapToGrid w:val="0"/>
        <w:spacing w:line="600" w:lineRule="exact"/>
        <w:ind w:firstLine="720"/>
        <w:rPr>
          <w:rStyle w:val="63"/>
          <w:rFonts w:hint="eastAsia" w:ascii="仿宋" w:hAnsi="仿宋" w:eastAsia="仿宋" w:cs="仿宋"/>
          <w:sz w:val="32"/>
          <w:szCs w:val="32"/>
        </w:rPr>
      </w:pPr>
      <w:r>
        <w:rPr>
          <w:rFonts w:hint="eastAsia" w:ascii="仿宋" w:hAnsi="仿宋" w:eastAsia="仿宋" w:cs="仿宋"/>
          <w:spacing w:val="-20"/>
          <w:sz w:val="32"/>
          <w:szCs w:val="32"/>
        </w:rPr>
        <w:t>按照《攀枝花市公路养护总段关于印发奖励绩效管理实施方案（修订）的通知》（攀养总﹝2023﹞95号）、《四川省交通运输厅公路局关于印发四川省普通国省道养护内业资料管理办法的通知》（川交路函〔2016〕186号）以及公路养护技术标准等</w:t>
      </w:r>
      <w:r>
        <w:rPr>
          <w:rFonts w:hint="eastAsia" w:ascii="仿宋" w:hAnsi="仿宋" w:eastAsia="仿宋" w:cs="仿宋"/>
          <w:sz w:val="32"/>
          <w:szCs w:val="32"/>
        </w:rPr>
        <w:t>要求</w:t>
      </w:r>
      <w:r>
        <w:rPr>
          <w:rFonts w:hint="eastAsia" w:ascii="仿宋" w:hAnsi="仿宋" w:eastAsia="仿宋" w:cs="仿宋"/>
          <w:spacing w:val="-20"/>
          <w:sz w:val="32"/>
          <w:szCs w:val="32"/>
        </w:rPr>
        <w:t>，结合平时工作情况。</w:t>
      </w:r>
      <w:r>
        <w:rPr>
          <w:rFonts w:hint="eastAsia" w:ascii="仿宋" w:hAnsi="仿宋" w:eastAsia="仿宋" w:cs="仿宋"/>
          <w:sz w:val="32"/>
          <w:szCs w:val="32"/>
        </w:rPr>
        <w:t>对公路养护的日常保养、日常维修、公路保通保畅、桥（涵）隧道养护、交安设施养护、路况调查工作及养护站点规范化管理等，通过现场巡查、查阅资料等形式进行检查。</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数量指标：</w:t>
      </w:r>
      <w:r>
        <w:rPr>
          <w:rFonts w:hint="eastAsia" w:ascii="仿宋" w:hAnsi="仿宋" w:eastAsia="仿宋" w:cs="仿宋"/>
          <w:sz w:val="32"/>
          <w:szCs w:val="32"/>
        </w:rPr>
        <w:t>完成公路24.017公里、桥梁1928.53延米/13座、隧道3175延米/2座以及附属设施的日常维修、维护和管理工作，</w:t>
      </w:r>
      <w:r>
        <w:rPr>
          <w:rFonts w:hint="eastAsia" w:ascii="仿宋" w:hAnsi="仿宋" w:eastAsia="仿宋" w:cs="仿宋"/>
          <w:kern w:val="0"/>
          <w:sz w:val="32"/>
          <w:szCs w:val="32"/>
        </w:rPr>
        <w:t>完成率100%。</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质量指标：满足现行规范要求，完成率100%。</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时效指标：在2024年12月31日完成，完成率100%。</w:t>
      </w:r>
    </w:p>
    <w:p>
      <w:pPr>
        <w:ind w:firstLine="640" w:firstLineChars="200"/>
        <w:rPr>
          <w:rFonts w:hint="eastAsia" w:ascii="仿宋" w:hAnsi="仿宋" w:eastAsia="仿宋" w:cs="仿宋"/>
          <w:sz w:val="32"/>
          <w:szCs w:val="32"/>
        </w:rPr>
      </w:pPr>
      <w:r>
        <w:rPr>
          <w:rFonts w:hint="eastAsia" w:ascii="仿宋" w:hAnsi="仿宋" w:eastAsia="仿宋" w:cs="仿宋"/>
          <w:kern w:val="0"/>
          <w:sz w:val="32"/>
          <w:szCs w:val="32"/>
        </w:rPr>
        <w:t>成本指标：2024年度农村公路养护预算资金</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w:t>
      </w:r>
      <w:r>
        <w:rPr>
          <w:rFonts w:hint="eastAsia" w:ascii="仿宋" w:hAnsi="仿宋" w:eastAsia="仿宋" w:cs="仿宋"/>
          <w:kern w:val="0"/>
          <w:sz w:val="32"/>
          <w:szCs w:val="32"/>
        </w:rPr>
        <w:t>实际完成农村公路养护</w:t>
      </w:r>
      <w:r>
        <w:rPr>
          <w:rFonts w:hint="eastAsia" w:ascii="仿宋" w:hAnsi="仿宋" w:eastAsia="仿宋" w:cs="仿宋"/>
          <w:sz w:val="32"/>
          <w:szCs w:val="32"/>
        </w:rPr>
        <w:t>项目资金</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w:t>
      </w:r>
      <w:r>
        <w:rPr>
          <w:rFonts w:hint="eastAsia" w:ascii="仿宋" w:hAnsi="仿宋" w:eastAsia="仿宋" w:cs="仿宋"/>
          <w:kern w:val="0"/>
          <w:sz w:val="32"/>
          <w:szCs w:val="32"/>
        </w:rPr>
        <w:t>完成率100%。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rPr>
        <w:t>项目资金结算指标：</w:t>
      </w:r>
      <w:r>
        <w:rPr>
          <w:rFonts w:hint="eastAsia" w:ascii="仿宋" w:hAnsi="仿宋" w:eastAsia="仿宋" w:cs="仿宋"/>
          <w:kern w:val="0"/>
          <w:sz w:val="32"/>
          <w:szCs w:val="32"/>
        </w:rPr>
        <w:t>完成农村公路养护</w:t>
      </w:r>
      <w:r>
        <w:rPr>
          <w:rFonts w:hint="eastAsia" w:ascii="仿宋" w:hAnsi="仿宋" w:eastAsia="仿宋" w:cs="仿宋"/>
          <w:sz w:val="32"/>
          <w:szCs w:val="32"/>
        </w:rPr>
        <w:t>项目资金</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万元，办理结算资金</w:t>
      </w:r>
      <w:r>
        <w:rPr>
          <w:rStyle w:val="63"/>
          <w:rFonts w:hint="eastAsia" w:ascii="仿宋" w:hAnsi="仿宋" w:eastAsia="仿宋" w:cs="仿宋"/>
          <w:sz w:val="32"/>
          <w:szCs w:val="32"/>
          <w:lang w:val="zh-CN"/>
        </w:rPr>
        <w:t>5</w:t>
      </w:r>
      <w:r>
        <w:rPr>
          <w:rStyle w:val="63"/>
          <w:rFonts w:hint="eastAsia" w:ascii="仿宋" w:hAnsi="仿宋" w:eastAsia="仿宋" w:cs="仿宋"/>
          <w:sz w:val="32"/>
          <w:szCs w:val="32"/>
        </w:rPr>
        <w:t>0</w:t>
      </w:r>
      <w:r>
        <w:rPr>
          <w:rStyle w:val="63"/>
          <w:rFonts w:hint="eastAsia" w:ascii="仿宋" w:hAnsi="仿宋" w:eastAsia="仿宋" w:cs="仿宋"/>
          <w:sz w:val="32"/>
          <w:szCs w:val="32"/>
          <w:lang w:val="zh-CN"/>
        </w:rPr>
        <w:t>.</w:t>
      </w:r>
      <w:r>
        <w:rPr>
          <w:rStyle w:val="63"/>
          <w:rFonts w:hint="eastAsia" w:ascii="仿宋" w:hAnsi="仿宋" w:eastAsia="仿宋" w:cs="仿宋"/>
          <w:sz w:val="32"/>
          <w:szCs w:val="32"/>
        </w:rPr>
        <w:t>4000</w:t>
      </w:r>
      <w:r>
        <w:rPr>
          <w:rFonts w:hint="eastAsia" w:ascii="仿宋" w:hAnsi="仿宋" w:eastAsia="仿宋" w:cs="仿宋"/>
          <w:sz w:val="32"/>
          <w:szCs w:val="32"/>
          <w:lang w:val="zh-CN"/>
        </w:rPr>
        <w:t>万元，</w:t>
      </w:r>
      <w:r>
        <w:rPr>
          <w:rFonts w:hint="eastAsia" w:ascii="仿宋" w:hAnsi="仿宋" w:eastAsia="仿宋" w:cs="仿宋"/>
          <w:kern w:val="0"/>
          <w:sz w:val="32"/>
          <w:szCs w:val="32"/>
        </w:rPr>
        <w:t>完成率100%。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社会效益指标：</w:t>
      </w:r>
      <w:r>
        <w:rPr>
          <w:rFonts w:hint="eastAsia" w:ascii="仿宋" w:hAnsi="仿宋" w:eastAsia="仿宋" w:cs="仿宋"/>
          <w:sz w:val="32"/>
          <w:szCs w:val="32"/>
        </w:rPr>
        <w:t>坚持公路养护管理为社会服务的公益性，确保公路正常通行，提高公路服务水平</w:t>
      </w:r>
      <w:r>
        <w:rPr>
          <w:rFonts w:hint="eastAsia" w:ascii="仿宋" w:hAnsi="仿宋" w:eastAsia="仿宋" w:cs="仿宋"/>
          <w:kern w:val="0"/>
          <w:sz w:val="32"/>
          <w:szCs w:val="32"/>
        </w:rPr>
        <w:t>，满足公众出行需求，完成率100%。</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生态效益指标：持续推进交通运输生态文明建设和环境保护工作，完成率100%。</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可持续影响指标：</w:t>
      </w:r>
      <w:r>
        <w:rPr>
          <w:rFonts w:hint="eastAsia" w:ascii="仿宋" w:hAnsi="仿宋" w:eastAsia="仿宋" w:cs="仿宋"/>
          <w:sz w:val="32"/>
          <w:szCs w:val="32"/>
        </w:rPr>
        <w:t>提升公路通行能力，</w:t>
      </w:r>
      <w:r>
        <w:rPr>
          <w:rFonts w:hint="eastAsia" w:ascii="仿宋" w:hAnsi="仿宋" w:eastAsia="仿宋" w:cs="仿宋"/>
          <w:kern w:val="0"/>
          <w:sz w:val="32"/>
          <w:szCs w:val="32"/>
        </w:rPr>
        <w:t>完成率100%。</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kern w:val="0"/>
          <w:sz w:val="32"/>
          <w:szCs w:val="32"/>
        </w:rPr>
        <w:t>满意度指标：社会公众认可或预期服务对象受益，完成率100%。</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640" w:firstLineChars="200"/>
        <w:rPr>
          <w:rFonts w:hint="eastAsia" w:ascii="仿宋" w:hAnsi="仿宋" w:eastAsia="仿宋" w:cs="仿宋"/>
          <w:sz w:val="32"/>
          <w:szCs w:val="32"/>
          <w:bdr w:val="single" w:color="auto" w:sz="4" w:space="0"/>
          <w:lang w:val="zh-CN"/>
        </w:rPr>
      </w:pPr>
      <w:r>
        <w:rPr>
          <w:rFonts w:hint="eastAsia" w:ascii="仿宋" w:hAnsi="仿宋" w:eastAsia="仿宋" w:cs="仿宋"/>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hint="eastAsia" w:ascii="仿宋" w:hAnsi="仿宋" w:eastAsia="仿宋" w:cs="仿宋"/>
          <w:kern w:val="0"/>
          <w:sz w:val="32"/>
          <w:szCs w:val="32"/>
        </w:rPr>
      </w:pPr>
      <w:r>
        <w:rPr>
          <w:rFonts w:hint="eastAsia" w:ascii="仿宋" w:hAnsi="仿宋" w:eastAsia="仿宋" w:cs="仿宋"/>
          <w:kern w:val="0"/>
          <w:sz w:val="32"/>
          <w:szCs w:val="32"/>
        </w:rPr>
        <w:t>各单位均能按照2024年度的安排部署认真开展各项工作，并对绩效考核存在的问题及时进行整改落实，较好地完成了各项工作目标。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sz w:val="32"/>
          <w:szCs w:val="32"/>
        </w:rPr>
        <w:t>严格落实省、市、县三级公共财政资金投入农村公路日常养护。市、县两级财政要将农村公路建设、管理、养护资金纳入年度预算予以保障。</w:t>
      </w:r>
    </w:p>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38"/>
        <w:spacing w:line="600" w:lineRule="exact"/>
        <w:ind w:firstLine="640"/>
        <w:jc w:val="center"/>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（农村公路管护）</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color w:val="000000"/>
          <w:sz w:val="32"/>
          <w:szCs w:val="32"/>
        </w:rPr>
        <w:t>抓实抓细交通建设项目监督管理，加强源头管控，压实安全生产责任，强化项目施工现场生态环境保护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常态化开展公路管养，强化考核评价，注重公路养护质量，促进全市普通公路建管养运协调发展</w:t>
      </w:r>
      <w:r>
        <w:rPr>
          <w:rFonts w:hint="eastAsia" w:ascii="仿宋" w:hAnsi="仿宋" w:eastAsia="仿宋" w:cs="仿宋"/>
          <w:color w:val="000000"/>
          <w:sz w:val="32"/>
          <w:szCs w:val="32"/>
          <w:lang w:eastAsia="zh-CN"/>
        </w:rPr>
        <w:t>。</w:t>
      </w:r>
    </w:p>
    <w:p>
      <w:pPr>
        <w:numPr>
          <w:ilvl w:val="0"/>
          <w:numId w:val="9"/>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lang w:val="zh-CN"/>
        </w:rPr>
        <w:t>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根据预算年度工作目标和工作计划提出真实、详细的下年度预算申请。</w:t>
      </w: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对</w:t>
      </w:r>
      <w:r>
        <w:rPr>
          <w:rFonts w:hint="eastAsia" w:ascii="仿宋" w:hAnsi="仿宋" w:eastAsia="仿宋" w:cs="仿宋"/>
          <w:color w:val="auto"/>
          <w:sz w:val="32"/>
          <w:szCs w:val="32"/>
          <w:highlight w:val="none"/>
          <w:shd w:val="clear" w:color="auto" w:fill="FFFFFF"/>
        </w:rPr>
        <w:t>各科</w:t>
      </w:r>
      <w:r>
        <w:rPr>
          <w:rFonts w:hint="eastAsia" w:ascii="仿宋" w:hAnsi="仿宋" w:eastAsia="仿宋" w:cs="仿宋"/>
          <w:color w:val="auto"/>
          <w:sz w:val="32"/>
          <w:szCs w:val="32"/>
          <w:highlight w:val="none"/>
          <w:shd w:val="clear" w:color="auto" w:fill="FFFFFF"/>
          <w:lang w:val="zh-CN"/>
        </w:rPr>
        <w:t>室的下年度预算申请进行初审与协调，对各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申请的专项经费逐项进行比对与论证，结合</w:t>
      </w:r>
      <w:r>
        <w:rPr>
          <w:rFonts w:hint="eastAsia" w:ascii="仿宋" w:hAnsi="仿宋" w:eastAsia="仿宋" w:cs="仿宋"/>
          <w:color w:val="auto"/>
          <w:sz w:val="32"/>
          <w:szCs w:val="32"/>
          <w:highlight w:val="none"/>
          <w:shd w:val="clear" w:color="auto" w:fill="FFFFFF"/>
        </w:rPr>
        <w:t>财力及</w:t>
      </w:r>
      <w:r>
        <w:rPr>
          <w:rFonts w:hint="eastAsia" w:ascii="仿宋" w:hAnsi="仿宋" w:eastAsia="仿宋" w:cs="仿宋"/>
          <w:color w:val="auto"/>
          <w:sz w:val="32"/>
          <w:szCs w:val="32"/>
          <w:highlight w:val="none"/>
          <w:shd w:val="clear" w:color="auto" w:fill="FFFFFF"/>
          <w:lang w:val="zh-CN"/>
        </w:rPr>
        <w:t>本局</w:t>
      </w:r>
      <w:r>
        <w:rPr>
          <w:rFonts w:hint="eastAsia" w:ascii="仿宋" w:hAnsi="仿宋" w:eastAsia="仿宋" w:cs="仿宋"/>
          <w:color w:val="auto"/>
          <w:sz w:val="32"/>
          <w:szCs w:val="32"/>
          <w:highlight w:val="none"/>
          <w:shd w:val="clear" w:color="auto" w:fill="FFFFFF"/>
        </w:rPr>
        <w:t>实际</w:t>
      </w:r>
      <w:r>
        <w:rPr>
          <w:rFonts w:hint="eastAsia" w:ascii="仿宋" w:hAnsi="仿宋" w:eastAsia="仿宋" w:cs="仿宋"/>
          <w:color w:val="auto"/>
          <w:sz w:val="32"/>
          <w:szCs w:val="32"/>
          <w:highlight w:val="none"/>
          <w:shd w:val="clear" w:color="auto" w:fill="FFFFFF"/>
          <w:lang w:val="zh-CN"/>
        </w:rPr>
        <w:t>，根据项目的轻重缓急，提出支出项目预算建议数。</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rPr>
        <w:t>严格按照预算要求及《攀枝花市级财政交通专项资金管理办法》管理和使用资金，确保资金专款专用</w:t>
      </w:r>
      <w:r>
        <w:rPr>
          <w:rFonts w:hint="eastAsia" w:ascii="仿宋" w:hAnsi="仿宋" w:eastAsia="仿宋" w:cs="仿宋"/>
          <w:color w:val="auto"/>
          <w:sz w:val="32"/>
          <w:szCs w:val="32"/>
          <w:highlight w:val="none"/>
          <w:shd w:val="clear" w:color="auto" w:fill="FFFFFF"/>
          <w:lang w:eastAsia="zh-CN"/>
        </w:rPr>
        <w:t>。</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根据</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财政下达的预算控制数和局预算年度的收支预测，在收支平衡的基础上，编制</w:t>
      </w:r>
      <w:r>
        <w:rPr>
          <w:rFonts w:hint="eastAsia" w:ascii="仿宋" w:hAnsi="仿宋" w:eastAsia="仿宋" w:cs="仿宋"/>
          <w:color w:val="auto"/>
          <w:sz w:val="32"/>
          <w:szCs w:val="32"/>
          <w:highlight w:val="none"/>
          <w:shd w:val="clear" w:color="auto" w:fill="FFFFFF"/>
        </w:rPr>
        <w:t>单位</w:t>
      </w:r>
      <w:r>
        <w:rPr>
          <w:rFonts w:hint="eastAsia" w:ascii="仿宋" w:hAnsi="仿宋" w:eastAsia="仿宋" w:cs="仿宋"/>
          <w:color w:val="auto"/>
          <w:sz w:val="32"/>
          <w:szCs w:val="32"/>
          <w:highlight w:val="none"/>
          <w:shd w:val="clear" w:color="auto" w:fill="FFFFFF"/>
          <w:lang w:val="zh-CN"/>
        </w:rPr>
        <w:t>下一年度预算草案，形成预算建议数，经</w:t>
      </w:r>
      <w:r>
        <w:rPr>
          <w:rFonts w:hint="eastAsia" w:ascii="仿宋" w:hAnsi="仿宋" w:eastAsia="仿宋" w:cs="仿宋"/>
          <w:color w:val="auto"/>
          <w:sz w:val="32"/>
          <w:szCs w:val="32"/>
          <w:highlight w:val="none"/>
          <w:shd w:val="clear" w:color="auto" w:fill="FFFFFF"/>
        </w:rPr>
        <w:t>集体</w:t>
      </w:r>
      <w:r>
        <w:rPr>
          <w:rFonts w:hint="eastAsia" w:ascii="仿宋" w:hAnsi="仿宋" w:eastAsia="仿宋" w:cs="仿宋"/>
          <w:color w:val="auto"/>
          <w:sz w:val="32"/>
          <w:szCs w:val="32"/>
          <w:highlight w:val="none"/>
          <w:shd w:val="clear" w:color="auto" w:fill="FFFFFF"/>
          <w:lang w:val="zh-CN"/>
        </w:rPr>
        <w:t>讨论后上报</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财政局。</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color w:val="000000"/>
          <w:sz w:val="32"/>
          <w:szCs w:val="32"/>
          <w:lang w:val="zh-CN"/>
        </w:rPr>
      </w:pPr>
      <w:r>
        <w:rPr>
          <w:rFonts w:hint="eastAsia" w:ascii="仿宋" w:hAnsi="仿宋" w:eastAsia="仿宋" w:cs="仿宋"/>
          <w:sz w:val="32"/>
          <w:szCs w:val="32"/>
          <w:lang w:val="zh-CN"/>
        </w:rPr>
        <w:t>为推进攀枝花市农村公路高质量发展，改善农村交通条件，促进农民增收，助力脱贫攻坚，提升群众幸福感，继续全力打造好“四好农村路”。用于农村公路日常养护经费、农村</w:t>
      </w:r>
      <w:r>
        <w:rPr>
          <w:rFonts w:hint="eastAsia" w:ascii="仿宋" w:hAnsi="仿宋" w:eastAsia="仿宋" w:cs="仿宋"/>
          <w:color w:val="000000"/>
          <w:sz w:val="32"/>
          <w:szCs w:val="32"/>
          <w:lang w:val="zh-CN"/>
        </w:rPr>
        <w:t>公路PQI自动化检测经费、农村公路试验抽检。</w:t>
      </w:r>
    </w:p>
    <w:p>
      <w:pPr>
        <w:numPr>
          <w:ilvl w:val="0"/>
          <w:numId w:val="8"/>
        </w:numPr>
        <w:adjustRightInd w:val="0"/>
        <w:snapToGrid w:val="0"/>
        <w:spacing w:line="600" w:lineRule="exact"/>
        <w:ind w:firstLine="7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项目应实现的具体绩效目标，包括目标的量化、细化情况以及项目实施进度计划等。</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数量指标：共计一个项目，完成率</w:t>
      </w:r>
      <w:r>
        <w:rPr>
          <w:rFonts w:hint="eastAsia" w:ascii="仿宋" w:hAnsi="仿宋" w:eastAsia="仿宋" w:cs="仿宋"/>
          <w:sz w:val="32"/>
          <w:szCs w:val="32"/>
          <w:lang w:val="en-US" w:eastAsia="zh-CN"/>
        </w:rPr>
        <w:t>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质量指标：建设项目完成验收，工程质量合格率达到100%。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时效指标：工期按工完成，资金完成拨付。</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成本指标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安排市级养护工程资金91万元</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效益指标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社会效益指标：</w:t>
      </w:r>
      <w:r>
        <w:rPr>
          <w:rFonts w:hint="eastAsia" w:ascii="仿宋" w:hAnsi="仿宋" w:eastAsia="仿宋" w:cs="仿宋"/>
          <w:sz w:val="32"/>
          <w:szCs w:val="32"/>
          <w:lang w:val="en-US" w:eastAsia="zh-CN"/>
        </w:rPr>
        <w:t>为推进攀枝花市农村公路高质量发展，改善农村交通条件，促进农民增收，助力脱贫攻坚，提升群众幸福感</w:t>
      </w:r>
      <w:r>
        <w:rPr>
          <w:rFonts w:hint="eastAsia" w:ascii="仿宋" w:hAnsi="仿宋" w:eastAsia="仿宋" w:cs="仿宋"/>
          <w:sz w:val="32"/>
          <w:szCs w:val="32"/>
          <w:lang w:val="zh-CN" w:eastAsia="zh-CN"/>
        </w:rPr>
        <w:t>。</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满意度指标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服务对象满意度指标：社会对象满意度</w:t>
      </w:r>
      <w:r>
        <w:rPr>
          <w:rFonts w:hint="eastAsia" w:ascii="仿宋" w:hAnsi="仿宋" w:eastAsia="仿宋" w:cs="仿宋"/>
          <w:sz w:val="32"/>
          <w:szCs w:val="32"/>
          <w:lang w:val="en-US" w:eastAsia="zh-CN"/>
        </w:rPr>
        <w:t>85%以上。</w:t>
      </w:r>
    </w:p>
    <w:p>
      <w:pPr>
        <w:numPr>
          <w:ilvl w:val="0"/>
          <w:numId w:val="10"/>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结合项目202</w:t>
      </w:r>
      <w:r>
        <w:rPr>
          <w:rFonts w:hint="eastAsia" w:ascii="仿宋" w:hAnsi="仿宋" w:eastAsia="仿宋" w:cs="仿宋"/>
          <w:sz w:val="32"/>
          <w:szCs w:val="32"/>
          <w:lang w:val="en-US" w:eastAsia="zh-CN"/>
        </w:rPr>
        <w:t>4</w:t>
      </w:r>
      <w:r>
        <w:rPr>
          <w:rFonts w:hint="eastAsia" w:ascii="仿宋" w:hAnsi="仿宋" w:eastAsia="仿宋" w:cs="仿宋"/>
          <w:sz w:val="32"/>
          <w:szCs w:val="32"/>
        </w:rPr>
        <w:t>年实际需求、相关费用标准及市场价格水平，重点对数量是否合理、投入是否经济、预算测算是否准确、测算过程是否详细、测算依据是否充分等方面进行了评估。评估认为，该项目任务数量基本合理、预算测算过程较为详细、测算依据基本充分、有一定的经济性。</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eastAsia="zh-CN"/>
        </w:rPr>
      </w:pPr>
      <w:r>
        <w:rPr>
          <w:rFonts w:hint="eastAsia" w:ascii="仿宋" w:hAnsi="仿宋" w:eastAsia="仿宋" w:cs="仿宋"/>
          <w:sz w:val="32"/>
          <w:szCs w:val="32"/>
        </w:rPr>
        <w:t>结合项目实际需求、</w:t>
      </w:r>
      <w:r>
        <w:rPr>
          <w:rFonts w:hint="eastAsia" w:ascii="仿宋" w:hAnsi="仿宋" w:eastAsia="仿宋" w:cs="仿宋"/>
          <w:sz w:val="32"/>
          <w:szCs w:val="32"/>
          <w:lang w:eastAsia="zh-CN"/>
        </w:rPr>
        <w:t>完工验收情况等开展自评。</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numPr>
          <w:ilvl w:val="0"/>
          <w:numId w:val="0"/>
        </w:numPr>
        <w:adjustRightInd w:val="0"/>
        <w:snapToGrid w:val="0"/>
        <w:spacing w:line="578"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项目设立按固定履行评估论证、申报程序。绩效目标设置于计划期内的任务量、预算安排的资金量基本匹配，绩效目标设置基本科学合理、规范完成。预算项目在规定时间内完成项目入库。</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zh-CN" w:eastAsia="zh-CN"/>
        </w:rPr>
      </w:pPr>
      <w:r>
        <w:rPr>
          <w:rFonts w:hint="eastAsia" w:ascii="仿宋" w:hAnsi="仿宋" w:eastAsia="仿宋" w:cs="仿宋"/>
          <w:sz w:val="32"/>
          <w:szCs w:val="32"/>
          <w:lang w:val="zh-CN"/>
        </w:rPr>
        <w:t>1．资金计划。</w:t>
      </w:r>
      <w:r>
        <w:rPr>
          <w:rFonts w:hint="eastAsia" w:ascii="仿宋" w:hAnsi="仿宋" w:eastAsia="仿宋" w:cs="仿宋"/>
          <w:color w:val="000000"/>
          <w:kern w:val="0"/>
          <w:sz w:val="32"/>
          <w:szCs w:val="32"/>
          <w:shd w:val="clear" w:color="auto" w:fill="FFFFFF"/>
          <w:lang w:val="zh-CN" w:eastAsia="zh-CN"/>
        </w:rPr>
        <w:t>该项目资金计划</w:t>
      </w:r>
      <w:r>
        <w:rPr>
          <w:rFonts w:hint="eastAsia" w:ascii="仿宋" w:hAnsi="仿宋" w:eastAsia="仿宋" w:cs="仿宋"/>
          <w:color w:val="000000"/>
          <w:kern w:val="0"/>
          <w:sz w:val="32"/>
          <w:szCs w:val="32"/>
          <w:shd w:val="clear" w:color="auto" w:fill="FFFFFF"/>
          <w:lang w:val="en-US" w:eastAsia="zh-CN"/>
        </w:rPr>
        <w:t>91万元，</w:t>
      </w:r>
      <w:r>
        <w:rPr>
          <w:rFonts w:hint="eastAsia" w:ascii="仿宋" w:hAnsi="仿宋" w:eastAsia="仿宋" w:cs="仿宋"/>
          <w:color w:val="000000"/>
          <w:kern w:val="0"/>
          <w:sz w:val="32"/>
          <w:szCs w:val="32"/>
          <w:shd w:val="clear" w:color="auto" w:fill="FFFFFF"/>
          <w:lang w:val="zh-CN" w:eastAsia="zh-CN"/>
        </w:rPr>
        <w:t>属于市级一般公共预算资金。</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2．资金到位。</w:t>
      </w:r>
      <w:r>
        <w:rPr>
          <w:rFonts w:hint="eastAsia" w:ascii="仿宋" w:hAnsi="仿宋" w:eastAsia="仿宋" w:cs="仿宋"/>
          <w:color w:val="000000"/>
          <w:kern w:val="0"/>
          <w:sz w:val="32"/>
          <w:szCs w:val="32"/>
          <w:shd w:val="clear" w:color="auto" w:fill="FFFFFF"/>
          <w:lang w:val="zh-CN" w:eastAsia="zh-CN"/>
        </w:rPr>
        <w:t>该项目资金实际到位</w:t>
      </w:r>
      <w:r>
        <w:rPr>
          <w:rFonts w:hint="eastAsia" w:ascii="仿宋" w:hAnsi="仿宋" w:eastAsia="仿宋" w:cs="仿宋"/>
          <w:color w:val="000000"/>
          <w:kern w:val="0"/>
          <w:sz w:val="32"/>
          <w:szCs w:val="32"/>
          <w:shd w:val="clear" w:color="auto" w:fill="FFFFFF"/>
          <w:lang w:val="en-US" w:eastAsia="zh-CN"/>
        </w:rPr>
        <w:t>91万元。</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zh-CN"/>
        </w:rPr>
        <w:t>3．资金使用。</w:t>
      </w:r>
      <w:r>
        <w:rPr>
          <w:rFonts w:hint="eastAsia" w:ascii="仿宋" w:hAnsi="仿宋" w:eastAsia="仿宋" w:cs="仿宋"/>
          <w:color w:val="000000"/>
          <w:kern w:val="0"/>
          <w:sz w:val="32"/>
          <w:szCs w:val="32"/>
          <w:shd w:val="clear" w:color="auto" w:fill="FFFFFF"/>
          <w:lang w:val="zh-CN" w:eastAsia="zh-CN"/>
        </w:rPr>
        <w:t>该项目资金实际支付</w:t>
      </w:r>
      <w:r>
        <w:rPr>
          <w:rFonts w:hint="eastAsia" w:ascii="仿宋" w:hAnsi="仿宋" w:eastAsia="仿宋" w:cs="仿宋"/>
          <w:color w:val="000000"/>
          <w:kern w:val="0"/>
          <w:sz w:val="32"/>
          <w:szCs w:val="32"/>
          <w:shd w:val="clear" w:color="auto" w:fill="FFFFFF"/>
          <w:lang w:val="en-US" w:eastAsia="zh-CN"/>
        </w:rPr>
        <w:t>91万元，</w:t>
      </w:r>
      <w:r>
        <w:rPr>
          <w:rFonts w:hint="eastAsia" w:ascii="仿宋" w:hAnsi="仿宋" w:eastAsia="仿宋" w:cs="仿宋"/>
          <w:color w:val="000000"/>
          <w:kern w:val="0"/>
          <w:sz w:val="32"/>
          <w:szCs w:val="32"/>
          <w:shd w:val="clear" w:color="auto" w:fill="FFFFFF"/>
          <w:lang w:val="zh-CN" w:eastAsia="zh-CN"/>
        </w:rPr>
        <w:t>支付标准、支付进度、支付依据合规合法、与预算相符，</w:t>
      </w:r>
      <w:r>
        <w:rPr>
          <w:rFonts w:hint="eastAsia" w:ascii="仿宋" w:hAnsi="仿宋" w:eastAsia="仿宋" w:cs="仿宋"/>
          <w:color w:val="000000"/>
          <w:kern w:val="0"/>
          <w:sz w:val="32"/>
          <w:szCs w:val="32"/>
          <w:shd w:val="clear" w:color="auto" w:fill="FFFFFF"/>
          <w:lang w:val="en-US" w:eastAsia="zh-CN"/>
        </w:rPr>
        <w:t>完成率100%。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numPr>
          <w:ilvl w:val="0"/>
          <w:numId w:val="12"/>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项目组织架构及实施流程。</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SA"/>
        </w:rPr>
        <w:t>符合农村公路建设标准符合农村公路建设标准，达到四好农村路</w:t>
      </w:r>
      <w:r>
        <w:rPr>
          <w:rFonts w:hint="eastAsia" w:ascii="仿宋" w:hAnsi="仿宋" w:eastAsia="仿宋" w:cs="仿宋"/>
          <w:sz w:val="32"/>
          <w:szCs w:val="32"/>
          <w:lang w:val="zh-CN" w:eastAsia="zh-CN"/>
        </w:rPr>
        <w:t>省级示范县评定标准和示范乡镇评定标准。</w:t>
      </w:r>
    </w:p>
    <w:p>
      <w:pPr>
        <w:numPr>
          <w:ilvl w:val="0"/>
          <w:numId w:val="0"/>
        </w:numPr>
        <w:adjustRightInd w:val="0"/>
        <w:snapToGri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（二）项目管理情况。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项目实施遵守相关法律法规；项目调整手续完备；项目合同、验收报告、技术鉴定等资料齐全并及时归档；项目实施的人员条件、场地设备、信息支撑等落实到位</w:t>
      </w:r>
    </w:p>
    <w:p>
      <w:pPr>
        <w:numPr>
          <w:ilvl w:val="0"/>
          <w:numId w:val="12"/>
        </w:numPr>
        <w:adjustRightInd w:val="0"/>
        <w:snapToGrid w:val="0"/>
        <w:spacing w:line="600" w:lineRule="exact"/>
        <w:ind w:left="0" w:leftChars="0" w:firstLine="720"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项目监管情况。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项目工期按时完成验收通过，资金完成拨付，</w:t>
      </w:r>
      <w:r>
        <w:rPr>
          <w:rFonts w:hint="eastAsia" w:ascii="仿宋" w:hAnsi="仿宋" w:eastAsia="仿宋" w:cs="仿宋"/>
          <w:sz w:val="32"/>
          <w:szCs w:val="32"/>
          <w:lang w:val="en-US" w:eastAsia="zh-CN"/>
        </w:rPr>
        <w:t>工程质量合格率达到100%。</w:t>
      </w:r>
      <w:r>
        <w:rPr>
          <w:rFonts w:hint="eastAsia" w:ascii="仿宋" w:hAnsi="仿宋" w:eastAsia="仿宋" w:cs="仿宋"/>
          <w:sz w:val="32"/>
          <w:szCs w:val="32"/>
          <w:lang w:val="zh-CN"/>
        </w:rPr>
        <w:t>无资金结余情况，无违规记录，对照项目计划完成目标。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极大提升公路安全水平，提升人民出行便捷性及人民满意度。</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w:t>
      </w: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交通部门作为行政管理机构，专业技术人员有限，机电运行能力不足，也难以保障本工程庞大系统的长期稳定运行。因此，建议工程实施过程中，积极引导社会第三方力量的积极参与，统筹解决工程建设和运行问题。</w:t>
      </w:r>
    </w:p>
    <w:p>
      <w:pPr>
        <w:pStyle w:val="2"/>
        <w:rPr>
          <w:rFonts w:hint="eastAsia"/>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攀枝花机场油库改扩建项目</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供油设施改造后总库容为2000m3，属于四级油库。机场油库原有3座500m3立式拱顶储罐拆除，本期新建2座1000m3的立式航煤储油罐（拱顶储罐）、新建事故存液池及隔油池、消防水罐、油气回收装置、装卸油棚等，对原有生产值班用房、油车库、消防泵房及配电间等建筑物进行修葺。</w:t>
      </w:r>
      <w:r>
        <w:rPr>
          <w:rFonts w:hint="eastAsia" w:ascii="仿宋" w:hAnsi="仿宋" w:eastAsia="仿宋" w:cs="仿宋"/>
          <w:b w:val="0"/>
          <w:bCs/>
          <w:sz w:val="32"/>
          <w:szCs w:val="32"/>
          <w:lang w:val="zh-CN"/>
        </w:rPr>
        <w:t>项目</w:t>
      </w:r>
      <w:r>
        <w:rPr>
          <w:rFonts w:hint="eastAsia" w:ascii="仿宋" w:hAnsi="仿宋" w:eastAsia="仿宋" w:cs="仿宋"/>
          <w:sz w:val="32"/>
          <w:szCs w:val="32"/>
          <w:lang w:val="zh-CN"/>
        </w:rPr>
        <w:t>申报内容与具体实施内容相符、申报目标合理可行。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开展1个机场油库改扩建项目</w:t>
      </w:r>
      <w:r>
        <w:rPr>
          <w:rFonts w:hint="eastAsia" w:ascii="仿宋" w:hAnsi="仿宋" w:eastAsia="仿宋" w:cs="仿宋"/>
          <w:sz w:val="32"/>
          <w:szCs w:val="32"/>
          <w:lang w:val="zh-CN" w:eastAsia="zh-CN"/>
        </w:rPr>
        <w:t>。</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开展1个机场油库改扩建项目</w:t>
      </w:r>
      <w:r>
        <w:rPr>
          <w:rFonts w:hint="eastAsia" w:ascii="仿宋" w:hAnsi="仿宋" w:eastAsia="仿宋" w:cs="仿宋"/>
          <w:sz w:val="32"/>
          <w:szCs w:val="32"/>
          <w:lang w:val="zh-CN" w:eastAsia="zh-CN"/>
        </w:rPr>
        <w:t>。完成油库土地面积23224.8平方米。</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质量指标：工程质量优良。</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经济成本指标：财政补助成本110万元。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110万元。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年内完成了1个机场油库改扩建项目，</w:t>
      </w:r>
      <w:r>
        <w:rPr>
          <w:rFonts w:hint="eastAsia" w:ascii="仿宋" w:hAnsi="仿宋" w:eastAsia="仿宋" w:cs="仿宋"/>
          <w:sz w:val="32"/>
          <w:szCs w:val="32"/>
          <w:lang w:val="zh-CN" w:eastAsia="zh-CN"/>
        </w:rPr>
        <w:t>油库土地面积23224.8平方米，</w:t>
      </w:r>
      <w:r>
        <w:rPr>
          <w:rFonts w:hint="eastAsia" w:ascii="仿宋" w:hAnsi="仿宋" w:eastAsia="仿宋" w:cs="仿宋"/>
          <w:sz w:val="32"/>
          <w:szCs w:val="32"/>
          <w:lang w:val="en-US" w:eastAsia="zh-CN"/>
        </w:rPr>
        <w:t>工程质量优良，财政补助成本110万元及时到位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为机场供油及供油安全提供保障，服务对象满意度≥</w:t>
      </w:r>
      <w:r>
        <w:rPr>
          <w:rFonts w:hint="eastAsia" w:ascii="仿宋" w:hAnsi="仿宋" w:eastAsia="仿宋" w:cs="仿宋"/>
          <w:sz w:val="32"/>
          <w:szCs w:val="32"/>
          <w:lang w:val="en-US" w:eastAsia="zh-CN"/>
        </w:rPr>
        <w:t>85%，达到绩效目标。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p>
    <w:p>
      <w:pPr>
        <w:pStyle w:val="38"/>
        <w:spacing w:line="600" w:lineRule="exact"/>
        <w:jc w:val="center"/>
        <w:rPr>
          <w:rFonts w:hint="eastAsia" w:ascii="阿里巴巴普惠体 R" w:hAnsi="阿里巴巴普惠体 R" w:eastAsia="阿里巴巴普惠体 R" w:cs="阿里巴巴普惠体 R"/>
          <w:color w:val="auto"/>
          <w:kern w:val="2"/>
          <w:sz w:val="40"/>
          <w:szCs w:val="40"/>
        </w:rPr>
      </w:pPr>
      <w:r>
        <w:rPr>
          <w:rFonts w:hint="eastAsia" w:ascii="阿里巴巴普惠体 R" w:hAnsi="阿里巴巴普惠体 R" w:eastAsia="阿里巴巴普惠体 R" w:cs="阿里巴巴普惠体 R"/>
          <w:color w:val="auto"/>
          <w:kern w:val="2"/>
          <w:sz w:val="40"/>
          <w:szCs w:val="40"/>
        </w:rPr>
        <w:t>项目支出绩效自评</w:t>
      </w:r>
    </w:p>
    <w:p>
      <w:pPr>
        <w:pStyle w:val="38"/>
        <w:spacing w:line="600" w:lineRule="exact"/>
        <w:ind w:firstLine="883"/>
        <w:jc w:val="cente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（攀枝花机场站坪扩建和盲降系统工程）</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为适应地方航空市场迅速发展态势，更好地服务攀枝花市民，研究未来航空业务量增长潜力，加强现有基础设施薄弱环节建设。完成攀枝花机场站坪扩建和盲降系统工程市级配套资金拨付。</w:t>
      </w:r>
      <w:r>
        <w:rPr>
          <w:rFonts w:hint="eastAsia" w:ascii="仿宋" w:hAnsi="仿宋" w:eastAsia="仿宋" w:cs="仿宋"/>
          <w:b w:val="0"/>
          <w:bCs/>
          <w:sz w:val="32"/>
          <w:szCs w:val="32"/>
          <w:lang w:val="zh-CN"/>
        </w:rPr>
        <w:t>项目</w:t>
      </w:r>
      <w:r>
        <w:rPr>
          <w:rFonts w:hint="eastAsia" w:ascii="仿宋" w:hAnsi="仿宋" w:eastAsia="仿宋" w:cs="仿宋"/>
          <w:sz w:val="32"/>
          <w:szCs w:val="32"/>
          <w:lang w:val="zh-CN"/>
        </w:rPr>
        <w:t>申报内容与具体实施内容相符、申报目标合理可行。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完成相关工程数</w:t>
      </w:r>
      <w:r>
        <w:rPr>
          <w:rFonts w:hint="eastAsia" w:ascii="仿宋" w:hAnsi="仿宋" w:eastAsia="仿宋" w:cs="仿宋"/>
          <w:sz w:val="32"/>
          <w:szCs w:val="32"/>
          <w:lang w:val="en-US" w:eastAsia="zh-CN"/>
        </w:rPr>
        <w:t>2个</w:t>
      </w:r>
      <w:r>
        <w:rPr>
          <w:rFonts w:hint="eastAsia" w:ascii="仿宋" w:hAnsi="仿宋" w:eastAsia="仿宋" w:cs="仿宋"/>
          <w:sz w:val="32"/>
          <w:szCs w:val="32"/>
          <w:lang w:val="zh-CN" w:eastAsia="zh-CN"/>
        </w:rPr>
        <w:t>。</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完成</w:t>
      </w:r>
      <w:r>
        <w:rPr>
          <w:rFonts w:hint="eastAsia" w:ascii="仿宋" w:hAnsi="仿宋" w:eastAsia="仿宋" w:cs="仿宋"/>
          <w:color w:val="auto"/>
          <w:kern w:val="2"/>
          <w:sz w:val="32"/>
          <w:szCs w:val="32"/>
        </w:rPr>
        <w:t>机场站坪扩建和盲降系统工程</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质量指标：工程质量优良。</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经济成本指标：财政补助成本1200.49万元。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1200.49万元。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年内完成</w:t>
      </w:r>
      <w:r>
        <w:rPr>
          <w:rFonts w:hint="eastAsia" w:ascii="仿宋" w:hAnsi="仿宋" w:eastAsia="仿宋" w:cs="仿宋"/>
          <w:color w:val="auto"/>
          <w:kern w:val="2"/>
          <w:sz w:val="32"/>
          <w:szCs w:val="32"/>
        </w:rPr>
        <w:t>机场站坪扩建和盲降系统工程</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工程质量优良，财政补助成本1200.49万元及时到位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提升攀枝花机场服务水平，促进地方经济发展，服务对象满意度≥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普通公路及其附属设施养护维修</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完成既定养护维修任务，确保通行安全。</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完成既定养护维修任务，确保通行安全。</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数量指标：完成</w:t>
      </w:r>
      <w:r>
        <w:rPr>
          <w:rFonts w:hint="eastAsia" w:ascii="仿宋" w:hAnsi="仿宋" w:eastAsia="仿宋" w:cs="仿宋"/>
          <w:color w:val="auto"/>
          <w:kern w:val="2"/>
          <w:sz w:val="32"/>
          <w:szCs w:val="32"/>
        </w:rPr>
        <w:t>普通公路及其附属设施养护维修</w:t>
      </w:r>
      <w:r>
        <w:rPr>
          <w:rFonts w:hint="eastAsia" w:ascii="仿宋" w:hAnsi="仿宋" w:eastAsia="仿宋" w:cs="仿宋"/>
          <w:sz w:val="32"/>
          <w:szCs w:val="32"/>
          <w:lang w:val="zh-CN"/>
        </w:rPr>
        <w:t>项目</w:t>
      </w:r>
      <w:r>
        <w:rPr>
          <w:rFonts w:hint="eastAsia" w:ascii="仿宋" w:hAnsi="仿宋" w:eastAsia="仿宋" w:cs="仿宋"/>
          <w:sz w:val="32"/>
          <w:szCs w:val="32"/>
          <w:lang w:val="en-US" w:eastAsia="zh-CN"/>
        </w:rPr>
        <w:t>10个。</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质量指标：工程质量优良。</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经济成本指标：财政补助成本660.76万元。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660.76万元。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年内完成</w:t>
      </w:r>
      <w:r>
        <w:rPr>
          <w:rFonts w:hint="eastAsia" w:ascii="仿宋" w:hAnsi="仿宋" w:eastAsia="仿宋" w:cs="仿宋"/>
          <w:sz w:val="32"/>
          <w:szCs w:val="32"/>
          <w:lang w:val="en-US" w:eastAsia="zh-CN"/>
        </w:rPr>
        <w:t>完成</w:t>
      </w:r>
      <w:r>
        <w:rPr>
          <w:rFonts w:hint="eastAsia" w:ascii="仿宋" w:hAnsi="仿宋" w:eastAsia="仿宋" w:cs="仿宋"/>
          <w:color w:val="auto"/>
          <w:kern w:val="2"/>
          <w:sz w:val="32"/>
          <w:szCs w:val="32"/>
        </w:rPr>
        <w:t>普通公路及其附属设施养护维修</w:t>
      </w:r>
      <w:r>
        <w:rPr>
          <w:rFonts w:hint="eastAsia" w:ascii="仿宋" w:hAnsi="仿宋" w:eastAsia="仿宋" w:cs="仿宋"/>
          <w:sz w:val="32"/>
          <w:szCs w:val="32"/>
          <w:lang w:val="zh-CN"/>
        </w:rPr>
        <w:t>项目</w:t>
      </w:r>
      <w:r>
        <w:rPr>
          <w:rFonts w:hint="eastAsia" w:ascii="仿宋" w:hAnsi="仿宋" w:eastAsia="仿宋" w:cs="仿宋"/>
          <w:sz w:val="32"/>
          <w:szCs w:val="32"/>
          <w:lang w:val="en-US" w:eastAsia="zh-CN"/>
        </w:rPr>
        <w:t>10个</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工程质量优良，财政补助成本660.76万元及时到位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提升公路安全水平，促进地方经济发展，服务对象满意度≥</w:t>
      </w:r>
      <w:r>
        <w:rPr>
          <w:rFonts w:hint="eastAsia" w:ascii="仿宋" w:hAnsi="仿宋" w:eastAsia="仿宋" w:cs="仿宋"/>
          <w:sz w:val="32"/>
          <w:szCs w:val="32"/>
          <w:lang w:val="en-US" w:eastAsia="zh-CN"/>
        </w:rPr>
        <w:t>80%，达到绩效目标。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省级交通专项资金</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开展普通国省道养护，提高公路寿命。</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开展普通国省道养护，提高公路寿命</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数量指标：完成</w:t>
      </w:r>
      <w:r>
        <w:rPr>
          <w:rFonts w:hint="eastAsia" w:ascii="仿宋" w:hAnsi="仿宋" w:eastAsia="仿宋" w:cs="仿宋"/>
          <w:sz w:val="32"/>
          <w:szCs w:val="32"/>
          <w:lang w:val="zh-CN"/>
        </w:rPr>
        <w:t>国省干线养护公路里程</w:t>
      </w:r>
      <w:r>
        <w:rPr>
          <w:rFonts w:hint="eastAsia" w:ascii="仿宋" w:hAnsi="仿宋" w:eastAsia="仿宋" w:cs="仿宋"/>
          <w:sz w:val="32"/>
          <w:szCs w:val="32"/>
          <w:lang w:val="en-US" w:eastAsia="zh-CN"/>
        </w:rPr>
        <w:t>36.74公里。</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质量指标：完工项目验收合格率100%</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经济成本指标：财政补助成本1049.19万元。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1049.19万元。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年内</w:t>
      </w:r>
      <w:r>
        <w:rPr>
          <w:rFonts w:hint="eastAsia" w:ascii="仿宋" w:hAnsi="仿宋" w:eastAsia="仿宋" w:cs="仿宋"/>
          <w:sz w:val="32"/>
          <w:szCs w:val="32"/>
          <w:lang w:val="en-US" w:eastAsia="zh-CN"/>
        </w:rPr>
        <w:t>完成</w:t>
      </w:r>
      <w:r>
        <w:rPr>
          <w:rFonts w:hint="eastAsia" w:ascii="仿宋" w:hAnsi="仿宋" w:eastAsia="仿宋" w:cs="仿宋"/>
          <w:sz w:val="32"/>
          <w:szCs w:val="32"/>
          <w:lang w:val="zh-CN"/>
        </w:rPr>
        <w:t>国省干线养护公路里程</w:t>
      </w:r>
      <w:r>
        <w:rPr>
          <w:rFonts w:hint="eastAsia" w:ascii="仿宋" w:hAnsi="仿宋" w:eastAsia="仿宋" w:cs="仿宋"/>
          <w:sz w:val="32"/>
          <w:szCs w:val="32"/>
          <w:lang w:val="en-US" w:eastAsia="zh-CN"/>
        </w:rPr>
        <w:t>36.74公里</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完工项目验收合格率100%，财政补助成本1049.19万元及时到位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促进经济发展，提升公路安全水平，服务对象满意度≥</w:t>
      </w:r>
      <w:r>
        <w:rPr>
          <w:rFonts w:hint="eastAsia" w:ascii="仿宋" w:hAnsi="仿宋" w:eastAsia="仿宋" w:cs="仿宋"/>
          <w:sz w:val="32"/>
          <w:szCs w:val="32"/>
          <w:lang w:val="en-US" w:eastAsia="zh-CN"/>
        </w:rPr>
        <w:t>80%，达到绩效目标。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2"/>
        <w:rPr>
          <w:rFonts w:hint="eastAsia" w:ascii="仿宋" w:hAnsi="仿宋" w:eastAsia="仿宋" w:cs="仿宋"/>
          <w:sz w:val="32"/>
          <w:szCs w:val="32"/>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乌东德航道整治工程</w:t>
      </w:r>
      <w:r>
        <w:rPr>
          <w:rFonts w:ascii="Times New Roman" w:hAnsi="Times New Roman" w:eastAsia="仿宋_GB2312"/>
          <w:color w:val="auto"/>
          <w:kern w:val="2"/>
          <w:sz w:val="32"/>
          <w:szCs w:val="32"/>
        </w:rPr>
        <w:t>）</w:t>
      </w:r>
    </w:p>
    <w:p>
      <w:pPr>
        <w:pStyle w:val="38"/>
        <w:spacing w:line="600" w:lineRule="exact"/>
        <w:ind w:firstLine="640"/>
        <w:jc w:val="center"/>
        <w:rPr>
          <w:rFonts w:hint="eastAsia" w:ascii="仿宋" w:hAnsi="仿宋" w:eastAsia="仿宋" w:cs="仿宋"/>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完成乌东德航道整治工程</w:t>
      </w:r>
      <w:r>
        <w:rPr>
          <w:rFonts w:hint="eastAsia" w:ascii="仿宋" w:hAnsi="仿宋" w:eastAsia="仿宋" w:cs="仿宋"/>
          <w:sz w:val="32"/>
          <w:szCs w:val="32"/>
          <w:lang w:val="zh-CN" w:eastAsia="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完成乌东德航道整治工程。</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数量指标：完成乌东德航道整治工程项目1个。</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质量指标：工程质量优良。</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经济成本指标：财政补助成本290万元。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290万元。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年内</w:t>
      </w:r>
      <w:r>
        <w:rPr>
          <w:rFonts w:hint="eastAsia" w:ascii="仿宋" w:hAnsi="仿宋" w:eastAsia="仿宋" w:cs="仿宋"/>
          <w:sz w:val="32"/>
          <w:szCs w:val="32"/>
          <w:lang w:val="en-US" w:eastAsia="zh-CN"/>
        </w:rPr>
        <w:t>完成乌东德航道整治工程项目1个</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工程质量优良，财政补助成本290万元及时到位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方便群众出行，促进地方经济发展，服务对象满意度≥</w:t>
      </w:r>
      <w:r>
        <w:rPr>
          <w:rFonts w:hint="eastAsia" w:ascii="仿宋" w:hAnsi="仿宋" w:eastAsia="仿宋" w:cs="仿宋"/>
          <w:sz w:val="32"/>
          <w:szCs w:val="32"/>
          <w:lang w:val="en-US" w:eastAsia="zh-CN"/>
        </w:rPr>
        <w:t>80%，达到绩效目标。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乌东德库区岸防工程</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完成乌东德库区岸防工程</w:t>
      </w:r>
      <w:r>
        <w:rPr>
          <w:rFonts w:hint="eastAsia" w:ascii="仿宋" w:hAnsi="仿宋" w:eastAsia="仿宋" w:cs="仿宋"/>
          <w:sz w:val="32"/>
          <w:szCs w:val="32"/>
          <w:lang w:val="zh-CN" w:eastAsia="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完成乌东德库区岸防工程。</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数量指标：完成乌东德库区岸防工程项目1个。</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质量指标：工程质量优良。</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经济成本指标：财政补助成本270万元。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270万元。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年内</w:t>
      </w:r>
      <w:r>
        <w:rPr>
          <w:rFonts w:hint="eastAsia" w:ascii="仿宋" w:hAnsi="仿宋" w:eastAsia="仿宋" w:cs="仿宋"/>
          <w:sz w:val="32"/>
          <w:szCs w:val="32"/>
          <w:lang w:val="en-US" w:eastAsia="zh-CN"/>
        </w:rPr>
        <w:t>完成乌东德库区岸防工程项目1个</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工程质量优良，财政补助成本270万元及时到位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方便群众出行，促进地方经济发展，服务对象满意度≥</w:t>
      </w:r>
      <w:r>
        <w:rPr>
          <w:rFonts w:hint="eastAsia" w:ascii="仿宋" w:hAnsi="仿宋" w:eastAsia="仿宋" w:cs="仿宋"/>
          <w:sz w:val="32"/>
          <w:szCs w:val="32"/>
          <w:lang w:val="en-US" w:eastAsia="zh-CN"/>
        </w:rPr>
        <w:t>80%，达到绩效目标。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向上争取资金工作经费</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积极向上争取交通项目资金及各类优惠政策，缓解交通建设资金压力</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积极向上争取交通项目资金及各类优惠政策，缓解交通建设资金压力</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向上争取资金规模</w:t>
      </w:r>
      <w:r>
        <w:rPr>
          <w:rFonts w:hint="eastAsia" w:ascii="仿宋" w:hAnsi="仿宋" w:eastAsia="仿宋" w:cs="仿宋"/>
          <w:sz w:val="32"/>
          <w:szCs w:val="32"/>
          <w:lang w:val="zh-CN" w:eastAsia="zh-CN"/>
        </w:rPr>
        <w:t>大于</w:t>
      </w:r>
      <w:r>
        <w:rPr>
          <w:rFonts w:hint="eastAsia" w:ascii="仿宋" w:hAnsi="仿宋" w:eastAsia="仿宋" w:cs="仿宋"/>
          <w:sz w:val="32"/>
          <w:szCs w:val="32"/>
          <w:lang w:val="en-US" w:eastAsia="zh-CN"/>
        </w:rPr>
        <w:t>5000万元。</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质量指标：严格执行争取资金程序</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经济成本指标：财政补助成本20万元。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20万元。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年内向上争取资金规模</w:t>
      </w:r>
      <w:r>
        <w:rPr>
          <w:rFonts w:hint="eastAsia" w:ascii="仿宋" w:hAnsi="仿宋" w:eastAsia="仿宋" w:cs="仿宋"/>
          <w:sz w:val="32"/>
          <w:szCs w:val="32"/>
          <w:lang w:val="zh-CN" w:eastAsia="zh-CN"/>
        </w:rPr>
        <w:t>大于</w:t>
      </w:r>
      <w:r>
        <w:rPr>
          <w:rFonts w:hint="eastAsia" w:ascii="仿宋" w:hAnsi="仿宋" w:eastAsia="仿宋" w:cs="仿宋"/>
          <w:sz w:val="32"/>
          <w:szCs w:val="32"/>
          <w:lang w:val="en-US" w:eastAsia="zh-CN"/>
        </w:rPr>
        <w:t>5000万元，财政补助成本20万元及时到位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促进交通建设，服务对象满意度≥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pStyle w:val="2"/>
        <w:rPr>
          <w:rFonts w:hint="eastAsia"/>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38"/>
        <w:spacing w:line="600" w:lineRule="exact"/>
        <w:ind w:firstLine="640"/>
        <w:jc w:val="center"/>
        <w:rPr>
          <w:rFonts w:hint="eastAsia" w:ascii="Times New Roman" w:hAnsi="Times New Roman" w:eastAsia="宋体"/>
          <w:color w:val="auto"/>
          <w:kern w:val="2"/>
          <w:sz w:val="32"/>
          <w:szCs w:val="32"/>
          <w:lang w:eastAsia="zh-CN"/>
        </w:rPr>
      </w:pPr>
      <w:r>
        <w:rPr>
          <w:rFonts w:hint="eastAsia" w:ascii="仿宋" w:hAnsi="仿宋" w:eastAsia="仿宋" w:cs="仿宋"/>
          <w:color w:val="auto"/>
          <w:kern w:val="2"/>
          <w:sz w:val="32"/>
          <w:szCs w:val="32"/>
          <w:lang w:eastAsia="zh-CN"/>
        </w:rPr>
        <w:t>（营运性道路客货从业资格考试考务费成本性支出）</w:t>
      </w:r>
    </w:p>
    <w:p>
      <w:pPr>
        <w:adjustRightInd w:val="0"/>
        <w:snapToGrid w:val="0"/>
        <w:spacing w:line="600" w:lineRule="exact"/>
        <w:ind w:firstLine="720"/>
        <w:rPr>
          <w:rFonts w:hint="eastAsia" w:ascii="仿宋" w:hAnsi="仿宋" w:eastAsia="仿宋" w:cs="仿宋"/>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1．说明项目主管部门（单位）在该项目管理中的职能。</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color w:val="000000"/>
          <w:sz w:val="32"/>
          <w:szCs w:val="32"/>
        </w:rPr>
        <w:t>抓实抓细项目监督管理，加强源头管控，压实安全生产责任，</w:t>
      </w:r>
      <w:bookmarkStart w:id="83" w:name="_Toc3955"/>
      <w:r>
        <w:rPr>
          <w:rFonts w:hint="eastAsia" w:ascii="仿宋" w:hAnsi="仿宋" w:eastAsia="仿宋" w:cs="仿宋"/>
          <w:color w:val="000000"/>
          <w:sz w:val="32"/>
          <w:szCs w:val="32"/>
          <w:lang w:val="zh-CN" w:eastAsia="zh-CN"/>
        </w:rPr>
        <w:t>承担道路运输管理的行政辅助工作和行业统计工作。</w:t>
      </w:r>
      <w:bookmarkEnd w:id="83"/>
    </w:p>
    <w:p>
      <w:pPr>
        <w:numPr>
          <w:ilvl w:val="0"/>
          <w:numId w:val="9"/>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lang w:val="zh-CN"/>
        </w:rPr>
        <w:t>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根据预算年度工作目标和工作计划提出真实、详细的下年度预算申请。</w:t>
      </w: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对</w:t>
      </w:r>
      <w:r>
        <w:rPr>
          <w:rFonts w:hint="eastAsia" w:ascii="仿宋" w:hAnsi="仿宋" w:eastAsia="仿宋" w:cs="仿宋"/>
          <w:color w:val="auto"/>
          <w:sz w:val="32"/>
          <w:szCs w:val="32"/>
          <w:highlight w:val="none"/>
          <w:shd w:val="clear" w:color="auto" w:fill="FFFFFF"/>
        </w:rPr>
        <w:t>各科</w:t>
      </w:r>
      <w:r>
        <w:rPr>
          <w:rFonts w:hint="eastAsia" w:ascii="仿宋" w:hAnsi="仿宋" w:eastAsia="仿宋" w:cs="仿宋"/>
          <w:color w:val="auto"/>
          <w:sz w:val="32"/>
          <w:szCs w:val="32"/>
          <w:highlight w:val="none"/>
          <w:shd w:val="clear" w:color="auto" w:fill="FFFFFF"/>
          <w:lang w:val="zh-CN"/>
        </w:rPr>
        <w:t>室的下年度预算申请进行初审与协调，对各</w:t>
      </w:r>
      <w:r>
        <w:rPr>
          <w:rFonts w:hint="eastAsia" w:ascii="仿宋" w:hAnsi="仿宋" w:eastAsia="仿宋" w:cs="仿宋"/>
          <w:color w:val="auto"/>
          <w:sz w:val="32"/>
          <w:szCs w:val="32"/>
          <w:highlight w:val="none"/>
          <w:shd w:val="clear" w:color="auto" w:fill="FFFFFF"/>
        </w:rPr>
        <w:t>科室</w:t>
      </w:r>
      <w:r>
        <w:rPr>
          <w:rFonts w:hint="eastAsia" w:ascii="仿宋" w:hAnsi="仿宋" w:eastAsia="仿宋" w:cs="仿宋"/>
          <w:color w:val="auto"/>
          <w:sz w:val="32"/>
          <w:szCs w:val="32"/>
          <w:highlight w:val="none"/>
          <w:shd w:val="clear" w:color="auto" w:fill="FFFFFF"/>
          <w:lang w:val="zh-CN"/>
        </w:rPr>
        <w:t>申请的专项经费逐项进行比对与论证，结合</w:t>
      </w:r>
      <w:r>
        <w:rPr>
          <w:rFonts w:hint="eastAsia" w:ascii="仿宋" w:hAnsi="仿宋" w:eastAsia="仿宋" w:cs="仿宋"/>
          <w:color w:val="auto"/>
          <w:sz w:val="32"/>
          <w:szCs w:val="32"/>
          <w:highlight w:val="none"/>
          <w:shd w:val="clear" w:color="auto" w:fill="FFFFFF"/>
        </w:rPr>
        <w:t>财力及</w:t>
      </w:r>
      <w:r>
        <w:rPr>
          <w:rFonts w:hint="eastAsia" w:ascii="仿宋" w:hAnsi="仿宋" w:eastAsia="仿宋" w:cs="仿宋"/>
          <w:color w:val="auto"/>
          <w:sz w:val="32"/>
          <w:szCs w:val="32"/>
          <w:highlight w:val="none"/>
          <w:shd w:val="clear" w:color="auto" w:fill="FFFFFF"/>
          <w:lang w:val="zh-CN"/>
        </w:rPr>
        <w:t>本局</w:t>
      </w:r>
      <w:r>
        <w:rPr>
          <w:rFonts w:hint="eastAsia" w:ascii="仿宋" w:hAnsi="仿宋" w:eastAsia="仿宋" w:cs="仿宋"/>
          <w:color w:val="auto"/>
          <w:sz w:val="32"/>
          <w:szCs w:val="32"/>
          <w:highlight w:val="none"/>
          <w:shd w:val="clear" w:color="auto" w:fill="FFFFFF"/>
        </w:rPr>
        <w:t>实际</w:t>
      </w:r>
      <w:r>
        <w:rPr>
          <w:rFonts w:hint="eastAsia" w:ascii="仿宋" w:hAnsi="仿宋" w:eastAsia="仿宋" w:cs="仿宋"/>
          <w:color w:val="auto"/>
          <w:sz w:val="32"/>
          <w:szCs w:val="32"/>
          <w:highlight w:val="none"/>
          <w:shd w:val="clear" w:color="auto" w:fill="FFFFFF"/>
          <w:lang w:val="zh-CN"/>
        </w:rPr>
        <w:t>，根据项目的轻重缓急，提出支出项目预算建议数。</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rPr>
        <w:t>严格按照预算要求及《攀枝花市级财政交通专项资金管理办法》管理和使用资金，确保资金专款专用</w:t>
      </w:r>
      <w:r>
        <w:rPr>
          <w:rFonts w:hint="eastAsia" w:ascii="仿宋" w:hAnsi="仿宋" w:eastAsia="仿宋" w:cs="仿宋"/>
          <w:color w:val="auto"/>
          <w:sz w:val="32"/>
          <w:szCs w:val="32"/>
          <w:highlight w:val="none"/>
          <w:shd w:val="clear" w:color="auto" w:fill="FFFFFF"/>
          <w:lang w:eastAsia="zh-CN"/>
        </w:rPr>
        <w:t>。</w:t>
      </w:r>
    </w:p>
    <w:p>
      <w:pPr>
        <w:numPr>
          <w:ilvl w:val="0"/>
          <w:numId w:val="9"/>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color w:val="auto"/>
          <w:sz w:val="32"/>
          <w:szCs w:val="32"/>
          <w:highlight w:val="none"/>
          <w:shd w:val="clear" w:color="auto" w:fill="FFFFFF"/>
        </w:rPr>
        <w:t>财务</w:t>
      </w:r>
      <w:r>
        <w:rPr>
          <w:rFonts w:hint="eastAsia" w:ascii="仿宋" w:hAnsi="仿宋" w:eastAsia="仿宋" w:cs="仿宋"/>
          <w:color w:val="auto"/>
          <w:sz w:val="32"/>
          <w:szCs w:val="32"/>
          <w:highlight w:val="none"/>
          <w:shd w:val="clear" w:color="auto" w:fill="FFFFFF"/>
          <w:lang w:val="zh-CN"/>
        </w:rPr>
        <w:t>根据</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财政下达的预算控制数和局预算年度的收支预测，在收支平衡的基础上，编制</w:t>
      </w:r>
      <w:r>
        <w:rPr>
          <w:rFonts w:hint="eastAsia" w:ascii="仿宋" w:hAnsi="仿宋" w:eastAsia="仿宋" w:cs="仿宋"/>
          <w:color w:val="auto"/>
          <w:sz w:val="32"/>
          <w:szCs w:val="32"/>
          <w:highlight w:val="none"/>
          <w:shd w:val="clear" w:color="auto" w:fill="FFFFFF"/>
        </w:rPr>
        <w:t>单位</w:t>
      </w:r>
      <w:r>
        <w:rPr>
          <w:rFonts w:hint="eastAsia" w:ascii="仿宋" w:hAnsi="仿宋" w:eastAsia="仿宋" w:cs="仿宋"/>
          <w:color w:val="auto"/>
          <w:sz w:val="32"/>
          <w:szCs w:val="32"/>
          <w:highlight w:val="none"/>
          <w:shd w:val="clear" w:color="auto" w:fill="FFFFFF"/>
          <w:lang w:val="zh-CN"/>
        </w:rPr>
        <w:t>下一年度预算草案，形成预算建议数，经</w:t>
      </w:r>
      <w:r>
        <w:rPr>
          <w:rFonts w:hint="eastAsia" w:ascii="仿宋" w:hAnsi="仿宋" w:eastAsia="仿宋" w:cs="仿宋"/>
          <w:color w:val="auto"/>
          <w:sz w:val="32"/>
          <w:szCs w:val="32"/>
          <w:highlight w:val="none"/>
          <w:shd w:val="clear" w:color="auto" w:fill="FFFFFF"/>
        </w:rPr>
        <w:t>集体</w:t>
      </w:r>
      <w:r>
        <w:rPr>
          <w:rFonts w:hint="eastAsia" w:ascii="仿宋" w:hAnsi="仿宋" w:eastAsia="仿宋" w:cs="仿宋"/>
          <w:color w:val="auto"/>
          <w:sz w:val="32"/>
          <w:szCs w:val="32"/>
          <w:highlight w:val="none"/>
          <w:shd w:val="clear" w:color="auto" w:fill="FFFFFF"/>
          <w:lang w:val="zh-CN"/>
        </w:rPr>
        <w:t>讨论后上报</w:t>
      </w:r>
      <w:r>
        <w:rPr>
          <w:rFonts w:hint="eastAsia" w:ascii="仿宋" w:hAnsi="仿宋" w:eastAsia="仿宋" w:cs="仿宋"/>
          <w:color w:val="auto"/>
          <w:sz w:val="32"/>
          <w:szCs w:val="32"/>
          <w:highlight w:val="none"/>
          <w:shd w:val="clear" w:color="auto" w:fill="FFFFFF"/>
        </w:rPr>
        <w:t>市</w:t>
      </w:r>
      <w:r>
        <w:rPr>
          <w:rFonts w:hint="eastAsia" w:ascii="仿宋" w:hAnsi="仿宋" w:eastAsia="仿宋" w:cs="仿宋"/>
          <w:color w:val="auto"/>
          <w:sz w:val="32"/>
          <w:szCs w:val="32"/>
          <w:highlight w:val="none"/>
          <w:shd w:val="clear" w:color="auto" w:fill="FFFFFF"/>
          <w:lang w:val="zh-CN"/>
        </w:rPr>
        <w:t>财政局。</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完成考试工作，提升驾培管理水平。</w:t>
      </w:r>
    </w:p>
    <w:p>
      <w:pPr>
        <w:numPr>
          <w:ilvl w:val="0"/>
          <w:numId w:val="8"/>
        </w:numPr>
        <w:adjustRightInd w:val="0"/>
        <w:snapToGrid w:val="0"/>
        <w:spacing w:line="600" w:lineRule="exact"/>
        <w:ind w:firstLine="7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项目应实现的具体绩效目标，包括目标的量化、细化情况以及项目实施进度计划等。</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数量指标：共计一个项目，完成率</w:t>
      </w:r>
      <w:r>
        <w:rPr>
          <w:rFonts w:hint="eastAsia" w:ascii="仿宋" w:hAnsi="仿宋" w:eastAsia="仿宋" w:cs="仿宋"/>
          <w:sz w:val="32"/>
          <w:szCs w:val="32"/>
          <w:lang w:val="en-US" w:eastAsia="zh-CN"/>
        </w:rPr>
        <w:t>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质量指标：建设项目完成验收，工程质量合格率达到100%。</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时效指标：工期按工完成，资金完成拨付。</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成本指标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安排市级一般预算资金38.6913万元。</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效益指标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社会效益指标：提升驾培管理水平。</w:t>
      </w:r>
    </w:p>
    <w:p>
      <w:pPr>
        <w:numPr>
          <w:ilvl w:val="0"/>
          <w:numId w:val="11"/>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满意度指标</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服务对象满意度指标：社会对象满意度</w:t>
      </w:r>
      <w:r>
        <w:rPr>
          <w:rFonts w:hint="eastAsia" w:ascii="仿宋" w:hAnsi="仿宋" w:eastAsia="仿宋" w:cs="仿宋"/>
          <w:sz w:val="32"/>
          <w:szCs w:val="32"/>
          <w:lang w:val="en-US" w:eastAsia="zh-CN"/>
        </w:rPr>
        <w:t>85%以上。</w:t>
      </w:r>
    </w:p>
    <w:p>
      <w:pPr>
        <w:numPr>
          <w:ilvl w:val="0"/>
          <w:numId w:val="10"/>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结合项目202</w:t>
      </w:r>
      <w:r>
        <w:rPr>
          <w:rFonts w:hint="eastAsia" w:ascii="仿宋" w:hAnsi="仿宋" w:eastAsia="仿宋" w:cs="仿宋"/>
          <w:sz w:val="32"/>
          <w:szCs w:val="32"/>
          <w:lang w:val="en-US" w:eastAsia="zh-CN"/>
        </w:rPr>
        <w:t>4</w:t>
      </w:r>
      <w:r>
        <w:rPr>
          <w:rFonts w:hint="eastAsia" w:ascii="仿宋" w:hAnsi="仿宋" w:eastAsia="仿宋" w:cs="仿宋"/>
          <w:sz w:val="32"/>
          <w:szCs w:val="32"/>
        </w:rPr>
        <w:t>年实际需求、相关费用标准及市场价格水平，重点对数量是否合理、投入是否经济、预算测算是否准确、测算过程是否详细、测算依据是否充分等方面进行了评估。评估认为，该项目任务数量基本合理、预算测算过程较为详细、测算依据基本充分、有一定的经济性。</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eastAsia="zh-CN"/>
        </w:rPr>
      </w:pPr>
      <w:r>
        <w:rPr>
          <w:rFonts w:hint="eastAsia" w:ascii="仿宋" w:hAnsi="仿宋" w:eastAsia="仿宋" w:cs="仿宋"/>
          <w:sz w:val="32"/>
          <w:szCs w:val="32"/>
        </w:rPr>
        <w:t>结合项目实际需求、</w:t>
      </w:r>
      <w:r>
        <w:rPr>
          <w:rFonts w:hint="eastAsia" w:ascii="仿宋" w:hAnsi="仿宋" w:eastAsia="仿宋" w:cs="仿宋"/>
          <w:sz w:val="32"/>
          <w:szCs w:val="32"/>
          <w:lang w:eastAsia="zh-CN"/>
        </w:rPr>
        <w:t>完工验收情况等开展自评。</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numPr>
          <w:ilvl w:val="0"/>
          <w:numId w:val="0"/>
        </w:numPr>
        <w:adjustRightInd w:val="0"/>
        <w:snapToGrid w:val="0"/>
        <w:spacing w:line="578"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项目设立按固定履行评估论证、申报程序。绩效目标设置于计划期内的任务量、预算安排的资金量基本匹配，绩效目标设置基本科学合理、规范完成。预算项目在规定时间内完成项目入库。</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zh-CN"/>
        </w:rPr>
        <w:t>1．资金计划。</w:t>
      </w:r>
      <w:r>
        <w:rPr>
          <w:rFonts w:hint="eastAsia" w:ascii="仿宋" w:hAnsi="仿宋" w:eastAsia="仿宋" w:cs="仿宋"/>
          <w:color w:val="000000"/>
          <w:kern w:val="0"/>
          <w:sz w:val="32"/>
          <w:szCs w:val="32"/>
          <w:shd w:val="clear" w:color="auto" w:fill="FFFFFF"/>
          <w:lang w:val="zh-CN" w:eastAsia="zh-CN"/>
        </w:rPr>
        <w:t>该项目资金计划</w:t>
      </w:r>
      <w:r>
        <w:rPr>
          <w:rFonts w:hint="eastAsia" w:ascii="仿宋" w:hAnsi="仿宋" w:eastAsia="仿宋" w:cs="仿宋"/>
          <w:color w:val="000000"/>
          <w:kern w:val="0"/>
          <w:sz w:val="32"/>
          <w:szCs w:val="32"/>
          <w:shd w:val="clear" w:color="auto" w:fill="FFFFFF"/>
          <w:lang w:val="en-US" w:eastAsia="zh-CN"/>
        </w:rPr>
        <w:t>38.6913万元。</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2．资金到位。</w:t>
      </w:r>
      <w:r>
        <w:rPr>
          <w:rFonts w:hint="eastAsia" w:ascii="仿宋" w:hAnsi="仿宋" w:eastAsia="仿宋" w:cs="仿宋"/>
          <w:color w:val="000000"/>
          <w:kern w:val="0"/>
          <w:sz w:val="32"/>
          <w:szCs w:val="32"/>
          <w:shd w:val="clear" w:color="auto" w:fill="FFFFFF"/>
          <w:lang w:val="zh-CN" w:eastAsia="zh-CN"/>
        </w:rPr>
        <w:t>该项目资金实际到位</w:t>
      </w:r>
      <w:r>
        <w:rPr>
          <w:rFonts w:hint="eastAsia" w:ascii="仿宋" w:hAnsi="仿宋" w:eastAsia="仿宋" w:cs="仿宋"/>
          <w:color w:val="000000"/>
          <w:kern w:val="0"/>
          <w:sz w:val="32"/>
          <w:szCs w:val="32"/>
          <w:shd w:val="clear" w:color="auto" w:fill="FFFFFF"/>
          <w:lang w:val="en-US" w:eastAsia="zh-CN"/>
        </w:rPr>
        <w:t>38.6913万元。</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zh-CN"/>
        </w:rPr>
        <w:t>3．资金使用。</w:t>
      </w:r>
      <w:r>
        <w:rPr>
          <w:rFonts w:hint="eastAsia" w:ascii="仿宋" w:hAnsi="仿宋" w:eastAsia="仿宋" w:cs="仿宋"/>
          <w:color w:val="000000"/>
          <w:kern w:val="0"/>
          <w:sz w:val="32"/>
          <w:szCs w:val="32"/>
          <w:shd w:val="clear" w:color="auto" w:fill="FFFFFF"/>
          <w:lang w:val="zh-CN" w:eastAsia="zh-CN"/>
        </w:rPr>
        <w:t>该项目资金实际支付</w:t>
      </w:r>
      <w:r>
        <w:rPr>
          <w:rFonts w:hint="eastAsia" w:ascii="仿宋" w:hAnsi="仿宋" w:eastAsia="仿宋" w:cs="仿宋"/>
          <w:color w:val="000000"/>
          <w:kern w:val="0"/>
          <w:sz w:val="32"/>
          <w:szCs w:val="32"/>
          <w:shd w:val="clear" w:color="auto" w:fill="FFFFFF"/>
          <w:lang w:val="en-US" w:eastAsia="zh-CN"/>
        </w:rPr>
        <w:t>38.6913万元，</w:t>
      </w:r>
      <w:r>
        <w:rPr>
          <w:rFonts w:hint="eastAsia" w:ascii="仿宋" w:hAnsi="仿宋" w:eastAsia="仿宋" w:cs="仿宋"/>
          <w:color w:val="000000"/>
          <w:kern w:val="0"/>
          <w:sz w:val="32"/>
          <w:szCs w:val="32"/>
          <w:shd w:val="clear" w:color="auto" w:fill="FFFFFF"/>
          <w:lang w:val="zh-CN" w:eastAsia="zh-CN"/>
        </w:rPr>
        <w:t>支付标准、支付进度、支付依据合规合法、与预算相符，</w:t>
      </w:r>
      <w:r>
        <w:rPr>
          <w:rFonts w:hint="eastAsia" w:ascii="仿宋" w:hAnsi="仿宋" w:eastAsia="仿宋" w:cs="仿宋"/>
          <w:color w:val="000000"/>
          <w:kern w:val="0"/>
          <w:sz w:val="32"/>
          <w:szCs w:val="32"/>
          <w:shd w:val="clear" w:color="auto" w:fill="FFFFFF"/>
          <w:lang w:val="en-US" w:eastAsia="zh-CN"/>
        </w:rPr>
        <w:t>完成率100%。</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结合项目组织实施管理办法，重点围绕以下内容进行分析评价，并对自评中发现的问题分析说明。</w:t>
      </w:r>
    </w:p>
    <w:p>
      <w:pPr>
        <w:numPr>
          <w:ilvl w:val="0"/>
          <w:numId w:val="12"/>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项目组织架构及实施流程。</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完成考试工作，提升驾培管理水平</w:t>
      </w:r>
    </w:p>
    <w:p>
      <w:pPr>
        <w:numPr>
          <w:ilvl w:val="0"/>
          <w:numId w:val="0"/>
        </w:numPr>
        <w:adjustRightInd w:val="0"/>
        <w:snapToGrid w:val="0"/>
        <w:spacing w:line="6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（二）项目管理情况。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项目实施遵守相关法律法规；项目调整手续完备；项目合同、验收报告、技术鉴定等资料齐全并及时归档；项目实施的人员条件、场地设备、信息支撑等落实到位</w:t>
      </w:r>
    </w:p>
    <w:p>
      <w:pPr>
        <w:numPr>
          <w:ilvl w:val="0"/>
          <w:numId w:val="12"/>
        </w:numPr>
        <w:adjustRightInd w:val="0"/>
        <w:snapToGrid w:val="0"/>
        <w:spacing w:line="600" w:lineRule="exact"/>
        <w:ind w:left="0" w:leftChars="0" w:firstLine="720"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项目监管情况。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60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zh-CN"/>
        </w:rPr>
        <w:t>项目工期按时完成验收通过，资金完成拨付，</w:t>
      </w:r>
      <w:r>
        <w:rPr>
          <w:rFonts w:hint="eastAsia" w:ascii="仿宋" w:hAnsi="仿宋" w:eastAsia="仿宋" w:cs="仿宋"/>
          <w:sz w:val="32"/>
          <w:szCs w:val="32"/>
          <w:lang w:val="en-US" w:eastAsia="zh-CN"/>
        </w:rPr>
        <w:t>工程质量合格率达到100%。</w:t>
      </w:r>
      <w:r>
        <w:rPr>
          <w:rFonts w:hint="eastAsia" w:ascii="仿宋" w:hAnsi="仿宋" w:eastAsia="仿宋" w:cs="仿宋"/>
          <w:sz w:val="32"/>
          <w:szCs w:val="32"/>
          <w:lang w:val="zh-CN"/>
        </w:rPr>
        <w:t>无资金结余情况，无违规记录，对照项目计划完成目标。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完成考试工作，提升驾培管理水平。</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en-US" w:eastAsia="zh-CN"/>
        </w:rPr>
        <w:t>项目设立按固定履行评估论证、申报程序。绩效目标设置于计划期内的任务量、预算安排的资金量基本匹配，绩效目标设置基本科学合理。</w:t>
      </w:r>
      <w:r>
        <w:rPr>
          <w:rFonts w:hint="eastAsia" w:ascii="仿宋" w:hAnsi="仿宋" w:eastAsia="仿宋" w:cs="仿宋"/>
          <w:sz w:val="32"/>
          <w:szCs w:val="32"/>
          <w:lang w:val="zh-CN"/>
        </w:rPr>
        <w:t>项目的相关管理制度机制健全完善，在项目执行过程中，不存在管理制度有悖于实际的情况，不存在难以操作、无法落地、执行不畅的情况，不存在不能满足实际需求，未及时动态调整的情况。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交通部门作为行政管理机构，专业技术人员有限，机电运行能力不足，也难以保障本工程庞大系统的长期稳定运行。因此，建议工程实施过程中，积极引导社会第三方力量的积极参与，统筹解决工程建设和运行问题。</w:t>
      </w:r>
    </w:p>
    <w:p>
      <w:pPr>
        <w:pStyle w:val="2"/>
        <w:rPr>
          <w:rFonts w:hint="eastAsia" w:ascii="仿宋" w:hAnsi="仿宋" w:eastAsia="仿宋" w:cs="仿宋"/>
          <w:kern w:val="0"/>
          <w:sz w:val="32"/>
          <w:szCs w:val="32"/>
        </w:rPr>
      </w:pP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eastAsia="zh-CN"/>
        </w:rPr>
        <w:t>运转经费</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支付交通完工项目竣工财务决算审计费用。</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en-US" w:eastAsia="zh-CN"/>
        </w:rPr>
        <w:t>支付交通完工项目竣工财务决算审计费用。</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已完成审计项目</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质量指标：审计报告优良</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经济成本指标：财政补助成本114.57万元。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114.57万元。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en-US" w:eastAsia="zh-CN"/>
        </w:rPr>
        <w:t>及时支付交通完工项目竣工财务决算审计费用，财政补助成本114.57万元及时到位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保障交通项目财务决算及时，服务对象满意度≥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驻政务中心分摊费</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保证驻政务中心窗口稳定运行</w:t>
      </w:r>
      <w:r>
        <w:rPr>
          <w:rFonts w:hint="eastAsia" w:ascii="仿宋" w:hAnsi="仿宋" w:eastAsia="仿宋" w:cs="仿宋"/>
          <w:sz w:val="32"/>
          <w:szCs w:val="32"/>
          <w:lang w:val="zh-CN" w:eastAsia="zh-CN"/>
        </w:rPr>
        <w:t>。</w:t>
      </w:r>
      <w:r>
        <w:rPr>
          <w:rFonts w:hint="eastAsia" w:ascii="仿宋" w:hAnsi="仿宋" w:eastAsia="仿宋" w:cs="仿宋"/>
          <w:b w:val="0"/>
          <w:bCs/>
          <w:sz w:val="32"/>
          <w:szCs w:val="32"/>
          <w:lang w:val="zh-CN"/>
        </w:rPr>
        <w:t>项目</w:t>
      </w:r>
      <w:r>
        <w:rPr>
          <w:rFonts w:hint="eastAsia" w:ascii="仿宋" w:hAnsi="仿宋" w:eastAsia="仿宋" w:cs="仿宋"/>
          <w:sz w:val="32"/>
          <w:szCs w:val="32"/>
          <w:lang w:val="zh-CN"/>
        </w:rPr>
        <w:t>申报内容与具体实施内容相符、申报目标合理可行。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保证驻政务中心窗口稳定运行</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数量指标：入驻人员不少于7人</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质量指标：保障交通窗口正常运行</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经济成本指标：财政补助成本2.94万元。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numPr>
          <w:ilvl w:val="0"/>
          <w:numId w:val="0"/>
        </w:numPr>
        <w:adjustRightInd w:val="0"/>
        <w:snapToGrid w:val="0"/>
        <w:spacing w:line="600" w:lineRule="exact"/>
        <w:ind w:left="720" w:leftChars="0"/>
        <w:rPr>
          <w:rFonts w:hint="eastAsia" w:ascii="仿宋" w:hAnsi="仿宋" w:eastAsia="仿宋" w:cs="仿宋"/>
          <w:sz w:val="32"/>
          <w:szCs w:val="32"/>
          <w:lang w:val="en-US"/>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2.94</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（二）项目管理情况。</w:t>
      </w:r>
      <w:r>
        <w:rPr>
          <w:rFonts w:hint="eastAsia" w:ascii="仿宋" w:hAnsi="仿宋" w:eastAsia="仿宋" w:cs="仿宋"/>
          <w:sz w:val="32"/>
          <w:szCs w:val="32"/>
          <w:lang w:val="zh-CN"/>
        </w:rPr>
        <w:t>项目实施单位严格执行相关法律法规及项目管理制度，如招投标、政府采购、项目公示制等。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（三）项目监管情况。</w:t>
      </w: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sz w:val="32"/>
          <w:szCs w:val="32"/>
          <w:lang w:val="zh-CN"/>
        </w:rPr>
        <w:t>维持食堂正常运行，</w:t>
      </w:r>
      <w:r>
        <w:rPr>
          <w:rFonts w:hint="eastAsia" w:ascii="仿宋" w:hAnsi="仿宋" w:eastAsia="仿宋" w:cs="仿宋"/>
          <w:sz w:val="32"/>
          <w:szCs w:val="32"/>
          <w:lang w:val="en-US" w:eastAsia="zh-CN"/>
        </w:rPr>
        <w:t>资金使用合规，财政补助成本33.8万元及时到位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保证驻政务中心窗口稳定运行，及时办结交通驻政务中心事项，服务对象满意度≥</w:t>
      </w:r>
      <w:r>
        <w:rPr>
          <w:rFonts w:hint="eastAsia" w:ascii="仿宋" w:hAnsi="仿宋" w:eastAsia="仿宋" w:cs="仿宋"/>
          <w:sz w:val="32"/>
          <w:szCs w:val="32"/>
          <w:lang w:val="en-US" w:eastAsia="zh-CN"/>
        </w:rPr>
        <w:t>95%，达到绩效目标。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3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w:t>
      </w:r>
    </w:p>
    <w:p>
      <w:pPr>
        <w:pStyle w:val="3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总段经费</w:t>
      </w:r>
      <w:r>
        <w:rPr>
          <w:rFonts w:ascii="Times New Roman" w:hAnsi="Times New Roman" w:eastAsia="仿宋_GB2312"/>
          <w:color w:val="auto"/>
          <w:kern w:val="2"/>
          <w:sz w:val="32"/>
          <w:szCs w:val="32"/>
        </w:rPr>
        <w:t>）</w:t>
      </w:r>
    </w:p>
    <w:p>
      <w:pPr>
        <w:pStyle w:val="3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保障总段日常业务开展，有效履行公路建设管养等职能职责。</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 项目主要内容。</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保障总段日常业务开展，有效履行公路建设管养等职能职责。</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w:t>
      </w:r>
      <w:r>
        <w:rPr>
          <w:rFonts w:hint="eastAsia" w:ascii="仿宋" w:hAnsi="仿宋" w:eastAsia="仿宋" w:cs="仿宋"/>
          <w:sz w:val="32"/>
          <w:szCs w:val="32"/>
          <w:lang w:val="zh-CN"/>
        </w:rPr>
        <w:t>供养人员</w:t>
      </w:r>
      <w:r>
        <w:rPr>
          <w:rFonts w:hint="eastAsia" w:ascii="仿宋" w:hAnsi="仿宋" w:eastAsia="仿宋" w:cs="仿宋"/>
          <w:sz w:val="32"/>
          <w:szCs w:val="32"/>
          <w:lang w:val="en-US" w:eastAsia="zh-CN"/>
        </w:rPr>
        <w:t>1610人，养护公路里程425公里。</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质量指标：保障工作正常开展</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时效指标：2024年内完成。</w:t>
      </w:r>
    </w:p>
    <w:p>
      <w:pPr>
        <w:numPr>
          <w:ilvl w:val="0"/>
          <w:numId w:val="0"/>
        </w:num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经济成本指标：财政补助成本1634.03万元。</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 申报内容是与实际相符，申报目标合理可行。</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项目绩效自评采用自评方式，对照年初绩效申报目标进行评价。</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项目资金申报、批复及预算调整等均严格按照财政相关要求和规定。</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资金计划。</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项目计划财政补助资金</w:t>
      </w:r>
      <w:r>
        <w:rPr>
          <w:rFonts w:hint="eastAsia" w:ascii="仿宋" w:hAnsi="仿宋" w:eastAsia="仿宋" w:cs="仿宋"/>
          <w:sz w:val="32"/>
          <w:szCs w:val="32"/>
          <w:lang w:val="en-US" w:eastAsia="zh-CN"/>
        </w:rPr>
        <w:t>1634.03万元。</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资金到位。</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zh-CN"/>
        </w:rPr>
        <w:t>资金到位及时。</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资金使用。</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项目资金按照财政相关规定和流程使用，资金使用安全、规范、有效。资金支付范围、支付标准、支付进度、支付依据合规合法、与预算相符。</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项目实施单位财务管理制度健全，严格执行财务管理制度，账务处理及时，会计核算规范。</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三、项目实施及管理情况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（一）项目组织架构及实施流程。</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项目按单位内控相关管理要求和流程进行管理，并组织实施。</w:t>
      </w:r>
    </w:p>
    <w:p>
      <w:pPr>
        <w:numPr>
          <w:ilvl w:val="0"/>
          <w:numId w:val="17"/>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项目实施单位严格执行相关法律法规及项目管理制度，如招投标、政府采购、项目公示制等。</w:t>
      </w:r>
    </w:p>
    <w:p>
      <w:pPr>
        <w:numPr>
          <w:ilvl w:val="0"/>
          <w:numId w:val="17"/>
        </w:numPr>
        <w:adjustRightInd w:val="0"/>
        <w:snapToGrid w:val="0"/>
        <w:spacing w:line="600" w:lineRule="exact"/>
        <w:ind w:left="0" w:leftChars="0" w:firstLine="720"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项目监管情况。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项目主管部门加强对项目实施的监管，保证项目顺利实施。</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四、项目绩效情况</w:t>
      </w:r>
      <w:r>
        <w:rPr>
          <w:rFonts w:hint="eastAsia" w:ascii="仿宋" w:hAnsi="仿宋" w:eastAsia="仿宋" w:cs="仿宋"/>
          <w:sz w:val="32"/>
          <w:szCs w:val="32"/>
          <w:lang w:val="zh-CN"/>
        </w:rPr>
        <w:tab/>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（一）项目完成情况。</w:t>
      </w:r>
    </w:p>
    <w:p>
      <w:pPr>
        <w:numPr>
          <w:ilvl w:val="0"/>
          <w:numId w:val="0"/>
        </w:numPr>
        <w:adjustRightInd w:val="0"/>
        <w:snapToGrid w:val="0"/>
        <w:spacing w:line="560"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en-US" w:eastAsia="zh-CN"/>
        </w:rPr>
        <w:t>保证总段日常业务正常开展，财政补助成本1634.03万元及时到位</w:t>
      </w:r>
      <w:r>
        <w:rPr>
          <w:rFonts w:hint="eastAsia" w:ascii="仿宋" w:hAnsi="仿宋" w:eastAsia="仿宋" w:cs="仿宋"/>
          <w:sz w:val="32"/>
          <w:szCs w:val="32"/>
          <w:lang w:val="zh-CN"/>
        </w:rPr>
        <w:t>。</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保障公路畅通，维持单位正常运转，服务对象满意度≥</w:t>
      </w:r>
      <w:r>
        <w:rPr>
          <w:rFonts w:hint="eastAsia" w:ascii="仿宋" w:hAnsi="仿宋" w:eastAsia="仿宋" w:cs="仿宋"/>
          <w:sz w:val="32"/>
          <w:szCs w:val="32"/>
          <w:lang w:val="en-US" w:eastAsia="zh-CN"/>
        </w:rPr>
        <w:t>90%，达到绩效目标。</w:t>
      </w:r>
    </w:p>
    <w:p>
      <w:pPr>
        <w:adjustRightInd w:val="0"/>
        <w:snapToGrid w:val="0"/>
        <w:spacing w:line="600" w:lineRule="exact"/>
        <w:ind w:firstLine="720"/>
        <w:rPr>
          <w:rFonts w:hint="eastAsia" w:ascii="仿宋" w:hAnsi="仿宋" w:eastAsia="仿宋" w:cs="仿宋"/>
          <w:sz w:val="32"/>
          <w:szCs w:val="32"/>
        </w:rPr>
      </w:pPr>
      <w:r>
        <w:rPr>
          <w:rFonts w:hint="eastAsia" w:ascii="仿宋" w:hAnsi="仿宋" w:eastAsia="仿宋" w:cs="仿宋"/>
          <w:sz w:val="32"/>
          <w:szCs w:val="32"/>
        </w:rPr>
        <w:t>五、评价结论及建议</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项目基本完成既定绩效目标。</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无。</w:t>
      </w:r>
    </w:p>
    <w:p>
      <w:p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zh-CN"/>
        </w:rPr>
        <w:t>无。</w:t>
      </w:r>
    </w:p>
    <w:p>
      <w:pPr>
        <w:pStyle w:val="2"/>
        <w:rPr>
          <w:rFonts w:hint="eastAsia" w:ascii="仿宋" w:hAnsi="仿宋" w:eastAsia="仿宋" w:cs="仿宋"/>
          <w:kern w:val="0"/>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
      <w:pPr>
        <w:pStyle w:val="2"/>
        <w:rPr>
          <w:rFonts w:hint="eastAsia"/>
        </w:rPr>
      </w:pPr>
    </w:p>
    <w:p>
      <w:pPr>
        <w:rPr>
          <w:rFonts w:hint="eastAsia" w:ascii="仿宋" w:hAnsi="仿宋" w:eastAsia="仿宋" w:cs="仿宋"/>
          <w:sz w:val="32"/>
          <w:szCs w:val="32"/>
        </w:rPr>
      </w:pPr>
    </w:p>
    <w:p>
      <w:pPr>
        <w:pStyle w:val="62"/>
        <w:rPr>
          <w:rFonts w:hint="eastAsia"/>
          <w:lang w:val="zh-CN"/>
        </w:rPr>
      </w:pPr>
    </w:p>
    <w:p>
      <w:pPr>
        <w:spacing w:line="600" w:lineRule="exact"/>
        <w:jc w:val="center"/>
        <w:outlineLvl w:val="9"/>
        <w:rPr>
          <w:rFonts w:hint="eastAsia" w:ascii="仿宋" w:hAnsi="仿宋" w:eastAsia="仿宋" w:cs="仿宋"/>
          <w:sz w:val="32"/>
          <w:szCs w:val="32"/>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bookmarkStart w:id="84" w:name="_Toc19940"/>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32"/>
          <w:rFonts w:hint="eastAsia" w:ascii="黑体" w:hAnsi="黑体" w:eastAsia="黑体"/>
          <w:b w:val="0"/>
        </w:rPr>
        <w:t>五部分 附表</w:t>
      </w:r>
      <w:bookmarkEnd w:id="77"/>
      <w:bookmarkEnd w:id="78"/>
      <w:bookmarkEnd w:id="84"/>
      <w:bookmarkStart w:id="85" w:name="_Toc15396619"/>
    </w:p>
    <w:p>
      <w:pPr>
        <w:pStyle w:val="4"/>
        <w:rPr>
          <w:rFonts w:ascii="仿宋" w:hAnsi="仿宋" w:eastAsia="仿宋"/>
        </w:rPr>
      </w:pPr>
      <w:bookmarkStart w:id="86" w:name="_Toc10480"/>
      <w:r>
        <w:rPr>
          <w:rFonts w:hint="eastAsia" w:ascii="仿宋" w:hAnsi="仿宋" w:eastAsia="仿宋"/>
          <w:b w:val="0"/>
        </w:rPr>
        <w:t>一、收</w:t>
      </w:r>
      <w:r>
        <w:rPr>
          <w:rStyle w:val="33"/>
          <w:rFonts w:hint="eastAsia" w:ascii="仿宋" w:hAnsi="仿宋" w:eastAsia="仿宋"/>
          <w:b w:val="0"/>
          <w:bCs w:val="0"/>
        </w:rPr>
        <w:t>入支出决算总表</w:t>
      </w:r>
      <w:bookmarkEnd w:id="85"/>
      <w:bookmarkEnd w:id="86"/>
    </w:p>
    <w:p>
      <w:pPr>
        <w:pStyle w:val="4"/>
        <w:rPr>
          <w:rFonts w:ascii="仿宋" w:hAnsi="仿宋" w:eastAsia="仿宋"/>
        </w:rPr>
      </w:pPr>
      <w:bookmarkStart w:id="87" w:name="_Toc8821"/>
      <w:bookmarkStart w:id="88" w:name="_Toc15396620"/>
      <w:r>
        <w:rPr>
          <w:rFonts w:hint="eastAsia" w:ascii="仿宋" w:hAnsi="仿宋" w:eastAsia="仿宋"/>
          <w:b w:val="0"/>
        </w:rPr>
        <w:t>二、收</w:t>
      </w:r>
      <w:r>
        <w:rPr>
          <w:rStyle w:val="33"/>
          <w:rFonts w:hint="eastAsia" w:ascii="仿宋" w:hAnsi="仿宋" w:eastAsia="仿宋"/>
          <w:b w:val="0"/>
          <w:bCs w:val="0"/>
        </w:rPr>
        <w:t>入决算表</w:t>
      </w:r>
      <w:bookmarkEnd w:id="87"/>
      <w:bookmarkEnd w:id="88"/>
    </w:p>
    <w:p>
      <w:pPr>
        <w:pStyle w:val="4"/>
        <w:rPr>
          <w:rFonts w:ascii="仿宋" w:hAnsi="仿宋" w:eastAsia="仿宋"/>
        </w:rPr>
      </w:pPr>
      <w:bookmarkStart w:id="89" w:name="_Toc15396621"/>
      <w:bookmarkStart w:id="90" w:name="_Toc26579"/>
      <w:r>
        <w:rPr>
          <w:rStyle w:val="33"/>
          <w:rFonts w:hint="eastAsia" w:ascii="仿宋" w:hAnsi="仿宋" w:eastAsia="仿宋"/>
          <w:b w:val="0"/>
          <w:bCs w:val="0"/>
        </w:rPr>
        <w:t>三、</w:t>
      </w:r>
      <w:r>
        <w:rPr>
          <w:rFonts w:hint="eastAsia" w:ascii="仿宋" w:hAnsi="仿宋" w:eastAsia="仿宋"/>
          <w:b w:val="0"/>
        </w:rPr>
        <w:t>支</w:t>
      </w:r>
      <w:r>
        <w:rPr>
          <w:rStyle w:val="33"/>
          <w:rFonts w:hint="eastAsia" w:ascii="仿宋" w:hAnsi="仿宋" w:eastAsia="仿宋"/>
          <w:b w:val="0"/>
          <w:bCs w:val="0"/>
        </w:rPr>
        <w:t>出决算表</w:t>
      </w:r>
      <w:bookmarkEnd w:id="89"/>
      <w:bookmarkEnd w:id="90"/>
    </w:p>
    <w:p>
      <w:pPr>
        <w:pStyle w:val="4"/>
        <w:rPr>
          <w:rFonts w:ascii="仿宋" w:hAnsi="仿宋" w:eastAsia="仿宋"/>
          <w:b w:val="0"/>
        </w:rPr>
      </w:pPr>
      <w:bookmarkStart w:id="91" w:name="_Toc19492"/>
      <w:bookmarkStart w:id="92" w:name="_Toc15396622"/>
      <w:r>
        <w:rPr>
          <w:rStyle w:val="33"/>
          <w:rFonts w:hint="eastAsia" w:ascii="仿宋" w:hAnsi="仿宋" w:eastAsia="仿宋"/>
          <w:b w:val="0"/>
          <w:bCs w:val="0"/>
        </w:rPr>
        <w:t>四、</w:t>
      </w:r>
      <w:r>
        <w:rPr>
          <w:rFonts w:hint="eastAsia" w:ascii="仿宋" w:hAnsi="仿宋" w:eastAsia="仿宋"/>
          <w:b w:val="0"/>
        </w:rPr>
        <w:t>财</w:t>
      </w:r>
      <w:r>
        <w:rPr>
          <w:rStyle w:val="33"/>
          <w:rFonts w:hint="eastAsia" w:ascii="仿宋" w:hAnsi="仿宋" w:eastAsia="仿宋"/>
          <w:b w:val="0"/>
          <w:bCs w:val="0"/>
        </w:rPr>
        <w:t>政拨款收入支出决算总表</w:t>
      </w:r>
      <w:bookmarkEnd w:id="91"/>
      <w:bookmarkEnd w:id="92"/>
    </w:p>
    <w:p>
      <w:pPr>
        <w:pStyle w:val="4"/>
        <w:rPr>
          <w:rStyle w:val="33"/>
          <w:rFonts w:ascii="仿宋" w:hAnsi="仿宋" w:eastAsia="仿宋"/>
          <w:b w:val="0"/>
          <w:bCs w:val="0"/>
        </w:rPr>
      </w:pPr>
      <w:bookmarkStart w:id="93" w:name="_Toc25444"/>
      <w:bookmarkStart w:id="94" w:name="_Toc15396623"/>
      <w:r>
        <w:rPr>
          <w:rStyle w:val="33"/>
          <w:rFonts w:hint="eastAsia" w:ascii="仿宋" w:hAnsi="仿宋" w:eastAsia="仿宋"/>
          <w:b w:val="0"/>
          <w:bCs w:val="0"/>
        </w:rPr>
        <w:t>五、</w:t>
      </w:r>
      <w:r>
        <w:rPr>
          <w:rFonts w:hint="eastAsia" w:ascii="仿宋" w:hAnsi="仿宋" w:eastAsia="仿宋"/>
          <w:b w:val="0"/>
        </w:rPr>
        <w:t>财</w:t>
      </w:r>
      <w:r>
        <w:rPr>
          <w:rStyle w:val="33"/>
          <w:rFonts w:hint="eastAsia" w:ascii="仿宋" w:hAnsi="仿宋" w:eastAsia="仿宋"/>
          <w:b w:val="0"/>
          <w:bCs w:val="0"/>
        </w:rPr>
        <w:t>政拨款支出决算明细表</w:t>
      </w:r>
      <w:bookmarkEnd w:id="93"/>
      <w:bookmarkEnd w:id="94"/>
      <w:bookmarkStart w:id="95" w:name="_Toc15396624"/>
    </w:p>
    <w:p>
      <w:pPr>
        <w:pStyle w:val="4"/>
        <w:rPr>
          <w:rFonts w:ascii="仿宋" w:hAnsi="仿宋" w:eastAsia="仿宋"/>
        </w:rPr>
      </w:pPr>
      <w:bookmarkStart w:id="96" w:name="_Toc27836"/>
      <w:r>
        <w:rPr>
          <w:rStyle w:val="33"/>
          <w:rFonts w:hint="eastAsia" w:ascii="仿宋" w:hAnsi="仿宋" w:eastAsia="仿宋"/>
          <w:b w:val="0"/>
          <w:bCs w:val="0"/>
        </w:rPr>
        <w:t>六、</w:t>
      </w:r>
      <w:r>
        <w:rPr>
          <w:rFonts w:hint="eastAsia" w:ascii="仿宋" w:hAnsi="仿宋" w:eastAsia="仿宋"/>
          <w:b w:val="0"/>
        </w:rPr>
        <w:t>一</w:t>
      </w:r>
      <w:r>
        <w:rPr>
          <w:rStyle w:val="33"/>
          <w:rFonts w:hint="eastAsia" w:ascii="仿宋" w:hAnsi="仿宋" w:eastAsia="仿宋"/>
          <w:b w:val="0"/>
          <w:bCs w:val="0"/>
        </w:rPr>
        <w:t>般公共预算财政拨款支出决算表</w:t>
      </w:r>
      <w:bookmarkEnd w:id="95"/>
      <w:bookmarkEnd w:id="96"/>
    </w:p>
    <w:p>
      <w:pPr>
        <w:pStyle w:val="4"/>
        <w:rPr>
          <w:rFonts w:ascii="仿宋" w:hAnsi="仿宋" w:eastAsia="仿宋"/>
        </w:rPr>
      </w:pPr>
      <w:bookmarkStart w:id="97" w:name="_Toc20576"/>
      <w:bookmarkStart w:id="98" w:name="_Toc15396625"/>
      <w:r>
        <w:rPr>
          <w:rStyle w:val="33"/>
          <w:rFonts w:hint="eastAsia" w:ascii="仿宋" w:hAnsi="仿宋" w:eastAsia="仿宋"/>
          <w:b w:val="0"/>
          <w:bCs w:val="0"/>
        </w:rPr>
        <w:t>七、</w:t>
      </w:r>
      <w:r>
        <w:rPr>
          <w:rFonts w:hint="eastAsia" w:ascii="仿宋" w:hAnsi="仿宋" w:eastAsia="仿宋"/>
          <w:b w:val="0"/>
        </w:rPr>
        <w:t>一</w:t>
      </w:r>
      <w:r>
        <w:rPr>
          <w:rStyle w:val="33"/>
          <w:rFonts w:hint="eastAsia" w:ascii="仿宋" w:hAnsi="仿宋" w:eastAsia="仿宋"/>
          <w:b w:val="0"/>
          <w:bCs w:val="0"/>
        </w:rPr>
        <w:t>般公共预算财政拨款支出决算明细表</w:t>
      </w:r>
      <w:bookmarkEnd w:id="97"/>
      <w:bookmarkEnd w:id="98"/>
    </w:p>
    <w:p>
      <w:pPr>
        <w:pStyle w:val="4"/>
        <w:rPr>
          <w:rFonts w:ascii="仿宋" w:hAnsi="仿宋" w:eastAsia="仿宋"/>
        </w:rPr>
      </w:pPr>
      <w:bookmarkStart w:id="99" w:name="_Toc8093"/>
      <w:bookmarkStart w:id="100" w:name="_Toc15396626"/>
      <w:r>
        <w:rPr>
          <w:rStyle w:val="33"/>
          <w:rFonts w:hint="eastAsia" w:ascii="仿宋" w:hAnsi="仿宋" w:eastAsia="仿宋"/>
          <w:b w:val="0"/>
          <w:bCs w:val="0"/>
        </w:rPr>
        <w:t>八、</w:t>
      </w:r>
      <w:r>
        <w:rPr>
          <w:rFonts w:hint="eastAsia" w:ascii="仿宋" w:hAnsi="仿宋" w:eastAsia="仿宋"/>
          <w:b w:val="0"/>
        </w:rPr>
        <w:t>一</w:t>
      </w:r>
      <w:r>
        <w:rPr>
          <w:rStyle w:val="33"/>
          <w:rFonts w:hint="eastAsia" w:ascii="仿宋" w:hAnsi="仿宋" w:eastAsia="仿宋"/>
          <w:b w:val="0"/>
          <w:bCs w:val="0"/>
        </w:rPr>
        <w:t>般公共预算财政拨款基本支出决算表</w:t>
      </w:r>
      <w:bookmarkEnd w:id="99"/>
      <w:bookmarkEnd w:id="100"/>
    </w:p>
    <w:p>
      <w:pPr>
        <w:pStyle w:val="4"/>
        <w:rPr>
          <w:rFonts w:ascii="仿宋" w:hAnsi="仿宋" w:eastAsia="仿宋"/>
        </w:rPr>
      </w:pPr>
      <w:bookmarkStart w:id="101" w:name="_Toc6103"/>
      <w:bookmarkStart w:id="102" w:name="_Toc15396627"/>
      <w:r>
        <w:rPr>
          <w:rStyle w:val="33"/>
          <w:rFonts w:hint="eastAsia" w:ascii="仿宋" w:hAnsi="仿宋" w:eastAsia="仿宋"/>
          <w:b w:val="0"/>
          <w:bCs w:val="0"/>
        </w:rPr>
        <w:t>九、</w:t>
      </w:r>
      <w:r>
        <w:rPr>
          <w:rFonts w:hint="eastAsia" w:ascii="仿宋" w:hAnsi="仿宋" w:eastAsia="仿宋"/>
          <w:b w:val="0"/>
        </w:rPr>
        <w:t>一</w:t>
      </w:r>
      <w:r>
        <w:rPr>
          <w:rStyle w:val="33"/>
          <w:rFonts w:hint="eastAsia" w:ascii="仿宋" w:hAnsi="仿宋" w:eastAsia="仿宋"/>
          <w:b w:val="0"/>
          <w:bCs w:val="0"/>
        </w:rPr>
        <w:t>般公共预算财政拨款项目支出决算表</w:t>
      </w:r>
      <w:bookmarkEnd w:id="101"/>
      <w:bookmarkEnd w:id="102"/>
    </w:p>
    <w:p>
      <w:pPr>
        <w:pStyle w:val="4"/>
        <w:rPr>
          <w:rFonts w:ascii="仿宋" w:hAnsi="仿宋" w:eastAsia="仿宋"/>
        </w:rPr>
      </w:pPr>
      <w:bookmarkStart w:id="103" w:name="_Toc15396628"/>
      <w:bookmarkStart w:id="104" w:name="_Toc16391"/>
      <w:r>
        <w:rPr>
          <w:rStyle w:val="33"/>
          <w:rFonts w:hint="eastAsia" w:ascii="仿宋" w:hAnsi="仿宋" w:eastAsia="仿宋"/>
          <w:b w:val="0"/>
          <w:bCs w:val="0"/>
        </w:rPr>
        <w:t>十、</w:t>
      </w:r>
      <w:bookmarkEnd w:id="103"/>
      <w:r>
        <w:rPr>
          <w:rFonts w:hint="eastAsia" w:ascii="仿宋" w:hAnsi="仿宋" w:eastAsia="仿宋"/>
          <w:b w:val="0"/>
        </w:rPr>
        <w:t>政</w:t>
      </w:r>
      <w:r>
        <w:rPr>
          <w:rStyle w:val="33"/>
          <w:rFonts w:hint="eastAsia" w:ascii="仿宋" w:hAnsi="仿宋" w:eastAsia="仿宋"/>
          <w:b w:val="0"/>
          <w:bCs w:val="0"/>
        </w:rPr>
        <w:t>府性基金预算财政拨款收入支出决算表</w:t>
      </w:r>
      <w:bookmarkEnd w:id="104"/>
    </w:p>
    <w:p>
      <w:pPr>
        <w:pStyle w:val="4"/>
        <w:rPr>
          <w:rFonts w:hint="eastAsia" w:ascii="仿宋" w:hAnsi="仿宋" w:eastAsia="仿宋"/>
          <w:lang w:eastAsia="zh-CN"/>
        </w:rPr>
      </w:pPr>
      <w:bookmarkStart w:id="105" w:name="_Toc15396629"/>
      <w:bookmarkStart w:id="106" w:name="_Toc3279"/>
      <w:r>
        <w:rPr>
          <w:rStyle w:val="33"/>
          <w:rFonts w:hint="eastAsia" w:ascii="仿宋" w:hAnsi="仿宋" w:eastAsia="仿宋"/>
          <w:b w:val="0"/>
          <w:bCs w:val="0"/>
        </w:rPr>
        <w:t>十一、</w:t>
      </w:r>
      <w:bookmarkEnd w:id="105"/>
      <w:r>
        <w:rPr>
          <w:rFonts w:hint="eastAsia" w:ascii="仿宋" w:hAnsi="仿宋" w:eastAsia="仿宋"/>
          <w:b w:val="0"/>
        </w:rPr>
        <w:t>国</w:t>
      </w:r>
      <w:r>
        <w:rPr>
          <w:rStyle w:val="33"/>
          <w:rFonts w:hint="eastAsia" w:ascii="仿宋" w:hAnsi="仿宋" w:eastAsia="仿宋"/>
          <w:b w:val="0"/>
          <w:bCs w:val="0"/>
        </w:rPr>
        <w:t>有资本经营预算财政拨款收入支出决算表</w:t>
      </w:r>
      <w:bookmarkEnd w:id="106"/>
      <w:r>
        <w:rPr>
          <w:rStyle w:val="33"/>
          <w:rFonts w:hint="eastAsia" w:ascii="仿宋" w:hAnsi="仿宋" w:eastAsia="仿宋"/>
          <w:b w:val="0"/>
          <w:bCs w:val="0"/>
          <w:lang w:eastAsia="zh-CN"/>
        </w:rPr>
        <w:t>（此表无数据）</w:t>
      </w:r>
    </w:p>
    <w:p>
      <w:pPr>
        <w:pStyle w:val="4"/>
        <w:rPr>
          <w:rFonts w:hint="eastAsia" w:ascii="仿宋" w:hAnsi="仿宋" w:eastAsia="仿宋"/>
          <w:lang w:eastAsia="zh-CN"/>
        </w:rPr>
      </w:pPr>
      <w:bookmarkStart w:id="107" w:name="_Toc15396630"/>
      <w:bookmarkStart w:id="108" w:name="_Toc11933"/>
      <w:r>
        <w:rPr>
          <w:rStyle w:val="33"/>
          <w:rFonts w:hint="eastAsia" w:ascii="仿宋" w:hAnsi="仿宋" w:eastAsia="仿宋"/>
          <w:b w:val="0"/>
          <w:bCs w:val="0"/>
        </w:rPr>
        <w:t>十二、</w:t>
      </w:r>
      <w:bookmarkEnd w:id="107"/>
      <w:r>
        <w:rPr>
          <w:rStyle w:val="33"/>
          <w:rFonts w:hint="eastAsia" w:ascii="仿宋" w:hAnsi="仿宋" w:eastAsia="仿宋"/>
          <w:b w:val="0"/>
          <w:bCs w:val="0"/>
        </w:rPr>
        <w:t>国有资本经营预算财政拨款支出决算表</w:t>
      </w:r>
      <w:bookmarkEnd w:id="108"/>
      <w:r>
        <w:rPr>
          <w:rStyle w:val="33"/>
          <w:rFonts w:hint="eastAsia" w:ascii="仿宋" w:hAnsi="仿宋" w:eastAsia="仿宋"/>
          <w:b w:val="0"/>
          <w:bCs w:val="0"/>
          <w:lang w:eastAsia="zh-CN"/>
        </w:rPr>
        <w:t>（此表无数据）</w:t>
      </w:r>
    </w:p>
    <w:p>
      <w:pPr>
        <w:pStyle w:val="4"/>
        <w:rPr>
          <w:rFonts w:eastAsia="仿宋"/>
        </w:rPr>
      </w:pPr>
      <w:bookmarkStart w:id="109" w:name="_Toc15396631"/>
      <w:bookmarkStart w:id="110" w:name="_Toc26669"/>
      <w:r>
        <w:rPr>
          <w:rStyle w:val="33"/>
          <w:rFonts w:hint="eastAsia" w:ascii="仿宋" w:hAnsi="仿宋" w:eastAsia="仿宋"/>
          <w:b w:val="0"/>
          <w:bCs w:val="0"/>
        </w:rPr>
        <w:t>十三、</w:t>
      </w:r>
      <w:bookmarkEnd w:id="109"/>
      <w:r>
        <w:rPr>
          <w:rStyle w:val="33"/>
          <w:rFonts w:hint="eastAsia" w:ascii="仿宋" w:hAnsi="仿宋" w:eastAsia="仿宋"/>
          <w:b w:val="0"/>
          <w:bCs w:val="0"/>
        </w:rPr>
        <w:t>财政拨款“三公”经费支出决算表</w:t>
      </w:r>
      <w:bookmarkEnd w:id="110"/>
    </w:p>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_New_Roman">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阿里巴巴普惠体 R">
    <w:panose1 w:val="00020600040101010101"/>
    <w:charset w:val="86"/>
    <w:family w:val="auto"/>
    <w:pitch w:val="default"/>
    <w:sig w:usb0="A00002FF" w:usb1="7ACF7CFB" w:usb2="0000001E"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B619C"/>
    <w:multiLevelType w:val="singleLevel"/>
    <w:tmpl w:val="95BB619C"/>
    <w:lvl w:ilvl="0" w:tentative="0">
      <w:start w:val="1"/>
      <w:numFmt w:val="chineseCounting"/>
      <w:suff w:val="nothing"/>
      <w:lvlText w:val="（%1）"/>
      <w:lvlJc w:val="left"/>
      <w:rPr>
        <w:rFonts w:hint="eastAsia"/>
      </w:rPr>
    </w:lvl>
  </w:abstractNum>
  <w:abstractNum w:abstractNumId="1">
    <w:nsid w:val="9D1B014D"/>
    <w:multiLevelType w:val="singleLevel"/>
    <w:tmpl w:val="9D1B014D"/>
    <w:lvl w:ilvl="0" w:tentative="0">
      <w:start w:val="2"/>
      <w:numFmt w:val="decimal"/>
      <w:suff w:val="space"/>
      <w:lvlText w:val="%1."/>
      <w:lvlJc w:val="left"/>
    </w:lvl>
  </w:abstractNum>
  <w:abstractNum w:abstractNumId="2">
    <w:nsid w:val="B0D79640"/>
    <w:multiLevelType w:val="singleLevel"/>
    <w:tmpl w:val="B0D79640"/>
    <w:lvl w:ilvl="0" w:tentative="0">
      <w:start w:val="2"/>
      <w:numFmt w:val="decimal"/>
      <w:suff w:val="space"/>
      <w:lvlText w:val="%1."/>
      <w:lvlJc w:val="left"/>
    </w:lvl>
  </w:abstractNum>
  <w:abstractNum w:abstractNumId="3">
    <w:nsid w:val="B6FBF48D"/>
    <w:multiLevelType w:val="singleLevel"/>
    <w:tmpl w:val="B6FBF48D"/>
    <w:lvl w:ilvl="0" w:tentative="0">
      <w:start w:val="1"/>
      <w:numFmt w:val="decimal"/>
      <w:suff w:val="nothing"/>
      <w:lvlText w:val="（%1）"/>
      <w:lvlJc w:val="left"/>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DF076C2A"/>
    <w:multiLevelType w:val="singleLevel"/>
    <w:tmpl w:val="DF076C2A"/>
    <w:lvl w:ilvl="0" w:tentative="0">
      <w:start w:val="2"/>
      <w:numFmt w:val="decimal"/>
      <w:suff w:val="space"/>
      <w:lvlText w:val="%1."/>
      <w:lvlJc w:val="left"/>
    </w:lvl>
  </w:abstractNum>
  <w:abstractNum w:abstractNumId="6">
    <w:nsid w:val="E2FA047D"/>
    <w:multiLevelType w:val="singleLevel"/>
    <w:tmpl w:val="E2FA047D"/>
    <w:lvl w:ilvl="0" w:tentative="0">
      <w:start w:val="3"/>
      <w:numFmt w:val="chineseCounting"/>
      <w:suff w:val="space"/>
      <w:lvlText w:val="第%1部分"/>
      <w:lvlJc w:val="left"/>
      <w:rPr>
        <w:rFonts w:hint="eastAsia"/>
      </w:rPr>
    </w:lvl>
  </w:abstractNum>
  <w:abstractNum w:abstractNumId="7">
    <w:nsid w:val="E5C98609"/>
    <w:multiLevelType w:val="singleLevel"/>
    <w:tmpl w:val="E5C98609"/>
    <w:lvl w:ilvl="0" w:tentative="0">
      <w:start w:val="2"/>
      <w:numFmt w:val="chineseCounting"/>
      <w:suff w:val="nothing"/>
      <w:lvlText w:val="（%1）"/>
      <w:lvlJc w:val="left"/>
      <w:rPr>
        <w:rFonts w:hint="eastAsia"/>
      </w:rPr>
    </w:lvl>
  </w:abstractNum>
  <w:abstractNum w:abstractNumId="8">
    <w:nsid w:val="F37E9B9D"/>
    <w:multiLevelType w:val="singleLevel"/>
    <w:tmpl w:val="F37E9B9D"/>
    <w:lvl w:ilvl="0" w:tentative="0">
      <w:start w:val="2"/>
      <w:numFmt w:val="chineseCounting"/>
      <w:suff w:val="nothing"/>
      <w:lvlText w:val="（%1）"/>
      <w:lvlJc w:val="left"/>
      <w:rPr>
        <w:rFonts w:hint="eastAsia"/>
      </w:rPr>
    </w:lvl>
  </w:abstractNum>
  <w:abstractNum w:abstractNumId="9">
    <w:nsid w:val="FF224B9E"/>
    <w:multiLevelType w:val="singleLevel"/>
    <w:tmpl w:val="FF224B9E"/>
    <w:lvl w:ilvl="0" w:tentative="0">
      <w:start w:val="2"/>
      <w:numFmt w:val="chineseCounting"/>
      <w:suff w:val="nothing"/>
      <w:lvlText w:val="（%1）"/>
      <w:lvlJc w:val="left"/>
      <w:rPr>
        <w:rFonts w:hint="eastAsia"/>
      </w:rPr>
    </w:lvl>
  </w:abstractNum>
  <w:abstractNum w:abstractNumId="10">
    <w:nsid w:val="0050238E"/>
    <w:multiLevelType w:val="multilevel"/>
    <w:tmpl w:val="0050238E"/>
    <w:lvl w:ilvl="0" w:tentative="0">
      <w:start w:val="1"/>
      <w:numFmt w:val="japaneseCounting"/>
      <w:lvlText w:val="（%1）"/>
      <w:lvlJc w:val="left"/>
      <w:pPr>
        <w:ind w:left="1710" w:hanging="990"/>
      </w:pPr>
      <w:rPr>
        <w:rFonts w:hint="default"/>
        <w:lang w:val="en-US"/>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443EE317"/>
    <w:multiLevelType w:val="multilevel"/>
    <w:tmpl w:val="443EE317"/>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46FC0FD9"/>
    <w:multiLevelType w:val="singleLevel"/>
    <w:tmpl w:val="46FC0FD9"/>
    <w:lvl w:ilvl="0" w:tentative="0">
      <w:start w:val="2"/>
      <w:numFmt w:val="decimal"/>
      <w:suff w:val="space"/>
      <w:lvlText w:val="%1."/>
      <w:lvlJc w:val="left"/>
    </w:lvl>
  </w:abstractNum>
  <w:abstractNum w:abstractNumId="15">
    <w:nsid w:val="5DEBA320"/>
    <w:multiLevelType w:val="singleLevel"/>
    <w:tmpl w:val="5DEBA320"/>
    <w:lvl w:ilvl="0" w:tentative="0">
      <w:start w:val="2"/>
      <w:numFmt w:val="chineseCounting"/>
      <w:suff w:val="nothing"/>
      <w:lvlText w:val="（%1）"/>
      <w:lvlJc w:val="left"/>
      <w:rPr>
        <w:rFonts w:hint="eastAsia"/>
      </w:rPr>
    </w:lvl>
  </w:abstractNum>
  <w:abstractNum w:abstractNumId="16">
    <w:nsid w:val="700B4B46"/>
    <w:multiLevelType w:val="singleLevel"/>
    <w:tmpl w:val="700B4B46"/>
    <w:lvl w:ilvl="0" w:tentative="0">
      <w:start w:val="2"/>
      <w:numFmt w:val="decimal"/>
      <w:suff w:val="space"/>
      <w:lvlText w:val="%1."/>
      <w:lvlJc w:val="left"/>
    </w:lvl>
  </w:abstractNum>
  <w:num w:numId="1">
    <w:abstractNumId w:val="11"/>
  </w:num>
  <w:num w:numId="2">
    <w:abstractNumId w:val="12"/>
  </w:num>
  <w:num w:numId="3">
    <w:abstractNumId w:val="4"/>
  </w:num>
  <w:num w:numId="4">
    <w:abstractNumId w:val="6"/>
  </w:num>
  <w:num w:numId="5">
    <w:abstractNumId w:val="13"/>
  </w:num>
  <w:num w:numId="6">
    <w:abstractNumId w:val="9"/>
  </w:num>
  <w:num w:numId="7">
    <w:abstractNumId w:val="2"/>
  </w:num>
  <w:num w:numId="8">
    <w:abstractNumId w:val="1"/>
  </w:num>
  <w:num w:numId="9">
    <w:abstractNumId w:val="16"/>
  </w:num>
  <w:num w:numId="10">
    <w:abstractNumId w:val="5"/>
  </w:num>
  <w:num w:numId="11">
    <w:abstractNumId w:val="3"/>
  </w:num>
  <w:num w:numId="12">
    <w:abstractNumId w:val="0"/>
  </w:num>
  <w:num w:numId="13">
    <w:abstractNumId w:val="14"/>
  </w:num>
  <w:num w:numId="14">
    <w:abstractNumId w:val="8"/>
  </w:num>
  <w:num w:numId="15">
    <w:abstractNumId w:val="15"/>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OGFjMzE0ODBhNzFjM2NhYWM5OWQ0OTY5MTU5Zj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77718"/>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55D"/>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6E09"/>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738C0"/>
    <w:rsid w:val="010B1C3B"/>
    <w:rsid w:val="0125475B"/>
    <w:rsid w:val="015975B8"/>
    <w:rsid w:val="016E42A6"/>
    <w:rsid w:val="02143E91"/>
    <w:rsid w:val="02E97CC2"/>
    <w:rsid w:val="03045659"/>
    <w:rsid w:val="031671B9"/>
    <w:rsid w:val="0340256B"/>
    <w:rsid w:val="03454F90"/>
    <w:rsid w:val="037642A1"/>
    <w:rsid w:val="037C1244"/>
    <w:rsid w:val="03CC21CB"/>
    <w:rsid w:val="03D52D80"/>
    <w:rsid w:val="043B5E8E"/>
    <w:rsid w:val="04643905"/>
    <w:rsid w:val="047363D2"/>
    <w:rsid w:val="04B30E34"/>
    <w:rsid w:val="04B4182F"/>
    <w:rsid w:val="05052EDF"/>
    <w:rsid w:val="05EA4B8A"/>
    <w:rsid w:val="0662512B"/>
    <w:rsid w:val="066E0107"/>
    <w:rsid w:val="06EA2C23"/>
    <w:rsid w:val="07554285"/>
    <w:rsid w:val="07996F6E"/>
    <w:rsid w:val="07A121E5"/>
    <w:rsid w:val="081B2F5F"/>
    <w:rsid w:val="094C7C01"/>
    <w:rsid w:val="096B3CA2"/>
    <w:rsid w:val="097F62C6"/>
    <w:rsid w:val="098F1CD1"/>
    <w:rsid w:val="09CB082F"/>
    <w:rsid w:val="0A2032A3"/>
    <w:rsid w:val="0A3B59B5"/>
    <w:rsid w:val="0A5F5A7E"/>
    <w:rsid w:val="0A79472F"/>
    <w:rsid w:val="0A9D092A"/>
    <w:rsid w:val="0B073AE9"/>
    <w:rsid w:val="0B7B428A"/>
    <w:rsid w:val="0BAD7051"/>
    <w:rsid w:val="0BAF3305"/>
    <w:rsid w:val="0C50166C"/>
    <w:rsid w:val="0C882A07"/>
    <w:rsid w:val="0D006A41"/>
    <w:rsid w:val="0D1B32A1"/>
    <w:rsid w:val="0E132433"/>
    <w:rsid w:val="0E7771D7"/>
    <w:rsid w:val="0F723F3A"/>
    <w:rsid w:val="0F802F07"/>
    <w:rsid w:val="0F98263C"/>
    <w:rsid w:val="0FA81BA0"/>
    <w:rsid w:val="0FB21C58"/>
    <w:rsid w:val="0FF33AD2"/>
    <w:rsid w:val="101860EC"/>
    <w:rsid w:val="10A87B1C"/>
    <w:rsid w:val="10C055FF"/>
    <w:rsid w:val="10C20BDE"/>
    <w:rsid w:val="113D2012"/>
    <w:rsid w:val="118107EC"/>
    <w:rsid w:val="11EA18F5"/>
    <w:rsid w:val="127D57C5"/>
    <w:rsid w:val="129D1302"/>
    <w:rsid w:val="12A57CBA"/>
    <w:rsid w:val="13401FCB"/>
    <w:rsid w:val="13640D55"/>
    <w:rsid w:val="13824B7E"/>
    <w:rsid w:val="13D50BC4"/>
    <w:rsid w:val="13E83186"/>
    <w:rsid w:val="13EB1202"/>
    <w:rsid w:val="14162351"/>
    <w:rsid w:val="142E6319"/>
    <w:rsid w:val="145B7F50"/>
    <w:rsid w:val="147B2527"/>
    <w:rsid w:val="1488724D"/>
    <w:rsid w:val="14AC3EE3"/>
    <w:rsid w:val="14B31123"/>
    <w:rsid w:val="157944F9"/>
    <w:rsid w:val="15A73991"/>
    <w:rsid w:val="15B14D7D"/>
    <w:rsid w:val="15DB327C"/>
    <w:rsid w:val="16361726"/>
    <w:rsid w:val="163C0F59"/>
    <w:rsid w:val="163D0B60"/>
    <w:rsid w:val="16BB723D"/>
    <w:rsid w:val="16FC7CD4"/>
    <w:rsid w:val="17185877"/>
    <w:rsid w:val="172872C1"/>
    <w:rsid w:val="17372FAA"/>
    <w:rsid w:val="173D6F65"/>
    <w:rsid w:val="175B58E8"/>
    <w:rsid w:val="17767996"/>
    <w:rsid w:val="17AE06A7"/>
    <w:rsid w:val="17B14CD6"/>
    <w:rsid w:val="17BD7A95"/>
    <w:rsid w:val="17BE1BF3"/>
    <w:rsid w:val="17F378CF"/>
    <w:rsid w:val="184F18B6"/>
    <w:rsid w:val="18CE5C46"/>
    <w:rsid w:val="19972236"/>
    <w:rsid w:val="19CE1860"/>
    <w:rsid w:val="19EF5A4D"/>
    <w:rsid w:val="1A0573BC"/>
    <w:rsid w:val="1A2226ED"/>
    <w:rsid w:val="1A3B7D69"/>
    <w:rsid w:val="1A4574CF"/>
    <w:rsid w:val="1A9A2283"/>
    <w:rsid w:val="1AAB2B70"/>
    <w:rsid w:val="1AE854B9"/>
    <w:rsid w:val="1B072569"/>
    <w:rsid w:val="1B121902"/>
    <w:rsid w:val="1B297ECA"/>
    <w:rsid w:val="1B2C5F25"/>
    <w:rsid w:val="1B2F430E"/>
    <w:rsid w:val="1B721452"/>
    <w:rsid w:val="1BBD688A"/>
    <w:rsid w:val="1BE8440E"/>
    <w:rsid w:val="1BF00DEC"/>
    <w:rsid w:val="1C2D0920"/>
    <w:rsid w:val="1C2F4C4D"/>
    <w:rsid w:val="1C5C2261"/>
    <w:rsid w:val="1C7218A1"/>
    <w:rsid w:val="1CB47967"/>
    <w:rsid w:val="1CB57848"/>
    <w:rsid w:val="1D155CEE"/>
    <w:rsid w:val="1D167BBB"/>
    <w:rsid w:val="1D90108D"/>
    <w:rsid w:val="1DCF77DA"/>
    <w:rsid w:val="1DE13C4F"/>
    <w:rsid w:val="1DE57CB9"/>
    <w:rsid w:val="1DE81558"/>
    <w:rsid w:val="1DE9734A"/>
    <w:rsid w:val="1E162569"/>
    <w:rsid w:val="1E177329"/>
    <w:rsid w:val="1E597394"/>
    <w:rsid w:val="1EE12B77"/>
    <w:rsid w:val="1EF04B68"/>
    <w:rsid w:val="1F046865"/>
    <w:rsid w:val="1F53211F"/>
    <w:rsid w:val="1F7E038B"/>
    <w:rsid w:val="1F9A0F77"/>
    <w:rsid w:val="1FA6737F"/>
    <w:rsid w:val="1FBC4A4A"/>
    <w:rsid w:val="1FCB3C54"/>
    <w:rsid w:val="1FF35744"/>
    <w:rsid w:val="209E7308"/>
    <w:rsid w:val="20DE5340"/>
    <w:rsid w:val="21640713"/>
    <w:rsid w:val="220457A4"/>
    <w:rsid w:val="228579E1"/>
    <w:rsid w:val="22AB6497"/>
    <w:rsid w:val="23156299"/>
    <w:rsid w:val="233E0A23"/>
    <w:rsid w:val="23860B96"/>
    <w:rsid w:val="238B6ABF"/>
    <w:rsid w:val="23CE3E87"/>
    <w:rsid w:val="240371BF"/>
    <w:rsid w:val="242F138B"/>
    <w:rsid w:val="24606815"/>
    <w:rsid w:val="24740FE4"/>
    <w:rsid w:val="24F737AC"/>
    <w:rsid w:val="255A34AA"/>
    <w:rsid w:val="25B94C89"/>
    <w:rsid w:val="25FA5003"/>
    <w:rsid w:val="261E2770"/>
    <w:rsid w:val="26AF5308"/>
    <w:rsid w:val="26D46B1D"/>
    <w:rsid w:val="273F6112"/>
    <w:rsid w:val="27BE7BF9"/>
    <w:rsid w:val="28144510"/>
    <w:rsid w:val="28E71B98"/>
    <w:rsid w:val="29356DF4"/>
    <w:rsid w:val="296F2808"/>
    <w:rsid w:val="2987256D"/>
    <w:rsid w:val="29C67783"/>
    <w:rsid w:val="29FD04D3"/>
    <w:rsid w:val="2A234841"/>
    <w:rsid w:val="2A3538B0"/>
    <w:rsid w:val="2A557F75"/>
    <w:rsid w:val="2A905451"/>
    <w:rsid w:val="2AEB1B7A"/>
    <w:rsid w:val="2BA93357"/>
    <w:rsid w:val="2C8A61B5"/>
    <w:rsid w:val="2C974195"/>
    <w:rsid w:val="2CA27D68"/>
    <w:rsid w:val="2CB70350"/>
    <w:rsid w:val="2CBA0563"/>
    <w:rsid w:val="2D067C4C"/>
    <w:rsid w:val="2DF04E50"/>
    <w:rsid w:val="2DFC2592"/>
    <w:rsid w:val="2E0555A7"/>
    <w:rsid w:val="2E3F183A"/>
    <w:rsid w:val="2E50153F"/>
    <w:rsid w:val="2E693FEF"/>
    <w:rsid w:val="2E797EE1"/>
    <w:rsid w:val="2E7C01C6"/>
    <w:rsid w:val="2E886C68"/>
    <w:rsid w:val="2EB359CC"/>
    <w:rsid w:val="2F013D57"/>
    <w:rsid w:val="2F040D46"/>
    <w:rsid w:val="2F4B5DEA"/>
    <w:rsid w:val="2FED0C50"/>
    <w:rsid w:val="30545B15"/>
    <w:rsid w:val="307416C5"/>
    <w:rsid w:val="30C21322"/>
    <w:rsid w:val="30C236AD"/>
    <w:rsid w:val="30ED2F06"/>
    <w:rsid w:val="317038E6"/>
    <w:rsid w:val="319F7F4E"/>
    <w:rsid w:val="31A42E36"/>
    <w:rsid w:val="31C52597"/>
    <w:rsid w:val="31D03522"/>
    <w:rsid w:val="322C1F03"/>
    <w:rsid w:val="324E18DC"/>
    <w:rsid w:val="325624F0"/>
    <w:rsid w:val="32621B69"/>
    <w:rsid w:val="32707532"/>
    <w:rsid w:val="3304709D"/>
    <w:rsid w:val="33222F04"/>
    <w:rsid w:val="33337C8F"/>
    <w:rsid w:val="339B5066"/>
    <w:rsid w:val="356A1A13"/>
    <w:rsid w:val="357C0AAC"/>
    <w:rsid w:val="35ED7BFB"/>
    <w:rsid w:val="362228B1"/>
    <w:rsid w:val="36AA5135"/>
    <w:rsid w:val="375264AD"/>
    <w:rsid w:val="376D39B2"/>
    <w:rsid w:val="37E16F03"/>
    <w:rsid w:val="38744111"/>
    <w:rsid w:val="38D469F0"/>
    <w:rsid w:val="39F6675D"/>
    <w:rsid w:val="39FF628D"/>
    <w:rsid w:val="3A327E40"/>
    <w:rsid w:val="3A6F1D04"/>
    <w:rsid w:val="3B47768F"/>
    <w:rsid w:val="3B826E66"/>
    <w:rsid w:val="3B8B7C9A"/>
    <w:rsid w:val="3B8C6E52"/>
    <w:rsid w:val="3C617AD3"/>
    <w:rsid w:val="3C8D7A42"/>
    <w:rsid w:val="3CF7310E"/>
    <w:rsid w:val="3D1670A2"/>
    <w:rsid w:val="3D491BBB"/>
    <w:rsid w:val="3D6F0E01"/>
    <w:rsid w:val="3D98207C"/>
    <w:rsid w:val="3DA66985"/>
    <w:rsid w:val="3DA762AC"/>
    <w:rsid w:val="3DCA2955"/>
    <w:rsid w:val="3E1B5535"/>
    <w:rsid w:val="3E78745D"/>
    <w:rsid w:val="3E80785E"/>
    <w:rsid w:val="3EB91240"/>
    <w:rsid w:val="3ECA101F"/>
    <w:rsid w:val="3F0F0BE2"/>
    <w:rsid w:val="3F11495A"/>
    <w:rsid w:val="3F4630ED"/>
    <w:rsid w:val="3F481DC9"/>
    <w:rsid w:val="3F8B74A4"/>
    <w:rsid w:val="3FB141C2"/>
    <w:rsid w:val="3FD730B5"/>
    <w:rsid w:val="40130AE3"/>
    <w:rsid w:val="40567F8A"/>
    <w:rsid w:val="40F167F2"/>
    <w:rsid w:val="40FA31CC"/>
    <w:rsid w:val="41006EB0"/>
    <w:rsid w:val="41406E31"/>
    <w:rsid w:val="41AC4D9F"/>
    <w:rsid w:val="41D63506"/>
    <w:rsid w:val="423A7D24"/>
    <w:rsid w:val="427225A8"/>
    <w:rsid w:val="42937435"/>
    <w:rsid w:val="42984A4B"/>
    <w:rsid w:val="431523CD"/>
    <w:rsid w:val="43BF22F7"/>
    <w:rsid w:val="441B74E4"/>
    <w:rsid w:val="444C01E3"/>
    <w:rsid w:val="447302F0"/>
    <w:rsid w:val="44864C35"/>
    <w:rsid w:val="44CB7586"/>
    <w:rsid w:val="44D92DF8"/>
    <w:rsid w:val="44E268DA"/>
    <w:rsid w:val="4547758F"/>
    <w:rsid w:val="458F482B"/>
    <w:rsid w:val="45AD2F03"/>
    <w:rsid w:val="45AE25CF"/>
    <w:rsid w:val="45C60CF9"/>
    <w:rsid w:val="46D57C3B"/>
    <w:rsid w:val="46F30FA2"/>
    <w:rsid w:val="477B063E"/>
    <w:rsid w:val="479271AB"/>
    <w:rsid w:val="47983D09"/>
    <w:rsid w:val="48825BFD"/>
    <w:rsid w:val="48A362E3"/>
    <w:rsid w:val="48B652F2"/>
    <w:rsid w:val="48B902FA"/>
    <w:rsid w:val="48DA7B13"/>
    <w:rsid w:val="48E203AB"/>
    <w:rsid w:val="49012AFD"/>
    <w:rsid w:val="49A51AF2"/>
    <w:rsid w:val="49F040D7"/>
    <w:rsid w:val="4A0F6118"/>
    <w:rsid w:val="4A1F7A1C"/>
    <w:rsid w:val="4A2A310D"/>
    <w:rsid w:val="4A5A59B0"/>
    <w:rsid w:val="4A627F82"/>
    <w:rsid w:val="4A8C58EA"/>
    <w:rsid w:val="4B0E749A"/>
    <w:rsid w:val="4B4A4021"/>
    <w:rsid w:val="4B4F25DA"/>
    <w:rsid w:val="4B5532E5"/>
    <w:rsid w:val="4BDD2653"/>
    <w:rsid w:val="4BE068DB"/>
    <w:rsid w:val="4C1B3997"/>
    <w:rsid w:val="4C7742E6"/>
    <w:rsid w:val="4C786019"/>
    <w:rsid w:val="4CA80D9B"/>
    <w:rsid w:val="4CB04023"/>
    <w:rsid w:val="4CBC779E"/>
    <w:rsid w:val="4D544D72"/>
    <w:rsid w:val="4D577224"/>
    <w:rsid w:val="4D88228C"/>
    <w:rsid w:val="4DA66276"/>
    <w:rsid w:val="4DB0533F"/>
    <w:rsid w:val="4DB707E9"/>
    <w:rsid w:val="4E830FD8"/>
    <w:rsid w:val="4E8F31A6"/>
    <w:rsid w:val="4EAB630A"/>
    <w:rsid w:val="4ECE2238"/>
    <w:rsid w:val="4EF116E0"/>
    <w:rsid w:val="4F1B24E9"/>
    <w:rsid w:val="4F222CC5"/>
    <w:rsid w:val="4F2A06BF"/>
    <w:rsid w:val="4F3342D7"/>
    <w:rsid w:val="50080A36"/>
    <w:rsid w:val="503E4E84"/>
    <w:rsid w:val="5051225F"/>
    <w:rsid w:val="50CD4459"/>
    <w:rsid w:val="50D55FBE"/>
    <w:rsid w:val="50F843DF"/>
    <w:rsid w:val="515801C7"/>
    <w:rsid w:val="51D217E6"/>
    <w:rsid w:val="520D3941"/>
    <w:rsid w:val="527C3865"/>
    <w:rsid w:val="52960F56"/>
    <w:rsid w:val="52F63197"/>
    <w:rsid w:val="53281E1B"/>
    <w:rsid w:val="532A7148"/>
    <w:rsid w:val="534C5B09"/>
    <w:rsid w:val="537E6D0A"/>
    <w:rsid w:val="54826A6F"/>
    <w:rsid w:val="54F94081"/>
    <w:rsid w:val="55085A60"/>
    <w:rsid w:val="559429E6"/>
    <w:rsid w:val="55D94803"/>
    <w:rsid w:val="56360F60"/>
    <w:rsid w:val="566F703B"/>
    <w:rsid w:val="56DE70CD"/>
    <w:rsid w:val="575319B2"/>
    <w:rsid w:val="57CA524F"/>
    <w:rsid w:val="58D463D9"/>
    <w:rsid w:val="59796F2C"/>
    <w:rsid w:val="59836BD6"/>
    <w:rsid w:val="5A52535D"/>
    <w:rsid w:val="5AF92295"/>
    <w:rsid w:val="5B157129"/>
    <w:rsid w:val="5B5510AE"/>
    <w:rsid w:val="5B8322E4"/>
    <w:rsid w:val="5BBC5B9C"/>
    <w:rsid w:val="5BCF72D8"/>
    <w:rsid w:val="5BED58DC"/>
    <w:rsid w:val="5C4633D6"/>
    <w:rsid w:val="5C4F0418"/>
    <w:rsid w:val="5C5770AB"/>
    <w:rsid w:val="5C785C47"/>
    <w:rsid w:val="5C9C18B0"/>
    <w:rsid w:val="5C9F08E2"/>
    <w:rsid w:val="5CA50038"/>
    <w:rsid w:val="5CD71FC4"/>
    <w:rsid w:val="5CF74D38"/>
    <w:rsid w:val="5CF8285E"/>
    <w:rsid w:val="5D226C5C"/>
    <w:rsid w:val="5D7351A4"/>
    <w:rsid w:val="5D903738"/>
    <w:rsid w:val="5DAD7E44"/>
    <w:rsid w:val="5DE96273"/>
    <w:rsid w:val="5E83071A"/>
    <w:rsid w:val="5ED87B48"/>
    <w:rsid w:val="5FAB005C"/>
    <w:rsid w:val="5FB94CDF"/>
    <w:rsid w:val="5FC909AE"/>
    <w:rsid w:val="6063353A"/>
    <w:rsid w:val="611B4D6D"/>
    <w:rsid w:val="612E3FD3"/>
    <w:rsid w:val="616E4C51"/>
    <w:rsid w:val="617A5F38"/>
    <w:rsid w:val="61BD292C"/>
    <w:rsid w:val="62126E4F"/>
    <w:rsid w:val="622B0FE0"/>
    <w:rsid w:val="62357114"/>
    <w:rsid w:val="623F706A"/>
    <w:rsid w:val="62402CDD"/>
    <w:rsid w:val="62865990"/>
    <w:rsid w:val="628A41A8"/>
    <w:rsid w:val="629826C9"/>
    <w:rsid w:val="62B47227"/>
    <w:rsid w:val="633B55BA"/>
    <w:rsid w:val="63A95B41"/>
    <w:rsid w:val="63E165CF"/>
    <w:rsid w:val="647E2D29"/>
    <w:rsid w:val="64833355"/>
    <w:rsid w:val="64AF4A09"/>
    <w:rsid w:val="65091B88"/>
    <w:rsid w:val="65ED7989"/>
    <w:rsid w:val="668F04E9"/>
    <w:rsid w:val="66976CCF"/>
    <w:rsid w:val="66FC0C8A"/>
    <w:rsid w:val="674212A6"/>
    <w:rsid w:val="675863D3"/>
    <w:rsid w:val="67BF0ACF"/>
    <w:rsid w:val="6804746D"/>
    <w:rsid w:val="68AD5110"/>
    <w:rsid w:val="695D4726"/>
    <w:rsid w:val="695D7BFB"/>
    <w:rsid w:val="695F2E63"/>
    <w:rsid w:val="6965127B"/>
    <w:rsid w:val="698908EB"/>
    <w:rsid w:val="69C05F4E"/>
    <w:rsid w:val="6A25397F"/>
    <w:rsid w:val="6A417F8B"/>
    <w:rsid w:val="6AB51A05"/>
    <w:rsid w:val="6AD2649C"/>
    <w:rsid w:val="6AE4264C"/>
    <w:rsid w:val="6B800A2E"/>
    <w:rsid w:val="6B813C05"/>
    <w:rsid w:val="6B896632"/>
    <w:rsid w:val="6C4A05C8"/>
    <w:rsid w:val="6C7D068A"/>
    <w:rsid w:val="6C9F01F0"/>
    <w:rsid w:val="6CAE519C"/>
    <w:rsid w:val="6CBE5CD8"/>
    <w:rsid w:val="6CCD1DDF"/>
    <w:rsid w:val="6CF27687"/>
    <w:rsid w:val="6D4F2989"/>
    <w:rsid w:val="6E7E3605"/>
    <w:rsid w:val="6E9838C8"/>
    <w:rsid w:val="6EF079C1"/>
    <w:rsid w:val="6EFB5ED4"/>
    <w:rsid w:val="6F445ADA"/>
    <w:rsid w:val="6F5B69FD"/>
    <w:rsid w:val="6FA05434"/>
    <w:rsid w:val="6FF5CC65"/>
    <w:rsid w:val="70576201"/>
    <w:rsid w:val="70601513"/>
    <w:rsid w:val="70AD2D33"/>
    <w:rsid w:val="70F60E27"/>
    <w:rsid w:val="70FA674D"/>
    <w:rsid w:val="70FF5B11"/>
    <w:rsid w:val="71005E57"/>
    <w:rsid w:val="715C0E4B"/>
    <w:rsid w:val="71791D68"/>
    <w:rsid w:val="71B15F38"/>
    <w:rsid w:val="71B40FE6"/>
    <w:rsid w:val="71C370EA"/>
    <w:rsid w:val="71F43D9A"/>
    <w:rsid w:val="72734D90"/>
    <w:rsid w:val="727A41E8"/>
    <w:rsid w:val="727F0EB2"/>
    <w:rsid w:val="72AF001C"/>
    <w:rsid w:val="72EA2FB6"/>
    <w:rsid w:val="73877FDD"/>
    <w:rsid w:val="73AA5E88"/>
    <w:rsid w:val="73AD73D5"/>
    <w:rsid w:val="73B6EB34"/>
    <w:rsid w:val="73C13552"/>
    <w:rsid w:val="73E3796C"/>
    <w:rsid w:val="744731E5"/>
    <w:rsid w:val="744B4BE5"/>
    <w:rsid w:val="74780591"/>
    <w:rsid w:val="74AB65E8"/>
    <w:rsid w:val="74BA5762"/>
    <w:rsid w:val="74C5297B"/>
    <w:rsid w:val="74E24E98"/>
    <w:rsid w:val="755C1784"/>
    <w:rsid w:val="75B01B53"/>
    <w:rsid w:val="75D73501"/>
    <w:rsid w:val="75E63744"/>
    <w:rsid w:val="75E94A71"/>
    <w:rsid w:val="75F35EDB"/>
    <w:rsid w:val="76651B85"/>
    <w:rsid w:val="76671F65"/>
    <w:rsid w:val="768A6AAD"/>
    <w:rsid w:val="76A86042"/>
    <w:rsid w:val="76E3355F"/>
    <w:rsid w:val="76FF2D0F"/>
    <w:rsid w:val="773C3FAE"/>
    <w:rsid w:val="77471FC0"/>
    <w:rsid w:val="777431F1"/>
    <w:rsid w:val="778769C8"/>
    <w:rsid w:val="779928AC"/>
    <w:rsid w:val="77C67389"/>
    <w:rsid w:val="781308F2"/>
    <w:rsid w:val="78191BAF"/>
    <w:rsid w:val="78322549"/>
    <w:rsid w:val="78741E86"/>
    <w:rsid w:val="78AC47D1"/>
    <w:rsid w:val="79280E5C"/>
    <w:rsid w:val="7983459A"/>
    <w:rsid w:val="79EE5BA4"/>
    <w:rsid w:val="79F9310E"/>
    <w:rsid w:val="7A072978"/>
    <w:rsid w:val="7A124E24"/>
    <w:rsid w:val="7A3225E3"/>
    <w:rsid w:val="7A36647F"/>
    <w:rsid w:val="7A804167"/>
    <w:rsid w:val="7A8417BA"/>
    <w:rsid w:val="7A894339"/>
    <w:rsid w:val="7AC83418"/>
    <w:rsid w:val="7AC96BBD"/>
    <w:rsid w:val="7AD655C1"/>
    <w:rsid w:val="7ADA3B27"/>
    <w:rsid w:val="7B2C7846"/>
    <w:rsid w:val="7B3665D4"/>
    <w:rsid w:val="7B6A5B3D"/>
    <w:rsid w:val="7BEE3352"/>
    <w:rsid w:val="7CF624BE"/>
    <w:rsid w:val="7D1D3EEF"/>
    <w:rsid w:val="7D9817C8"/>
    <w:rsid w:val="7E1875A0"/>
    <w:rsid w:val="7E8F6273"/>
    <w:rsid w:val="7E906943"/>
    <w:rsid w:val="7EAD1359"/>
    <w:rsid w:val="7EEF11D3"/>
    <w:rsid w:val="7EFE38AC"/>
    <w:rsid w:val="7F2E6AF1"/>
    <w:rsid w:val="7F49075C"/>
    <w:rsid w:val="7F730AC1"/>
    <w:rsid w:val="7F953974"/>
    <w:rsid w:val="7FA30C79"/>
    <w:rsid w:val="7FB7269E"/>
    <w:rsid w:val="7FC96657"/>
    <w:rsid w:val="933772A0"/>
    <w:rsid w:val="D8D6DB89"/>
    <w:rsid w:val="DB6F4CAB"/>
    <w:rsid w:val="DF6F9789"/>
    <w:rsid w:val="FDF6BF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rPr>
  </w:style>
  <w:style w:type="paragraph" w:styleId="10">
    <w:name w:val="Balloon Text"/>
    <w:basedOn w:val="1"/>
    <w:link w:val="35"/>
    <w:semiHidden/>
    <w:unhideWhenUsed/>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b/>
    </w:rPr>
  </w:style>
  <w:style w:type="character" w:styleId="21">
    <w:name w:val="FollowedHyperlink"/>
    <w:basedOn w:val="19"/>
    <w:semiHidden/>
    <w:unhideWhenUsed/>
    <w:qFormat/>
    <w:uiPriority w:val="99"/>
    <w:rPr>
      <w:color w:val="954F72"/>
      <w:u w:val="single"/>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9"/>
    <w:semiHidden/>
    <w:qFormat/>
    <w:uiPriority w:val="99"/>
    <w:rPr>
      <w:rFonts w:ascii="Times New Roman" w:hAnsi="Times New Roman"/>
      <w:sz w:val="18"/>
      <w:szCs w:val="18"/>
    </w:rPr>
  </w:style>
  <w:style w:type="character" w:customStyle="1" w:styleId="25">
    <w:name w:val="页眉 字符"/>
    <w:link w:val="12"/>
    <w:semiHidden/>
    <w:qFormat/>
    <w:locked/>
    <w:uiPriority w:val="99"/>
    <w:rPr>
      <w:sz w:val="18"/>
    </w:rPr>
  </w:style>
  <w:style w:type="character" w:customStyle="1" w:styleId="26">
    <w:name w:val="Footer Char"/>
    <w:basedOn w:val="19"/>
    <w:semiHidden/>
    <w:qFormat/>
    <w:uiPriority w:val="99"/>
    <w:rPr>
      <w:rFonts w:ascii="Times New Roman" w:hAnsi="Times New Roman"/>
      <w:sz w:val="18"/>
      <w:szCs w:val="18"/>
    </w:rPr>
  </w:style>
  <w:style w:type="character" w:customStyle="1" w:styleId="27">
    <w:name w:val="页脚 字符"/>
    <w:link w:val="11"/>
    <w:qFormat/>
    <w:locked/>
    <w:uiPriority w:val="99"/>
    <w:rPr>
      <w:sz w:val="18"/>
    </w:rPr>
  </w:style>
  <w:style w:type="character" w:customStyle="1" w:styleId="28">
    <w:name w:val="Body Text Char"/>
    <w:basedOn w:val="19"/>
    <w:semiHidden/>
    <w:qFormat/>
    <w:uiPriority w:val="99"/>
    <w:rPr>
      <w:rFonts w:ascii="Times New Roman" w:hAnsi="Times New Roman"/>
      <w:szCs w:val="24"/>
    </w:rPr>
  </w:style>
  <w:style w:type="character" w:customStyle="1" w:styleId="29">
    <w:name w:val="正文文本 字符"/>
    <w:link w:val="2"/>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字符"/>
    <w:basedOn w:val="19"/>
    <w:link w:val="3"/>
    <w:qFormat/>
    <w:uiPriority w:val="9"/>
    <w:rPr>
      <w:rFonts w:ascii="Times New Roman" w:hAnsi="Times New Roman"/>
      <w:b/>
      <w:bCs/>
      <w:kern w:val="44"/>
      <w:sz w:val="44"/>
      <w:szCs w:val="44"/>
    </w:rPr>
  </w:style>
  <w:style w:type="character" w:customStyle="1" w:styleId="33">
    <w:name w:val="标题 2 字符"/>
    <w:basedOn w:val="19"/>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字符"/>
    <w:basedOn w:val="19"/>
    <w:link w:val="10"/>
    <w:semiHidden/>
    <w:qFormat/>
    <w:uiPriority w:val="99"/>
    <w:rPr>
      <w:rFonts w:ascii="Times New Roman" w:hAnsi="Times New Roman"/>
      <w:kern w:val="2"/>
      <w:sz w:val="18"/>
      <w:szCs w:val="18"/>
    </w:rPr>
  </w:style>
  <w:style w:type="character" w:customStyle="1" w:styleId="36">
    <w:name w:val="标题 3 字符"/>
    <w:basedOn w:val="19"/>
    <w:link w:val="5"/>
    <w:qFormat/>
    <w:uiPriority w:val="9"/>
    <w:rPr>
      <w:rFonts w:ascii="Times New Roman" w:hAnsi="Times New Roman"/>
      <w:b/>
      <w:bCs/>
      <w:kern w:val="2"/>
      <w:sz w:val="32"/>
      <w:szCs w:val="32"/>
    </w:rPr>
  </w:style>
  <w:style w:type="paragraph" w:customStyle="1" w:styleId="3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color w:val="000000"/>
      <w:kern w:val="0"/>
      <w:sz w:val="28"/>
      <w:szCs w:val="21"/>
      <w:lang w:val="zh-CN"/>
    </w:rPr>
  </w:style>
  <w:style w:type="paragraph" w:customStyle="1" w:styleId="39">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2">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3">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4">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7">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8">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50">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1">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4">
    <w:name w:val="标题 1 Char"/>
    <w:basedOn w:val="19"/>
    <w:link w:val="3"/>
    <w:qFormat/>
    <w:uiPriority w:val="9"/>
    <w:rPr>
      <w:b/>
      <w:bCs/>
      <w:kern w:val="44"/>
      <w:sz w:val="44"/>
      <w:szCs w:val="44"/>
    </w:rPr>
  </w:style>
  <w:style w:type="paragraph" w:customStyle="1" w:styleId="55">
    <w:name w:val="列出段落1"/>
    <w:basedOn w:val="1"/>
    <w:qFormat/>
    <w:uiPriority w:val="0"/>
    <w:pPr>
      <w:ind w:firstLine="420" w:firstLineChars="200"/>
    </w:pPr>
    <w:rPr>
      <w:rFonts w:eastAsia="宋体" w:cs="Calibri"/>
      <w:sz w:val="21"/>
      <w:szCs w:val="21"/>
    </w:r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WPSOffice手动目录 2"/>
    <w:qFormat/>
    <w:uiPriority w:val="0"/>
    <w:pPr>
      <w:ind w:leftChars="200"/>
    </w:pPr>
    <w:rPr>
      <w:rFonts w:ascii="Times New Roman" w:hAnsi="Times New Roman" w:eastAsia="宋体" w:cs="Times New Roman"/>
      <w:sz w:val="20"/>
      <w:szCs w:val="20"/>
    </w:rPr>
  </w:style>
  <w:style w:type="character" w:customStyle="1" w:styleId="58">
    <w:name w:val="15"/>
    <w:basedOn w:val="19"/>
    <w:qFormat/>
    <w:uiPriority w:val="0"/>
    <w:rPr>
      <w:rFonts w:hint="default" w:ascii="Times New Roman" w:hAnsi="Times New Roman" w:cs="Times New Roman"/>
    </w:rPr>
  </w:style>
  <w:style w:type="character" w:customStyle="1" w:styleId="59">
    <w:name w:val="16"/>
    <w:basedOn w:val="19"/>
    <w:qFormat/>
    <w:uiPriority w:val="0"/>
    <w:rPr>
      <w:rFonts w:hint="default" w:ascii="Times New Roman" w:hAnsi="Times New Roman" w:cs="Times New Roman"/>
    </w:rPr>
  </w:style>
  <w:style w:type="character" w:customStyle="1" w:styleId="60">
    <w:name w:val="17"/>
    <w:basedOn w:val="19"/>
    <w:qFormat/>
    <w:uiPriority w:val="0"/>
    <w:rPr>
      <w:rFonts w:hint="default" w:ascii="Times New Roman" w:hAnsi="Times New Roman" w:cs="Times New Roman"/>
    </w:rPr>
  </w:style>
  <w:style w:type="character" w:customStyle="1" w:styleId="61">
    <w:name w:val="10"/>
    <w:basedOn w:val="19"/>
    <w:qFormat/>
    <w:uiPriority w:val="0"/>
    <w:rPr>
      <w:rFonts w:hint="default" w:ascii="Times New Roman" w:hAnsi="Times New Roman" w:cs="Times New Roman"/>
    </w:rPr>
  </w:style>
  <w:style w:type="paragraph" w:customStyle="1" w:styleId="62">
    <w:name w:val="BodyText"/>
    <w:basedOn w:val="1"/>
    <w:qFormat/>
    <w:uiPriority w:val="0"/>
    <w:pPr>
      <w:textAlignment w:val="baseline"/>
    </w:pPr>
    <w:rPr>
      <w:rFonts w:eastAsia="方正仿宋简体"/>
      <w:sz w:val="32"/>
      <w:szCs w:val="24"/>
    </w:rPr>
  </w:style>
  <w:style w:type="character" w:customStyle="1" w:styleId="63">
    <w:name w:val="fontstyle01"/>
    <w:basedOn w:val="19"/>
    <w:qFormat/>
    <w:uiPriority w:val="0"/>
    <w:rPr>
      <w:rFonts w:hint="default" w:ascii="方正仿宋_GBK" w:hAnsi="方正仿宋_GBK"/>
      <w:color w:val="000000"/>
      <w:sz w:val="32"/>
      <w:szCs w:val="32"/>
    </w:rPr>
  </w:style>
  <w:style w:type="character" w:customStyle="1" w:styleId="64">
    <w:name w:val="fontstyle21"/>
    <w:basedOn w:val="19"/>
    <w:qFormat/>
    <w:uiPriority w:val="0"/>
    <w:rPr>
      <w:rFonts w:hint="default" w:ascii="Times_New_Roman" w:hAnsi="Times_New_Roman"/>
      <w:color w:val="000000"/>
      <w:sz w:val="32"/>
      <w:szCs w:val="32"/>
    </w:rPr>
  </w:style>
  <w:style w:type="character" w:customStyle="1" w:styleId="6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收、支决算总计变动情况图</a:t>
            </a:r>
            <a:endParaRPr lang="zh-CN" altLang="en-US">
              <a:solidFill>
                <a:schemeClr val="tx1">
                  <a:lumMod val="50000"/>
                </a:schemeClr>
              </a:solidFill>
              <a:uFillTx/>
            </a:endParaRPr>
          </a:p>
        </c:rich>
      </c:tx>
      <c:layout/>
      <c:overlay val="0"/>
      <c:spPr>
        <a:noFill/>
        <a:ln>
          <a:noFill/>
        </a:ln>
        <a:effectLst/>
      </c:spPr>
    </c:title>
    <c:autoTitleDeleted val="0"/>
    <c:plotArea>
      <c:layout>
        <c:manualLayout>
          <c:layoutTarget val="inner"/>
          <c:xMode val="edge"/>
          <c:yMode val="edge"/>
          <c:x val="0.0759805989034163"/>
          <c:y val="0.11096256684492"/>
          <c:w val="0.900822437789962"/>
          <c:h val="0.747682709447415"/>
        </c:manualLayout>
      </c:layout>
      <c:barChart>
        <c:barDir val="col"/>
        <c:grouping val="clustered"/>
        <c:varyColors val="0"/>
        <c:ser>
          <c:idx val="0"/>
          <c:order val="0"/>
          <c:tx>
            <c:strRef>
              <c:f>Sheet1!$B$1</c:f>
              <c:strCache>
                <c:ptCount val="1"/>
                <c:pt idx="0">
                  <c:v>2024年度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43060.4</c:v>
                </c:pt>
                <c:pt idx="1">
                  <c:v>43060.4</c:v>
                </c:pt>
              </c:numCache>
            </c:numRef>
          </c:val>
        </c:ser>
        <c:ser>
          <c:idx val="1"/>
          <c:order val="1"/>
          <c:tx>
            <c:strRef>
              <c:f>Sheet1!$C$1</c:f>
              <c:strCache>
                <c:ptCount val="1"/>
                <c:pt idx="0">
                  <c:v>2023年度</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36921.19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36921.19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36921.19</c:v>
                </c:pt>
                <c:pt idx="1">
                  <c:v>36921.19</c:v>
                </c:pt>
              </c:numCache>
            </c:numRef>
          </c:val>
        </c:ser>
        <c:dLbls>
          <c:showLegendKey val="0"/>
          <c:showVal val="1"/>
          <c:showCatName val="0"/>
          <c:showSerName val="0"/>
          <c:showPercent val="0"/>
          <c:showBubbleSize val="0"/>
        </c:dLbls>
        <c:gapWidth val="219"/>
        <c:overlap val="-27"/>
        <c:axId val="645858728"/>
        <c:axId val="829565038"/>
      </c:barChart>
      <c:catAx>
        <c:axId val="6458587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9565038"/>
        <c:crosses val="autoZero"/>
        <c:auto val="1"/>
        <c:lblAlgn val="ctr"/>
        <c:lblOffset val="100"/>
        <c:noMultiLvlLbl val="0"/>
      </c:catAx>
      <c:valAx>
        <c:axId val="82956503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58587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收入决算结构图</a:t>
            </a:r>
            <a:endParaRPr lang="zh-CN" altLang="en-US">
              <a:solidFill>
                <a:schemeClr val="tx1">
                  <a:lumMod val="50000"/>
                </a:schemeClr>
              </a:solidFill>
              <a:uFillTx/>
            </a:endParaRPr>
          </a:p>
        </c:rich>
      </c:tx>
      <c:layout>
        <c:manualLayout>
          <c:xMode val="edge"/>
          <c:yMode val="edge"/>
          <c:x val="0.372999093929327"/>
          <c:y val="0.00604838709677419"/>
        </c:manualLayout>
      </c:layout>
      <c:overlay val="0"/>
      <c:spPr>
        <a:noFill/>
        <a:ln>
          <a:noFill/>
        </a:ln>
        <a:effectLst/>
      </c:spPr>
    </c:title>
    <c:autoTitleDeleted val="0"/>
    <c:plotArea>
      <c:layout/>
      <c:pieChart>
        <c:varyColors val="1"/>
        <c:ser>
          <c:idx val="0"/>
          <c:order val="0"/>
          <c:tx>
            <c:strRef>
              <c:f>Sheet1!$B$1</c:f>
              <c:strCache>
                <c:ptCount val="1"/>
                <c:pt idx="0">
                  <c:v>收入</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delete val="1"/>
          </c:dLbls>
          <c:cat>
            <c:strRef>
              <c:f>Sheet1!$A$2:$A$3</c:f>
              <c:strCache>
                <c:ptCount val="2"/>
                <c:pt idx="0">
                  <c:v>一般公共预算</c:v>
                </c:pt>
                <c:pt idx="1">
                  <c:v>政府性基金预算</c:v>
                </c:pt>
              </c:strCache>
            </c:strRef>
          </c:cat>
          <c:val>
            <c:numRef>
              <c:f>Sheet1!$B$2:$B$3</c:f>
              <c:numCache>
                <c:formatCode>General</c:formatCode>
                <c:ptCount val="2"/>
                <c:pt idx="0">
                  <c:v>25893.51</c:v>
                </c:pt>
                <c:pt idx="1">
                  <c:v>17116.89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支出决算结构图</a:t>
            </a:r>
            <a:endParaRPr lang="zh-CN" altLang="en-US">
              <a:solidFill>
                <a:schemeClr val="tx1">
                  <a:lumMod val="50000"/>
                </a:schemeClr>
              </a:solidFill>
              <a:uFillTx/>
            </a:endParaRPr>
          </a:p>
        </c:rich>
      </c:tx>
      <c:layout/>
      <c:overlay val="0"/>
      <c:spPr>
        <a:noFill/>
        <a:ln>
          <a:noFill/>
        </a:ln>
        <a:effectLst/>
      </c:spPr>
    </c:title>
    <c:autoTitleDeleted val="0"/>
    <c:plotArea>
      <c:layout/>
      <c:pieChart>
        <c:varyColors val="1"/>
        <c:ser>
          <c:idx val="0"/>
          <c:order val="0"/>
          <c:tx>
            <c:strRef>
              <c:f>Sheet1!$B$1</c:f>
              <c:strCache>
                <c:ptCount val="1"/>
                <c:pt idx="0">
                  <c:v>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15857.92</c:v>
                </c:pt>
                <c:pt idx="1">
                  <c:v>27202.48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solidFill>
                  <a:schemeClr val="tx1">
                    <a:lumMod val="50000"/>
                  </a:schemeClr>
                </a:solidFill>
              </a:rPr>
              <a:t>财政拨款</a:t>
            </a:r>
            <a:r>
              <a:rPr lang="zh-CN" altLang="en-US" b="1">
                <a:solidFill>
                  <a:schemeClr val="tx1">
                    <a:lumMod val="50000"/>
                  </a:schemeClr>
                </a:solidFill>
                <a:uFillTx/>
              </a:rPr>
              <a:t>收、支决算总计变动情况</a:t>
            </a:r>
            <a:endParaRPr lang="zh-CN" altLang="en-US" b="1">
              <a:solidFill>
                <a:schemeClr val="tx1">
                  <a:lumMod val="50000"/>
                </a:schemeClr>
              </a:solidFill>
            </a:endParaRPr>
          </a:p>
        </c:rich>
      </c:tx>
      <c:layout>
        <c:manualLayout>
          <c:xMode val="edge"/>
          <c:yMode val="edge"/>
          <c:x val="0.308568598315998"/>
          <c:y val="0.0157350517008841"/>
        </c:manualLayout>
      </c:layout>
      <c:overlay val="0"/>
      <c:spPr>
        <a:noFill/>
        <a:ln>
          <a:noFill/>
        </a:ln>
        <a:effectLst/>
      </c:spPr>
    </c:title>
    <c:autoTitleDeleted val="0"/>
    <c:plotArea>
      <c:layout>
        <c:manualLayout>
          <c:layoutTarget val="inner"/>
          <c:xMode val="edge"/>
          <c:yMode val="edge"/>
          <c:x val="0.1043970653789"/>
          <c:y val="0.0845"/>
          <c:w val="0.87555"/>
          <c:h val="0.7605"/>
        </c:manualLayout>
      </c:layout>
      <c:barChart>
        <c:barDir val="col"/>
        <c:grouping val="clustered"/>
        <c:varyColors val="0"/>
        <c:ser>
          <c:idx val="0"/>
          <c:order val="0"/>
          <c:tx>
            <c:strRef>
              <c:f>Sheet1!$B$1</c:f>
              <c:strCache>
                <c:ptCount val="1"/>
                <c:pt idx="0">
                  <c:v>2024年度</c:v>
                </c:pt>
              </c:strCache>
            </c:strRef>
          </c:tx>
          <c:spPr>
            <a:solidFill>
              <a:schemeClr val="tx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43060.4</c:v>
                </c:pt>
                <c:pt idx="1">
                  <c:v>43060.4</c:v>
                </c:pt>
              </c:numCache>
            </c:numRef>
          </c:val>
        </c:ser>
        <c:ser>
          <c:idx val="1"/>
          <c:order val="1"/>
          <c:tx>
            <c:strRef>
              <c:f>Sheet1!$C$1</c:f>
              <c:strCache>
                <c:ptCount val="1"/>
                <c:pt idx="0">
                  <c:v>2023年度</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35653.75</c:v>
                </c:pt>
                <c:pt idx="1">
                  <c:v>35653.75</c:v>
                </c:pt>
              </c:numCache>
            </c:numRef>
          </c:val>
        </c:ser>
        <c:ser>
          <c:idx val="2"/>
          <c:order val="2"/>
          <c:tx>
            <c:strRef>
              <c:f>Sheet1!#REF!</c:f>
              <c:strCache>
                <c:ptCount val="1"/>
                <c:pt idx="0">
                  <c:v/>
                </c:pt>
              </c:strCache>
            </c:strRef>
          </c:tx>
          <c:spPr>
            <a:solidFill>
              <a:schemeClr val="accent3"/>
            </a:solidFill>
            <a:ln>
              <a:noFill/>
            </a:ln>
            <a:effectLst/>
          </c:spPr>
          <c:invertIfNegative val="0"/>
          <c:dLbls>
            <c:dLbl>
              <c:idx val="0"/>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06143146"/>
        <c:axId val="185996679"/>
      </c:barChart>
      <c:catAx>
        <c:axId val="40614314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996679"/>
        <c:crosses val="autoZero"/>
        <c:auto val="1"/>
        <c:lblAlgn val="ctr"/>
        <c:lblOffset val="100"/>
        <c:noMultiLvlLbl val="0"/>
      </c:catAx>
      <c:valAx>
        <c:axId val="185996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143146"/>
        <c:crosses val="autoZero"/>
        <c:crossBetween val="between"/>
      </c:valAx>
      <c:spPr>
        <a:noFill/>
        <a:ln>
          <a:noFill/>
        </a:ln>
        <a:effectLst/>
      </c:spPr>
    </c:plotArea>
    <c:legend>
      <c:legendPos val="b"/>
      <c:legendEntry>
        <c:idx val="2"/>
        <c:delete val="1"/>
      </c:legendEntry>
      <c:layout>
        <c:manualLayout>
          <c:xMode val="edge"/>
          <c:yMode val="edge"/>
          <c:x val="0.340762753838534"/>
          <c:y val="0.92956691143413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bg2">
                    <a:lumMod val="10000"/>
                  </a:schemeClr>
                </a:solidFill>
                <a:uFillTx/>
              </a:rPr>
              <a:t>一般公共预算财政拨款支出决算变动情况</a:t>
            </a:r>
            <a:endParaRPr lang="zh-CN" altLang="en-US">
              <a:solidFill>
                <a:schemeClr val="bg2">
                  <a:lumMod val="10000"/>
                </a:schemeClr>
              </a:solidFill>
              <a:uFillTx/>
            </a:endParaRPr>
          </a:p>
        </c:rich>
      </c:tx>
      <c:layout>
        <c:manualLayout>
          <c:xMode val="edge"/>
          <c:yMode val="edge"/>
          <c:x val="0.150896551724138"/>
          <c:y val="0.00564121850319669"/>
        </c:manualLayout>
      </c:layout>
      <c:overlay val="0"/>
      <c:spPr>
        <a:noFill/>
        <a:ln>
          <a:noFill/>
        </a:ln>
        <a:effectLst/>
      </c:spPr>
    </c:title>
    <c:autoTitleDeleted val="0"/>
    <c:plotArea>
      <c:layout>
        <c:manualLayout>
          <c:layoutTarget val="inner"/>
          <c:xMode val="edge"/>
          <c:yMode val="edge"/>
          <c:x val="0.103944827586207"/>
          <c:y val="0.122332381112418"/>
          <c:w val="0.870262068965517"/>
          <c:h val="0.714232902033272"/>
        </c:manualLayout>
      </c:layout>
      <c:barChart>
        <c:barDir val="col"/>
        <c:grouping val="clustered"/>
        <c:varyColors val="0"/>
        <c:ser>
          <c:idx val="0"/>
          <c:order val="0"/>
          <c:spPr>
            <a:gradFill>
              <a:gsLst>
                <a:gs pos="0">
                  <a:srgbClr val="012D86"/>
                </a:gs>
                <a:gs pos="100000">
                  <a:srgbClr val="0E2557"/>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2024年</c:v>
                </c:pt>
                <c:pt idx="1">
                  <c:v>2023年</c:v>
                </c:pt>
              </c:strCache>
            </c:strRef>
          </c:cat>
          <c:val>
            <c:numRef>
              <c:f>Sheet1!$B$2:$C$2</c:f>
              <c:numCache>
                <c:formatCode>General</c:formatCode>
                <c:ptCount val="2"/>
                <c:pt idx="0">
                  <c:v>25893.51</c:v>
                </c:pt>
                <c:pt idx="1">
                  <c:v>35634.81</c:v>
                </c:pt>
              </c:numCache>
            </c:numRef>
          </c:val>
        </c:ser>
        <c:dLbls>
          <c:showLegendKey val="0"/>
          <c:showVal val="1"/>
          <c:showCatName val="0"/>
          <c:showSerName val="0"/>
          <c:showPercent val="0"/>
          <c:showBubbleSize val="0"/>
        </c:dLbls>
        <c:gapWidth val="219"/>
        <c:overlap val="-27"/>
        <c:axId val="954681512"/>
        <c:axId val="557350736"/>
      </c:barChart>
      <c:catAx>
        <c:axId val="9546815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50736"/>
        <c:crosses val="autoZero"/>
        <c:auto val="1"/>
        <c:lblAlgn val="ctr"/>
        <c:lblOffset val="100"/>
        <c:noMultiLvlLbl val="0"/>
      </c:catAx>
      <c:valAx>
        <c:axId val="55735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4681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209875"/>
          <c:y val="0.081609708735149"/>
        </c:manualLayout>
      </c:layout>
      <c:overlay val="0"/>
      <c:spPr>
        <a:noFill/>
        <a:ln>
          <a:noFill/>
        </a:ln>
        <a:effectLst/>
      </c:spPr>
    </c:title>
    <c:autoTitleDeleted val="0"/>
    <c:plotArea>
      <c:layout>
        <c:manualLayout>
          <c:layoutTarget val="inner"/>
          <c:xMode val="edge"/>
          <c:yMode val="edge"/>
          <c:x val="0.13525"/>
          <c:y val="0.184845671849617"/>
          <c:w val="0.675375"/>
          <c:h val="0.626943606405198"/>
        </c:manualLayout>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explosion val="25"/>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Sheet1!$A$2:$A$9</c:f>
              <c:strCache>
                <c:ptCount val="8"/>
                <c:pt idx="0">
                  <c:v>一般公用服务支出</c:v>
                </c:pt>
                <c:pt idx="1">
                  <c:v>社会保障和就业支出</c:v>
                </c:pt>
                <c:pt idx="2">
                  <c:v>交通运输支出</c:v>
                </c:pt>
                <c:pt idx="3">
                  <c:v>农林水支出</c:v>
                </c:pt>
                <c:pt idx="4">
                  <c:v>其他支出</c:v>
                </c:pt>
                <c:pt idx="5">
                  <c:v>住房保障支出</c:v>
                </c:pt>
                <c:pt idx="6">
                  <c:v>卫生健康支出</c:v>
                </c:pt>
                <c:pt idx="7">
                  <c:v>灾害防治及应急管理支出</c:v>
                </c:pt>
              </c:strCache>
            </c:strRef>
          </c:cat>
          <c:val>
            <c:numRef>
              <c:f>Sheet1!$B$2:$B$9</c:f>
              <c:numCache>
                <c:formatCode>General</c:formatCode>
                <c:ptCount val="8"/>
                <c:pt idx="0">
                  <c:v>11.01</c:v>
                </c:pt>
                <c:pt idx="1">
                  <c:v>4790.91</c:v>
                </c:pt>
                <c:pt idx="2">
                  <c:v>17696.44</c:v>
                </c:pt>
                <c:pt idx="3">
                  <c:v>1634.03</c:v>
                </c:pt>
                <c:pt idx="4">
                  <c:v>106.36</c:v>
                </c:pt>
                <c:pt idx="5">
                  <c:v>947.26</c:v>
                </c:pt>
                <c:pt idx="6">
                  <c:v>706.93</c:v>
                </c:pt>
                <c:pt idx="7">
                  <c:v>0.57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solidFill>
                  <a:schemeClr val="tx1"/>
                </a:solidFill>
                <a:uFillTx/>
              </a:rPr>
              <a:t>“</a:t>
            </a:r>
            <a:r>
              <a:rPr lang="zh-CN" altLang="en-US">
                <a:solidFill>
                  <a:schemeClr val="tx1"/>
                </a:solidFill>
                <a:uFillTx/>
              </a:rPr>
              <a:t>三公</a:t>
            </a:r>
            <a:r>
              <a:rPr lang="en-US" altLang="zh-CN">
                <a:solidFill>
                  <a:schemeClr val="tx1"/>
                </a:solidFill>
                <a:uFillTx/>
              </a:rPr>
              <a:t>”</a:t>
            </a:r>
            <a:r>
              <a:rPr lang="zh-CN" altLang="en-US">
                <a:solidFill>
                  <a:schemeClr val="tx1"/>
                </a:solidFill>
                <a:uFillTx/>
              </a:rPr>
              <a:t>经费财政拨款支出结构</a:t>
            </a:r>
            <a:endParaRPr lang="zh-CN" altLang="en-US">
              <a:solidFill>
                <a:schemeClr val="tx1"/>
              </a:solidFill>
              <a:uFillTx/>
            </a:endParaRPr>
          </a:p>
        </c:rich>
      </c:tx>
      <c:layout>
        <c:manualLayout>
          <c:xMode val="edge"/>
          <c:yMode val="edge"/>
          <c:x val="0.291719262812421"/>
          <c:y val="0.0066815144766147"/>
        </c:manualLayout>
      </c:layout>
      <c:overlay val="0"/>
      <c:spPr>
        <a:noFill/>
        <a:ln>
          <a:noFill/>
        </a:ln>
        <a:effectLst/>
      </c:spPr>
    </c:title>
    <c:autoTitleDeleted val="0"/>
    <c:plotArea>
      <c:layout>
        <c:manualLayout>
          <c:layoutTarget val="inner"/>
          <c:xMode val="edge"/>
          <c:yMode val="edge"/>
          <c:x val="0.0839717230211878"/>
          <c:y val="0.16015"/>
          <c:w val="0.8316"/>
          <c:h val="0.669533333333333"/>
        </c:manualLayout>
      </c:layout>
      <c:pieChart>
        <c:varyColors val="1"/>
        <c:ser>
          <c:idx val="0"/>
          <c:order val="0"/>
          <c:tx>
            <c:strRef>
              <c:f>Sheet1!$B$1</c:f>
              <c:strCache>
                <c:ptCount val="1"/>
                <c:pt idx="0">
                  <c:v>三公经费结构图</c:v>
                </c:pt>
              </c:strCache>
            </c:strRef>
          </c:tx>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Lbls>
            <c:delete val="1"/>
          </c:dLbls>
          <c:cat>
            <c:strRef>
              <c:f>Sheet1!$A$2:$A$3</c:f>
              <c:strCache>
                <c:ptCount val="2"/>
                <c:pt idx="0">
                  <c:v>公务用车购置及运行维护费</c:v>
                </c:pt>
                <c:pt idx="1">
                  <c:v>公务接待费</c:v>
                </c:pt>
              </c:strCache>
            </c:strRef>
          </c:cat>
          <c:val>
            <c:numRef>
              <c:f>Sheet1!$B$2:$B$3</c:f>
              <c:numCache>
                <c:formatCode>General</c:formatCode>
                <c:ptCount val="2"/>
                <c:pt idx="0">
                  <c:v>20.55</c:v>
                </c:pt>
                <c:pt idx="1">
                  <c:v>2.62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192</Pages>
  <Words>73509</Words>
  <Characters>81257</Characters>
  <Lines>1</Lines>
  <Paragraphs>1</Paragraphs>
  <TotalTime>5</TotalTime>
  <ScaleCrop>false</ScaleCrop>
  <LinksUpToDate>false</LinksUpToDate>
  <CharactersWithSpaces>81541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yspt</cp:lastModifiedBy>
  <cp:lastPrinted>2024-09-06T00:52:00Z</cp:lastPrinted>
  <dcterms:modified xsi:type="dcterms:W3CDTF">2025-09-09T07:03:13Z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C513D1FC6E3744BA8ED173DA4120C105</vt:lpwstr>
  </property>
</Properties>
</file>