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77425"/>
      <w:bookmarkStart w:id="3" w:name="_Toc15396475"/>
      <w:bookmarkStart w:id="4" w:name="_Toc15377193"/>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8442"/>
      <w:bookmarkStart w:id="7" w:name="_Toc15396476"/>
      <w:bookmarkStart w:id="8" w:name="_Toc15377426"/>
      <w:bookmarkStart w:id="9" w:name="_Toc15377194"/>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攀枝花市</w:t>
      </w:r>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公路事业发展中心</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公开时间：2023年9月</w:t>
      </w:r>
      <w:r>
        <w:rPr>
          <w:rFonts w:hint="eastAsia"/>
          <w:lang w:val="en-US" w:eastAsia="zh-CN"/>
        </w:rPr>
        <w:t>18</w:t>
      </w:r>
      <w:r>
        <w:rPr>
          <w:rFonts w:hint="eastAsia"/>
        </w:rPr>
        <w:t>日</w:t>
      </w:r>
    </w:p>
    <w:p/>
    <w:sdt>
      <w:sdtPr>
        <w:rPr>
          <w:rFonts w:ascii="宋体" w:hAnsi="宋体" w:eastAsia="宋体" w:cs="Times New Roman"/>
          <w:kern w:val="2"/>
          <w:sz w:val="21"/>
          <w:szCs w:val="24"/>
          <w:lang w:val="en-US" w:eastAsia="zh-CN" w:bidi="ar-SA"/>
        </w:rPr>
        <w:id w:val="147475180"/>
        <w:docPartObj>
          <w:docPartGallery w:val="Table of Contents"/>
          <w:docPartUnique/>
        </w:docPartObj>
      </w:sdtPr>
      <w:sdtEndPr>
        <w:rPr>
          <w:rFonts w:asciiTheme="minorHAnsi" w:hAnsiTheme="minorHAnsi" w:eastAsiaTheme="minorEastAsia" w:cstheme="minorBidi"/>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12" w:name="_Toc16360_WPSOffice_Type2"/>
          <w:bookmarkStart w:id="13" w:name="_Toc15377196"/>
          <w:bookmarkStart w:id="14" w:name="_Toc15396599"/>
          <w:r>
            <w:rPr>
              <w:rFonts w:ascii="宋体" w:hAnsi="宋体" w:eastAsia="宋体"/>
              <w:sz w:val="21"/>
            </w:rPr>
            <w:t>目录</w:t>
          </w:r>
        </w:p>
        <w:p>
          <w:pPr>
            <w:pStyle w:val="33"/>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_Toc26036_WPSOffice_Level1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75180"/>
              <w:placeholder>
                <w:docPart w:val="{29092bd1-e445-4ab2-ba84-f225bc890978}"/>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第一部分 单位概况</w:t>
              </w:r>
            </w:sdtContent>
          </w:sdt>
          <w:r>
            <w:rPr>
              <w:rFonts w:hint="eastAsia" w:ascii="方正仿宋简体" w:hAnsi="方正仿宋简体" w:eastAsia="方正仿宋简体" w:cs="方正仿宋简体"/>
              <w:b/>
              <w:bCs/>
              <w:sz w:val="28"/>
              <w:szCs w:val="28"/>
            </w:rPr>
            <w:tab/>
          </w:r>
          <w:bookmarkStart w:id="15" w:name="_Toc26036_WPSOffice_Level1Page"/>
          <w:r>
            <w:rPr>
              <w:rFonts w:hint="eastAsia" w:ascii="方正仿宋简体" w:hAnsi="方正仿宋简体" w:eastAsia="方正仿宋简体" w:cs="方正仿宋简体"/>
              <w:b/>
              <w:bCs/>
              <w:sz w:val="28"/>
              <w:szCs w:val="28"/>
            </w:rPr>
            <w:t>3</w:t>
          </w:r>
          <w:bookmarkEnd w:id="15"/>
          <w:r>
            <w:rPr>
              <w:rFonts w:hint="eastAsia" w:ascii="方正仿宋简体" w:hAnsi="方正仿宋简体" w:eastAsia="方正仿宋简体" w:cs="方正仿宋简体"/>
              <w:b/>
              <w:bCs/>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_Toc16360_WPSOffice_Level2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22db1579-aadb-44b4-b6fd-0820e9faabc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 主要职责</w:t>
              </w:r>
            </w:sdtContent>
          </w:sdt>
          <w:r>
            <w:rPr>
              <w:rFonts w:hint="eastAsia" w:ascii="方正仿宋简体" w:hAnsi="方正仿宋简体" w:eastAsia="方正仿宋简体" w:cs="方正仿宋简体"/>
              <w:sz w:val="28"/>
              <w:szCs w:val="28"/>
            </w:rPr>
            <w:tab/>
          </w:r>
          <w:bookmarkStart w:id="16" w:name="_Toc16360_WPSOffice_Level2Page"/>
          <w:r>
            <w:rPr>
              <w:rFonts w:hint="eastAsia" w:ascii="方正仿宋简体" w:hAnsi="方正仿宋简体" w:eastAsia="方正仿宋简体" w:cs="方正仿宋简体"/>
              <w:sz w:val="28"/>
              <w:szCs w:val="28"/>
            </w:rPr>
            <w:t>3</w:t>
          </w:r>
          <w:bookmarkEnd w:id="16"/>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_Toc20762_WPSOffice_Level2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af837ab6-ed23-4192-b072-66904f0b7df2}"/>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二、机构设置</w:t>
              </w:r>
            </w:sdtContent>
          </w:sdt>
          <w:r>
            <w:rPr>
              <w:rFonts w:hint="eastAsia" w:ascii="方正仿宋简体" w:hAnsi="方正仿宋简体" w:eastAsia="方正仿宋简体" w:cs="方正仿宋简体"/>
              <w:sz w:val="28"/>
              <w:szCs w:val="28"/>
            </w:rPr>
            <w:tab/>
          </w:r>
          <w:bookmarkStart w:id="17" w:name="_Toc20762_WPSOffice_Level2Page"/>
          <w:r>
            <w:rPr>
              <w:rFonts w:hint="eastAsia" w:ascii="方正仿宋简体" w:hAnsi="方正仿宋简体" w:eastAsia="方正仿宋简体" w:cs="方正仿宋简体"/>
              <w:sz w:val="28"/>
              <w:szCs w:val="28"/>
            </w:rPr>
            <w:t>4</w:t>
          </w:r>
          <w:bookmarkEnd w:id="17"/>
          <w:r>
            <w:rPr>
              <w:rFonts w:hint="eastAsia" w:ascii="方正仿宋简体" w:hAnsi="方正仿宋简体" w:eastAsia="方正仿宋简体" w:cs="方正仿宋简体"/>
              <w:sz w:val="28"/>
              <w:szCs w:val="28"/>
            </w:rPr>
            <w:fldChar w:fldCharType="end"/>
          </w:r>
        </w:p>
        <w:p>
          <w:pPr>
            <w:pStyle w:val="33"/>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_Toc16360_WPSOffice_Level1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75180"/>
              <w:placeholder>
                <w:docPart w:val="{a62e70c8-86b4-4c09-9468-249b63423447}"/>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第二部分 2023年度单位决算情况说明</w:t>
              </w:r>
            </w:sdtContent>
          </w:sdt>
          <w:r>
            <w:rPr>
              <w:rFonts w:hint="eastAsia" w:ascii="方正仿宋简体" w:hAnsi="方正仿宋简体" w:eastAsia="方正仿宋简体" w:cs="方正仿宋简体"/>
              <w:b/>
              <w:bCs/>
              <w:sz w:val="28"/>
              <w:szCs w:val="28"/>
            </w:rPr>
            <w:tab/>
          </w:r>
          <w:bookmarkStart w:id="18" w:name="_Toc16360_WPSOffice_Level1Page"/>
          <w:r>
            <w:rPr>
              <w:rFonts w:hint="eastAsia" w:ascii="方正仿宋简体" w:hAnsi="方正仿宋简体" w:eastAsia="方正仿宋简体" w:cs="方正仿宋简体"/>
              <w:b/>
              <w:bCs/>
              <w:sz w:val="28"/>
              <w:szCs w:val="28"/>
            </w:rPr>
            <w:t>6</w:t>
          </w:r>
          <w:bookmarkEnd w:id="18"/>
          <w:r>
            <w:rPr>
              <w:rFonts w:hint="eastAsia" w:ascii="方正仿宋简体" w:hAnsi="方正仿宋简体" w:eastAsia="方正仿宋简体" w:cs="方正仿宋简体"/>
              <w:b/>
              <w:bCs/>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_Toc4580_WPSOffice_Level2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6afafe72-bb7e-4bca-8a98-aa1f049191b5}"/>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 收入支出决算总体情况说明</w:t>
              </w:r>
            </w:sdtContent>
          </w:sdt>
          <w:r>
            <w:rPr>
              <w:rFonts w:hint="eastAsia" w:ascii="方正仿宋简体" w:hAnsi="方正仿宋简体" w:eastAsia="方正仿宋简体" w:cs="方正仿宋简体"/>
              <w:sz w:val="28"/>
              <w:szCs w:val="28"/>
            </w:rPr>
            <w:tab/>
          </w:r>
          <w:bookmarkStart w:id="19" w:name="_Toc4580_WPSOffice_Level2Page"/>
          <w:r>
            <w:rPr>
              <w:rFonts w:hint="eastAsia" w:ascii="方正仿宋简体" w:hAnsi="方正仿宋简体" w:eastAsia="方正仿宋简体" w:cs="方正仿宋简体"/>
              <w:sz w:val="28"/>
              <w:szCs w:val="28"/>
            </w:rPr>
            <w:t>6</w:t>
          </w:r>
          <w:bookmarkEnd w:id="19"/>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_Toc31258_WPSOffice_Level2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62d12015-ce6d-4864-83fb-df2f85a7e2c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 收入决算情况说明</w:t>
              </w:r>
            </w:sdtContent>
          </w:sdt>
          <w:r>
            <w:rPr>
              <w:rFonts w:hint="eastAsia" w:ascii="方正仿宋简体" w:hAnsi="方正仿宋简体" w:eastAsia="方正仿宋简体" w:cs="方正仿宋简体"/>
              <w:sz w:val="28"/>
              <w:szCs w:val="28"/>
            </w:rPr>
            <w:tab/>
          </w:r>
          <w:bookmarkStart w:id="20" w:name="_Toc31258_WPSOffice_Level2Page"/>
          <w:r>
            <w:rPr>
              <w:rFonts w:hint="eastAsia" w:ascii="方正仿宋简体" w:hAnsi="方正仿宋简体" w:eastAsia="方正仿宋简体" w:cs="方正仿宋简体"/>
              <w:sz w:val="28"/>
              <w:szCs w:val="28"/>
            </w:rPr>
            <w:t>7</w:t>
          </w:r>
          <w:bookmarkEnd w:id="20"/>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_Toc27302_WPSOffice_Level2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d8805d55-8592-4280-8fc5-f4cf6754b37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 支出决算情况说明</w:t>
              </w:r>
            </w:sdtContent>
          </w:sdt>
          <w:r>
            <w:rPr>
              <w:rFonts w:hint="eastAsia" w:ascii="方正仿宋简体" w:hAnsi="方正仿宋简体" w:eastAsia="方正仿宋简体" w:cs="方正仿宋简体"/>
              <w:sz w:val="28"/>
              <w:szCs w:val="28"/>
            </w:rPr>
            <w:tab/>
          </w:r>
          <w:bookmarkStart w:id="21" w:name="_Toc27302_WPSOffice_Level2Page"/>
          <w:r>
            <w:rPr>
              <w:rFonts w:hint="eastAsia" w:ascii="方正仿宋简体" w:hAnsi="方正仿宋简体" w:eastAsia="方正仿宋简体" w:cs="方正仿宋简体"/>
              <w:sz w:val="28"/>
              <w:szCs w:val="28"/>
            </w:rPr>
            <w:t>7</w:t>
          </w:r>
          <w:bookmarkEnd w:id="21"/>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_Toc25252_WPSOffice_Level2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53a65d77-89e7-41cb-8dca-af3cc59f90e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四、财政拨款收入支出决算总体情况说明</w:t>
              </w:r>
            </w:sdtContent>
          </w:sdt>
          <w:r>
            <w:rPr>
              <w:rFonts w:hint="eastAsia" w:ascii="方正仿宋简体" w:hAnsi="方正仿宋简体" w:eastAsia="方正仿宋简体" w:cs="方正仿宋简体"/>
              <w:sz w:val="28"/>
              <w:szCs w:val="28"/>
            </w:rPr>
            <w:tab/>
          </w:r>
          <w:bookmarkStart w:id="22" w:name="_Toc25252_WPSOffice_Level2Page"/>
          <w:r>
            <w:rPr>
              <w:rFonts w:hint="eastAsia" w:ascii="方正仿宋简体" w:hAnsi="方正仿宋简体" w:eastAsia="方正仿宋简体" w:cs="方正仿宋简体"/>
              <w:sz w:val="28"/>
              <w:szCs w:val="28"/>
            </w:rPr>
            <w:t>8</w:t>
          </w:r>
          <w:bookmarkEnd w:id="22"/>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_Toc3639_WPSOffice_Level2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d3a61a12-c312-4274-984b-23877f00d4f1}"/>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五、一般公共预算财政拨款支出决算情况说明</w:t>
              </w:r>
            </w:sdtContent>
          </w:sdt>
          <w:r>
            <w:rPr>
              <w:rFonts w:hint="eastAsia" w:ascii="方正仿宋简体" w:hAnsi="方正仿宋简体" w:eastAsia="方正仿宋简体" w:cs="方正仿宋简体"/>
              <w:sz w:val="28"/>
              <w:szCs w:val="28"/>
            </w:rPr>
            <w:tab/>
          </w:r>
          <w:bookmarkStart w:id="23" w:name="_Toc3639_WPSOffice_Level2Page"/>
          <w:r>
            <w:rPr>
              <w:rFonts w:hint="eastAsia" w:ascii="方正仿宋简体" w:hAnsi="方正仿宋简体" w:eastAsia="方正仿宋简体" w:cs="方正仿宋简体"/>
              <w:sz w:val="28"/>
              <w:szCs w:val="28"/>
            </w:rPr>
            <w:t>9</w:t>
          </w:r>
          <w:bookmarkEnd w:id="23"/>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_Toc16267_WPSOffice_Level2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bf88b000-277a-4c81-984f-a351a3a0b0b4}"/>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六、一般公共预算财政拨款基本支出决算情况说明</w:t>
              </w:r>
            </w:sdtContent>
          </w:sdt>
          <w:r>
            <w:rPr>
              <w:rFonts w:hint="eastAsia" w:ascii="方正仿宋简体" w:hAnsi="方正仿宋简体" w:eastAsia="方正仿宋简体" w:cs="方正仿宋简体"/>
              <w:sz w:val="28"/>
              <w:szCs w:val="28"/>
            </w:rPr>
            <w:tab/>
          </w:r>
          <w:bookmarkStart w:id="24" w:name="_Toc16267_WPSOffice_Level2Page"/>
          <w:r>
            <w:rPr>
              <w:rFonts w:hint="eastAsia" w:ascii="方正仿宋简体" w:hAnsi="方正仿宋简体" w:eastAsia="方正仿宋简体" w:cs="方正仿宋简体"/>
              <w:sz w:val="28"/>
              <w:szCs w:val="28"/>
            </w:rPr>
            <w:t>13</w:t>
          </w:r>
          <w:bookmarkEnd w:id="24"/>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_Toc858_WPSOffice_Level2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c48cbe16-7249-4608-97c5-55215d25345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七、财政拨款“三公”经费支出决算情况说明</w:t>
              </w:r>
            </w:sdtContent>
          </w:sdt>
          <w:r>
            <w:rPr>
              <w:rFonts w:hint="eastAsia" w:ascii="方正仿宋简体" w:hAnsi="方正仿宋简体" w:eastAsia="方正仿宋简体" w:cs="方正仿宋简体"/>
              <w:sz w:val="28"/>
              <w:szCs w:val="28"/>
            </w:rPr>
            <w:tab/>
          </w:r>
          <w:bookmarkStart w:id="25" w:name="_Toc858_WPSOffice_Level2Page"/>
          <w:r>
            <w:rPr>
              <w:rFonts w:hint="eastAsia" w:ascii="方正仿宋简体" w:hAnsi="方正仿宋简体" w:eastAsia="方正仿宋简体" w:cs="方正仿宋简体"/>
              <w:sz w:val="28"/>
              <w:szCs w:val="28"/>
            </w:rPr>
            <w:t>14</w:t>
          </w:r>
          <w:bookmarkEnd w:id="25"/>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_Toc5306_WPSOffice_Level2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e9c39eca-cf5c-42ab-b7c0-55888ba0798d}"/>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八、政府性基金预算支出决算情况说明</w:t>
              </w:r>
            </w:sdtContent>
          </w:sdt>
          <w:r>
            <w:rPr>
              <w:rFonts w:hint="eastAsia" w:ascii="方正仿宋简体" w:hAnsi="方正仿宋简体" w:eastAsia="方正仿宋简体" w:cs="方正仿宋简体"/>
              <w:sz w:val="28"/>
              <w:szCs w:val="28"/>
            </w:rPr>
            <w:tab/>
          </w:r>
          <w:bookmarkStart w:id="26" w:name="_Toc5306_WPSOffice_Level2Page"/>
          <w:r>
            <w:rPr>
              <w:rFonts w:hint="eastAsia" w:ascii="方正仿宋简体" w:hAnsi="方正仿宋简体" w:eastAsia="方正仿宋简体" w:cs="方正仿宋简体"/>
              <w:sz w:val="28"/>
              <w:szCs w:val="28"/>
            </w:rPr>
            <w:t>16</w:t>
          </w:r>
          <w:bookmarkEnd w:id="26"/>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_Toc23967_WPSOffice_Level2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cc5e307a-2ab6-436c-8e1c-8635914dc9e8}"/>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 国有资本经营预算支出决算情况说明</w:t>
              </w:r>
            </w:sdtContent>
          </w:sdt>
          <w:r>
            <w:rPr>
              <w:rFonts w:hint="eastAsia" w:ascii="方正仿宋简体" w:hAnsi="方正仿宋简体" w:eastAsia="方正仿宋简体" w:cs="方正仿宋简体"/>
              <w:sz w:val="28"/>
              <w:szCs w:val="28"/>
            </w:rPr>
            <w:tab/>
          </w:r>
          <w:bookmarkStart w:id="27" w:name="_Toc23967_WPSOffice_Level2Page"/>
          <w:r>
            <w:rPr>
              <w:rFonts w:hint="eastAsia" w:ascii="方正仿宋简体" w:hAnsi="方正仿宋简体" w:eastAsia="方正仿宋简体" w:cs="方正仿宋简体"/>
              <w:sz w:val="28"/>
              <w:szCs w:val="28"/>
            </w:rPr>
            <w:t>16</w:t>
          </w:r>
          <w:bookmarkEnd w:id="27"/>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_Toc4496_WPSOffice_Level2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6d2115dc-accb-4397-8022-d8afc80000e3}"/>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 其他重要事项的情况说明</w:t>
              </w:r>
            </w:sdtContent>
          </w:sdt>
          <w:r>
            <w:rPr>
              <w:rFonts w:hint="eastAsia" w:ascii="方正仿宋简体" w:hAnsi="方正仿宋简体" w:eastAsia="方正仿宋简体" w:cs="方正仿宋简体"/>
              <w:sz w:val="28"/>
              <w:szCs w:val="28"/>
            </w:rPr>
            <w:tab/>
          </w:r>
          <w:bookmarkStart w:id="28" w:name="_Toc4496_WPSOffice_Level2Page"/>
          <w:r>
            <w:rPr>
              <w:rFonts w:hint="eastAsia" w:ascii="方正仿宋简体" w:hAnsi="方正仿宋简体" w:eastAsia="方正仿宋简体" w:cs="方正仿宋简体"/>
              <w:sz w:val="28"/>
              <w:szCs w:val="28"/>
            </w:rPr>
            <w:t>16</w:t>
          </w:r>
          <w:bookmarkEnd w:id="28"/>
          <w:r>
            <w:rPr>
              <w:rFonts w:hint="eastAsia" w:ascii="方正仿宋简体" w:hAnsi="方正仿宋简体" w:eastAsia="方正仿宋简体" w:cs="方正仿宋简体"/>
              <w:sz w:val="28"/>
              <w:szCs w:val="28"/>
            </w:rPr>
            <w:fldChar w:fldCharType="end"/>
          </w:r>
        </w:p>
        <w:p>
          <w:pPr>
            <w:pStyle w:val="33"/>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_Toc20762_WPSOffice_Level1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75180"/>
              <w:placeholder>
                <w:docPart w:val="{714bb93f-80f7-4991-a933-4627f10a8531}"/>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第三部分 名词解释</w:t>
              </w:r>
            </w:sdtContent>
          </w:sdt>
          <w:r>
            <w:rPr>
              <w:rFonts w:hint="eastAsia" w:ascii="方正仿宋简体" w:hAnsi="方正仿宋简体" w:eastAsia="方正仿宋简体" w:cs="方正仿宋简体"/>
              <w:b/>
              <w:bCs/>
              <w:sz w:val="28"/>
              <w:szCs w:val="28"/>
            </w:rPr>
            <w:tab/>
          </w:r>
          <w:bookmarkStart w:id="29" w:name="_Toc20762_WPSOffice_Level1Page"/>
          <w:r>
            <w:rPr>
              <w:rFonts w:hint="eastAsia" w:ascii="方正仿宋简体" w:hAnsi="方正仿宋简体" w:eastAsia="方正仿宋简体" w:cs="方正仿宋简体"/>
              <w:b/>
              <w:bCs/>
              <w:sz w:val="28"/>
              <w:szCs w:val="28"/>
            </w:rPr>
            <w:t>18</w:t>
          </w:r>
          <w:bookmarkEnd w:id="29"/>
          <w:r>
            <w:rPr>
              <w:rFonts w:hint="eastAsia" w:ascii="方正仿宋简体" w:hAnsi="方正仿宋简体" w:eastAsia="方正仿宋简体" w:cs="方正仿宋简体"/>
              <w:b/>
              <w:bCs/>
              <w:sz w:val="28"/>
              <w:szCs w:val="28"/>
            </w:rPr>
            <w:fldChar w:fldCharType="end"/>
          </w:r>
        </w:p>
        <w:p>
          <w:pPr>
            <w:pStyle w:val="33"/>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_Toc4580_WPSOffice_Level1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75180"/>
              <w:placeholder>
                <w:docPart w:val="{d23cb2c0-5a97-47cb-a3d5-2bfee6ced3bc}"/>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第四部分 附件</w:t>
              </w:r>
            </w:sdtContent>
          </w:sdt>
          <w:r>
            <w:rPr>
              <w:rFonts w:hint="eastAsia" w:ascii="方正仿宋简体" w:hAnsi="方正仿宋简体" w:eastAsia="方正仿宋简体" w:cs="方正仿宋简体"/>
              <w:b/>
              <w:bCs/>
              <w:sz w:val="28"/>
              <w:szCs w:val="28"/>
            </w:rPr>
            <w:tab/>
          </w:r>
          <w:bookmarkStart w:id="30" w:name="_Toc4580_WPSOffice_Level1Page"/>
          <w:r>
            <w:rPr>
              <w:rFonts w:hint="eastAsia" w:ascii="方正仿宋简体" w:hAnsi="方正仿宋简体" w:eastAsia="方正仿宋简体" w:cs="方正仿宋简体"/>
              <w:b/>
              <w:bCs/>
              <w:sz w:val="28"/>
              <w:szCs w:val="28"/>
            </w:rPr>
            <w:t>22</w:t>
          </w:r>
          <w:bookmarkEnd w:id="30"/>
          <w:r>
            <w:rPr>
              <w:rFonts w:hint="eastAsia" w:ascii="方正仿宋简体" w:hAnsi="方正仿宋简体" w:eastAsia="方正仿宋简体" w:cs="方正仿宋简体"/>
              <w:b/>
              <w:bCs/>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_Toc30929_WPSOffice_Level2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e258190d-9ff0-4ca0-bbc7-00414823899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部门预算项目支出绩效自评表（2023年度）见附件</w:t>
              </w:r>
            </w:sdtContent>
          </w:sdt>
          <w:r>
            <w:rPr>
              <w:rFonts w:hint="eastAsia" w:ascii="方正仿宋简体" w:hAnsi="方正仿宋简体" w:eastAsia="方正仿宋简体" w:cs="方正仿宋简体"/>
              <w:sz w:val="28"/>
              <w:szCs w:val="28"/>
            </w:rPr>
            <w:tab/>
          </w:r>
          <w:bookmarkStart w:id="31" w:name="_Toc30929_WPSOffice_Level2Page"/>
          <w:r>
            <w:rPr>
              <w:rFonts w:hint="eastAsia" w:ascii="方正仿宋简体" w:hAnsi="方正仿宋简体" w:eastAsia="方正仿宋简体" w:cs="方正仿宋简体"/>
              <w:sz w:val="28"/>
              <w:szCs w:val="28"/>
            </w:rPr>
            <w:t>22</w:t>
          </w:r>
          <w:bookmarkEnd w:id="31"/>
          <w:r>
            <w:rPr>
              <w:rFonts w:hint="eastAsia" w:ascii="方正仿宋简体" w:hAnsi="方正仿宋简体" w:eastAsia="方正仿宋简体" w:cs="方正仿宋简体"/>
              <w:sz w:val="28"/>
              <w:szCs w:val="28"/>
            </w:rPr>
            <w:fldChar w:fldCharType="end"/>
          </w:r>
        </w:p>
        <w:p>
          <w:pPr>
            <w:pStyle w:val="33"/>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sz w:val="28"/>
              <w:szCs w:val="28"/>
            </w:rPr>
            <w:instrText xml:space="preserve"> HYPERLINK \l _Toc31258_WPSOffice_Level1 </w:instrText>
          </w:r>
          <w:r>
            <w:rPr>
              <w:rFonts w:hint="eastAsia" w:ascii="方正仿宋简体" w:hAnsi="方正仿宋简体" w:eastAsia="方正仿宋简体" w:cs="方正仿宋简体"/>
              <w:b/>
              <w:bCs/>
              <w:sz w:val="28"/>
              <w:szCs w:val="28"/>
            </w:rPr>
            <w:fldChar w:fldCharType="separate"/>
          </w:r>
          <w:sdt>
            <w:sdtPr>
              <w:rPr>
                <w:rFonts w:hint="eastAsia" w:ascii="方正仿宋简体" w:hAnsi="方正仿宋简体" w:eastAsia="方正仿宋简体" w:cs="方正仿宋简体"/>
                <w:b/>
                <w:bCs/>
                <w:kern w:val="2"/>
                <w:sz w:val="28"/>
                <w:szCs w:val="28"/>
                <w:lang w:val="en-US" w:eastAsia="zh-CN" w:bidi="ar-SA"/>
              </w:rPr>
              <w:id w:val="147475180"/>
              <w:placeholder>
                <w:docPart w:val="{0e767380-9c97-4a23-9bb9-f4b898dba93a}"/>
              </w:placeholder>
            </w:sdtPr>
            <w:sdtEndPr>
              <w:rPr>
                <w:rFonts w:hint="eastAsia" w:ascii="方正仿宋简体" w:hAnsi="方正仿宋简体" w:eastAsia="方正仿宋简体" w:cs="方正仿宋简体"/>
                <w:b/>
                <w:bCs/>
                <w:kern w:val="2"/>
                <w:sz w:val="28"/>
                <w:szCs w:val="28"/>
                <w:lang w:val="en-US" w:eastAsia="zh-CN" w:bidi="ar-SA"/>
              </w:rPr>
            </w:sdtEndPr>
            <w:sdtContent>
              <w:r>
                <w:rPr>
                  <w:rFonts w:hint="eastAsia" w:ascii="方正仿宋简体" w:hAnsi="方正仿宋简体" w:eastAsia="方正仿宋简体" w:cs="方正仿宋简体"/>
                  <w:b/>
                  <w:bCs/>
                  <w:sz w:val="28"/>
                  <w:szCs w:val="28"/>
                </w:rPr>
                <w:t>第五部分 附表</w:t>
              </w:r>
            </w:sdtContent>
          </w:sdt>
          <w:r>
            <w:rPr>
              <w:rFonts w:hint="eastAsia" w:ascii="方正仿宋简体" w:hAnsi="方正仿宋简体" w:eastAsia="方正仿宋简体" w:cs="方正仿宋简体"/>
              <w:b/>
              <w:bCs/>
              <w:sz w:val="28"/>
              <w:szCs w:val="28"/>
            </w:rPr>
            <w:tab/>
          </w:r>
          <w:bookmarkStart w:id="32" w:name="_Toc31258_WPSOffice_Level1Page"/>
          <w:r>
            <w:rPr>
              <w:rFonts w:hint="eastAsia" w:ascii="方正仿宋简体" w:hAnsi="方正仿宋简体" w:eastAsia="方正仿宋简体" w:cs="方正仿宋简体"/>
              <w:b/>
              <w:bCs/>
              <w:sz w:val="28"/>
              <w:szCs w:val="28"/>
            </w:rPr>
            <w:t>23</w:t>
          </w:r>
          <w:bookmarkEnd w:id="32"/>
          <w:r>
            <w:rPr>
              <w:rFonts w:hint="eastAsia" w:ascii="方正仿宋简体" w:hAnsi="方正仿宋简体" w:eastAsia="方正仿宋简体" w:cs="方正仿宋简体"/>
              <w:b/>
              <w:bCs/>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_Toc27909_WPSOffice_Level2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3ee9da67-8c2d-4520-9845-a695d50641f9}"/>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一、收入支出决算总表</w:t>
              </w:r>
            </w:sdtContent>
          </w:sdt>
          <w:r>
            <w:rPr>
              <w:rFonts w:hint="eastAsia" w:ascii="方正仿宋简体" w:hAnsi="方正仿宋简体" w:eastAsia="方正仿宋简体" w:cs="方正仿宋简体"/>
              <w:sz w:val="28"/>
              <w:szCs w:val="28"/>
            </w:rPr>
            <w:tab/>
          </w:r>
          <w:bookmarkStart w:id="33" w:name="_Toc27909_WPSOffice_Level2Page"/>
          <w:r>
            <w:rPr>
              <w:rFonts w:hint="eastAsia" w:ascii="方正仿宋简体" w:hAnsi="方正仿宋简体" w:eastAsia="方正仿宋简体" w:cs="方正仿宋简体"/>
              <w:sz w:val="28"/>
              <w:szCs w:val="28"/>
            </w:rPr>
            <w:t>23</w:t>
          </w:r>
          <w:bookmarkEnd w:id="33"/>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_Toc14580_WPSOffice_Level2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c702b75b-72b3-42bd-a6af-22a0822dd3ce}"/>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二、收入决算表</w:t>
              </w:r>
            </w:sdtContent>
          </w:sdt>
          <w:r>
            <w:rPr>
              <w:rFonts w:hint="eastAsia" w:ascii="方正仿宋简体" w:hAnsi="方正仿宋简体" w:eastAsia="方正仿宋简体" w:cs="方正仿宋简体"/>
              <w:sz w:val="28"/>
              <w:szCs w:val="28"/>
            </w:rPr>
            <w:tab/>
          </w:r>
          <w:bookmarkStart w:id="34" w:name="_Toc14580_WPSOffice_Level2Page"/>
          <w:r>
            <w:rPr>
              <w:rFonts w:hint="eastAsia" w:ascii="方正仿宋简体" w:hAnsi="方正仿宋简体" w:eastAsia="方正仿宋简体" w:cs="方正仿宋简体"/>
              <w:sz w:val="28"/>
              <w:szCs w:val="28"/>
            </w:rPr>
            <w:t>23</w:t>
          </w:r>
          <w:bookmarkEnd w:id="34"/>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_Toc10291_WPSOffice_Level2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73449020-00f2-4380-ae13-299e6a164ecd}"/>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三、支出决算表</w:t>
              </w:r>
            </w:sdtContent>
          </w:sdt>
          <w:r>
            <w:rPr>
              <w:rFonts w:hint="eastAsia" w:ascii="方正仿宋简体" w:hAnsi="方正仿宋简体" w:eastAsia="方正仿宋简体" w:cs="方正仿宋简体"/>
              <w:sz w:val="28"/>
              <w:szCs w:val="28"/>
            </w:rPr>
            <w:tab/>
          </w:r>
          <w:bookmarkStart w:id="35" w:name="_Toc10291_WPSOffice_Level2Page"/>
          <w:r>
            <w:rPr>
              <w:rFonts w:hint="eastAsia" w:ascii="方正仿宋简体" w:hAnsi="方正仿宋简体" w:eastAsia="方正仿宋简体" w:cs="方正仿宋简体"/>
              <w:sz w:val="28"/>
              <w:szCs w:val="28"/>
            </w:rPr>
            <w:t>23</w:t>
          </w:r>
          <w:bookmarkEnd w:id="35"/>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_Toc15165_WPSOffice_Level2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6f5339b1-8834-4fe4-905e-76ce1d6d1d5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四、财政拨款收入支出决算总表</w:t>
              </w:r>
            </w:sdtContent>
          </w:sdt>
          <w:r>
            <w:rPr>
              <w:rFonts w:hint="eastAsia" w:ascii="方正仿宋简体" w:hAnsi="方正仿宋简体" w:eastAsia="方正仿宋简体" w:cs="方正仿宋简体"/>
              <w:sz w:val="28"/>
              <w:szCs w:val="28"/>
            </w:rPr>
            <w:tab/>
          </w:r>
          <w:bookmarkStart w:id="36" w:name="_Toc15165_WPSOffice_Level2Page"/>
          <w:r>
            <w:rPr>
              <w:rFonts w:hint="eastAsia" w:ascii="方正仿宋简体" w:hAnsi="方正仿宋简体" w:eastAsia="方正仿宋简体" w:cs="方正仿宋简体"/>
              <w:sz w:val="28"/>
              <w:szCs w:val="28"/>
            </w:rPr>
            <w:t>23</w:t>
          </w:r>
          <w:bookmarkEnd w:id="36"/>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_Toc4604_WPSOffice_Level2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34885a55-5f97-4f0e-8e28-d7f8a5d6bc5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五、财政拨款支出决算明细表</w:t>
              </w:r>
            </w:sdtContent>
          </w:sdt>
          <w:r>
            <w:rPr>
              <w:rFonts w:hint="eastAsia" w:ascii="方正仿宋简体" w:hAnsi="方正仿宋简体" w:eastAsia="方正仿宋简体" w:cs="方正仿宋简体"/>
              <w:sz w:val="28"/>
              <w:szCs w:val="28"/>
            </w:rPr>
            <w:tab/>
          </w:r>
          <w:bookmarkStart w:id="37" w:name="_Toc4604_WPSOffice_Level2Page"/>
          <w:r>
            <w:rPr>
              <w:rFonts w:hint="eastAsia" w:ascii="方正仿宋简体" w:hAnsi="方正仿宋简体" w:eastAsia="方正仿宋简体" w:cs="方正仿宋简体"/>
              <w:sz w:val="28"/>
              <w:szCs w:val="28"/>
            </w:rPr>
            <w:t>23</w:t>
          </w:r>
          <w:bookmarkEnd w:id="37"/>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_Toc1949_WPSOffice_Level2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d0c4384d-2039-48b5-a383-700fa2650a6c}"/>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六、一般公共预算财政拨款支出决算表</w:t>
              </w:r>
            </w:sdtContent>
          </w:sdt>
          <w:r>
            <w:rPr>
              <w:rFonts w:hint="eastAsia" w:ascii="方正仿宋简体" w:hAnsi="方正仿宋简体" w:eastAsia="方正仿宋简体" w:cs="方正仿宋简体"/>
              <w:sz w:val="28"/>
              <w:szCs w:val="28"/>
            </w:rPr>
            <w:tab/>
          </w:r>
          <w:bookmarkStart w:id="38" w:name="_Toc1949_WPSOffice_Level2Page"/>
          <w:r>
            <w:rPr>
              <w:rFonts w:hint="eastAsia" w:ascii="方正仿宋简体" w:hAnsi="方正仿宋简体" w:eastAsia="方正仿宋简体" w:cs="方正仿宋简体"/>
              <w:sz w:val="28"/>
              <w:szCs w:val="28"/>
            </w:rPr>
            <w:t>23</w:t>
          </w:r>
          <w:bookmarkEnd w:id="38"/>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_Toc31953_WPSOffice_Level2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b9459219-d078-44e3-aa36-3846f34424a3}"/>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七、一般公共预算财政拨款支出决算明细表</w:t>
              </w:r>
            </w:sdtContent>
          </w:sdt>
          <w:r>
            <w:rPr>
              <w:rFonts w:hint="eastAsia" w:ascii="方正仿宋简体" w:hAnsi="方正仿宋简体" w:eastAsia="方正仿宋简体" w:cs="方正仿宋简体"/>
              <w:sz w:val="28"/>
              <w:szCs w:val="28"/>
            </w:rPr>
            <w:tab/>
          </w:r>
          <w:bookmarkStart w:id="39" w:name="_Toc31953_WPSOffice_Level2Page"/>
          <w:r>
            <w:rPr>
              <w:rFonts w:hint="eastAsia" w:ascii="方正仿宋简体" w:hAnsi="方正仿宋简体" w:eastAsia="方正仿宋简体" w:cs="方正仿宋简体"/>
              <w:sz w:val="28"/>
              <w:szCs w:val="28"/>
            </w:rPr>
            <w:t>23</w:t>
          </w:r>
          <w:bookmarkEnd w:id="39"/>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_Toc4058_WPSOffice_Level2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f3fbd373-aa2e-4337-a65c-d18f23274349}"/>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八、一般公共预算财政拨款基本支出决算表</w:t>
              </w:r>
            </w:sdtContent>
          </w:sdt>
          <w:r>
            <w:rPr>
              <w:rFonts w:hint="eastAsia" w:ascii="方正仿宋简体" w:hAnsi="方正仿宋简体" w:eastAsia="方正仿宋简体" w:cs="方正仿宋简体"/>
              <w:sz w:val="28"/>
              <w:szCs w:val="28"/>
            </w:rPr>
            <w:tab/>
          </w:r>
          <w:bookmarkStart w:id="40" w:name="_Toc4058_WPSOffice_Level2Page"/>
          <w:r>
            <w:rPr>
              <w:rFonts w:hint="eastAsia" w:ascii="方正仿宋简体" w:hAnsi="方正仿宋简体" w:eastAsia="方正仿宋简体" w:cs="方正仿宋简体"/>
              <w:sz w:val="28"/>
              <w:szCs w:val="28"/>
            </w:rPr>
            <w:t>23</w:t>
          </w:r>
          <w:bookmarkEnd w:id="40"/>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_Toc24572_WPSOffice_Level2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a4c959f9-5d64-42be-9378-f89395d0b410}"/>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九、一般公共预算财政拨款项目支出决算表</w:t>
              </w:r>
            </w:sdtContent>
          </w:sdt>
          <w:r>
            <w:rPr>
              <w:rFonts w:hint="eastAsia" w:ascii="方正仿宋简体" w:hAnsi="方正仿宋简体" w:eastAsia="方正仿宋简体" w:cs="方正仿宋简体"/>
              <w:sz w:val="28"/>
              <w:szCs w:val="28"/>
            </w:rPr>
            <w:tab/>
          </w:r>
          <w:bookmarkStart w:id="41" w:name="_Toc24572_WPSOffice_Level2Page"/>
          <w:r>
            <w:rPr>
              <w:rFonts w:hint="eastAsia" w:ascii="方正仿宋简体" w:hAnsi="方正仿宋简体" w:eastAsia="方正仿宋简体" w:cs="方正仿宋简体"/>
              <w:sz w:val="28"/>
              <w:szCs w:val="28"/>
            </w:rPr>
            <w:t>23</w:t>
          </w:r>
          <w:bookmarkEnd w:id="41"/>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_Toc28755_WPSOffice_Level2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a53125cf-e016-4ed7-a9c7-07b2c1902014}"/>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十、政府性基金预算财政拨款收入支出决算表（此表无数据）</w:t>
              </w:r>
            </w:sdtContent>
          </w:sdt>
          <w:r>
            <w:rPr>
              <w:rFonts w:hint="eastAsia" w:ascii="方正仿宋简体" w:hAnsi="方正仿宋简体" w:eastAsia="方正仿宋简体" w:cs="方正仿宋简体"/>
              <w:sz w:val="28"/>
              <w:szCs w:val="28"/>
            </w:rPr>
            <w:tab/>
          </w:r>
          <w:bookmarkStart w:id="42" w:name="_Toc28755_WPSOffice_Level2Page"/>
          <w:r>
            <w:rPr>
              <w:rFonts w:hint="eastAsia" w:ascii="方正仿宋简体" w:hAnsi="方正仿宋简体" w:eastAsia="方正仿宋简体" w:cs="方正仿宋简体"/>
              <w:sz w:val="28"/>
              <w:szCs w:val="28"/>
            </w:rPr>
            <w:t>23</w:t>
          </w:r>
          <w:bookmarkEnd w:id="42"/>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_Toc10188_WPSOffice_Level2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2fc34e19-8f3a-4d79-8897-658f7b47eb1a}"/>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十一、国有资本经营预算财政拨款收入支出决算表（此表无数据）</w:t>
              </w:r>
            </w:sdtContent>
          </w:sdt>
          <w:r>
            <w:rPr>
              <w:rFonts w:hint="eastAsia" w:ascii="方正仿宋简体" w:hAnsi="方正仿宋简体" w:eastAsia="方正仿宋简体" w:cs="方正仿宋简体"/>
              <w:sz w:val="28"/>
              <w:szCs w:val="28"/>
            </w:rPr>
            <w:tab/>
          </w:r>
          <w:bookmarkStart w:id="43" w:name="_Toc10188_WPSOffice_Level2Page"/>
          <w:r>
            <w:rPr>
              <w:rFonts w:hint="eastAsia" w:ascii="方正仿宋简体" w:hAnsi="方正仿宋简体" w:eastAsia="方正仿宋简体" w:cs="方正仿宋简体"/>
              <w:sz w:val="28"/>
              <w:szCs w:val="28"/>
            </w:rPr>
            <w:t>23</w:t>
          </w:r>
          <w:bookmarkEnd w:id="43"/>
          <w:r>
            <w:rPr>
              <w:rFonts w:hint="eastAsia" w:ascii="方正仿宋简体" w:hAnsi="方正仿宋简体" w:eastAsia="方正仿宋简体" w:cs="方正仿宋简体"/>
              <w:sz w:val="28"/>
              <w:szCs w:val="28"/>
            </w:rPr>
            <w:fldChar w:fldCharType="end"/>
          </w:r>
        </w:p>
        <w:p>
          <w:pPr>
            <w:pStyle w:val="34"/>
            <w:tabs>
              <w:tab w:val="right" w:leader="dot" w:pos="8306"/>
            </w:tabs>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_Toc18386_WPSOffice_Level2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11495b09-66e6-4709-9936-46ad1bfc820f}"/>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十二、国有资本经营预算财政拨款支出决算表（此表无数据）</w:t>
              </w:r>
            </w:sdtContent>
          </w:sdt>
          <w:r>
            <w:rPr>
              <w:rFonts w:hint="eastAsia" w:ascii="方正仿宋简体" w:hAnsi="方正仿宋简体" w:eastAsia="方正仿宋简体" w:cs="方正仿宋简体"/>
              <w:sz w:val="28"/>
              <w:szCs w:val="28"/>
            </w:rPr>
            <w:tab/>
          </w:r>
          <w:bookmarkStart w:id="44" w:name="_Toc18386_WPSOffice_Level2Page"/>
          <w:r>
            <w:rPr>
              <w:rFonts w:hint="eastAsia" w:ascii="方正仿宋简体" w:hAnsi="方正仿宋简体" w:eastAsia="方正仿宋简体" w:cs="方正仿宋简体"/>
              <w:sz w:val="28"/>
              <w:szCs w:val="28"/>
            </w:rPr>
            <w:t>23</w:t>
          </w:r>
          <w:bookmarkEnd w:id="44"/>
          <w:r>
            <w:rPr>
              <w:rFonts w:hint="eastAsia" w:ascii="方正仿宋简体" w:hAnsi="方正仿宋简体" w:eastAsia="方正仿宋简体" w:cs="方正仿宋简体"/>
              <w:sz w:val="28"/>
              <w:szCs w:val="28"/>
            </w:rPr>
            <w:fldChar w:fldCharType="end"/>
          </w:r>
        </w:p>
        <w:p>
          <w:pPr>
            <w:pStyle w:val="34"/>
            <w:tabs>
              <w:tab w:val="right" w:leader="dot" w:pos="8306"/>
            </w:tabs>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HYPERLINK \l _Toc21658_WPSOffice_Level2 </w:instrText>
          </w:r>
          <w:r>
            <w:rPr>
              <w:rFonts w:hint="eastAsia" w:ascii="方正仿宋简体" w:hAnsi="方正仿宋简体" w:eastAsia="方正仿宋简体" w:cs="方正仿宋简体"/>
              <w:sz w:val="28"/>
              <w:szCs w:val="28"/>
            </w:rPr>
            <w:fldChar w:fldCharType="separate"/>
          </w:r>
          <w:sdt>
            <w:sdtPr>
              <w:rPr>
                <w:rFonts w:hint="eastAsia" w:ascii="方正仿宋简体" w:hAnsi="方正仿宋简体" w:eastAsia="方正仿宋简体" w:cs="方正仿宋简体"/>
                <w:kern w:val="2"/>
                <w:sz w:val="28"/>
                <w:szCs w:val="28"/>
                <w:lang w:val="en-US" w:eastAsia="zh-CN" w:bidi="ar-SA"/>
              </w:rPr>
              <w:id w:val="147475180"/>
              <w:placeholder>
                <w:docPart w:val="{0188f465-8c44-4679-a898-62b43b80b47c}"/>
              </w:placeholder>
            </w:sdtPr>
            <w:sdtEndPr>
              <w:rPr>
                <w:rFonts w:hint="eastAsia" w:ascii="方正仿宋简体" w:hAnsi="方正仿宋简体" w:eastAsia="方正仿宋简体" w:cs="方正仿宋简体"/>
                <w:kern w:val="2"/>
                <w:sz w:val="28"/>
                <w:szCs w:val="28"/>
                <w:lang w:val="en-US" w:eastAsia="zh-CN" w:bidi="ar-SA"/>
              </w:rPr>
            </w:sdtEndPr>
            <w:sdtContent>
              <w:r>
                <w:rPr>
                  <w:rFonts w:hint="eastAsia" w:ascii="方正仿宋简体" w:hAnsi="方正仿宋简体" w:eastAsia="方正仿宋简体" w:cs="方正仿宋简体"/>
                  <w:sz w:val="28"/>
                  <w:szCs w:val="28"/>
                </w:rPr>
                <w:t>十三、财政拨款“三公”经费支出决算表</w:t>
              </w:r>
            </w:sdtContent>
          </w:sdt>
          <w:r>
            <w:rPr>
              <w:rFonts w:hint="eastAsia" w:ascii="方正仿宋简体" w:hAnsi="方正仿宋简体" w:eastAsia="方正仿宋简体" w:cs="方正仿宋简体"/>
              <w:sz w:val="28"/>
              <w:szCs w:val="28"/>
            </w:rPr>
            <w:tab/>
          </w:r>
          <w:bookmarkStart w:id="45" w:name="_Toc21658_WPSOffice_Level2Page"/>
          <w:r>
            <w:rPr>
              <w:rFonts w:hint="eastAsia" w:ascii="方正仿宋简体" w:hAnsi="方正仿宋简体" w:eastAsia="方正仿宋简体" w:cs="方正仿宋简体"/>
              <w:sz w:val="28"/>
              <w:szCs w:val="28"/>
            </w:rPr>
            <w:t>23</w:t>
          </w:r>
          <w:bookmarkEnd w:id="45"/>
          <w:r>
            <w:rPr>
              <w:rFonts w:hint="eastAsia" w:ascii="方正仿宋简体" w:hAnsi="方正仿宋简体" w:eastAsia="方正仿宋简体" w:cs="方正仿宋简体"/>
              <w:sz w:val="28"/>
              <w:szCs w:val="28"/>
            </w:rPr>
            <w:fldChar w:fldCharType="end"/>
          </w:r>
          <w:bookmarkEnd w:id="12"/>
        </w:p>
      </w:sdtContent>
    </w:sdt>
    <w:p>
      <w:pPr>
        <w:widowControl/>
        <w:adjustRightInd w:val="0"/>
        <w:snapToGrid w:val="0"/>
        <w:spacing w:line="440" w:lineRule="exact"/>
        <w:ind w:firstLine="1980" w:firstLineChars="550"/>
        <w:jc w:val="left"/>
        <w:rPr>
          <w:rFonts w:hint="eastAsia" w:asciiTheme="minorEastAsia" w:hAnsiTheme="minorEastAsia" w:eastAsiaTheme="minorEastAsia" w:cstheme="minorEastAsia"/>
          <w:bCs/>
          <w:kern w:val="44"/>
          <w:sz w:val="36"/>
          <w:szCs w:val="36"/>
        </w:rPr>
      </w:pPr>
    </w:p>
    <w:p>
      <w:pPr>
        <w:pStyle w:val="2"/>
        <w:rPr>
          <w:rFonts w:hint="eastAsia" w:asciiTheme="minorEastAsia" w:hAnsiTheme="minorEastAsia" w:eastAsiaTheme="minorEastAsia" w:cstheme="minorEastAsia"/>
          <w:bCs/>
          <w:kern w:val="44"/>
          <w:sz w:val="36"/>
          <w:szCs w:val="36"/>
        </w:rPr>
      </w:pPr>
    </w:p>
    <w:p>
      <w:pPr>
        <w:pStyle w:val="2"/>
        <w:rPr>
          <w:rFonts w:hint="eastAsia" w:asciiTheme="minorEastAsia" w:hAnsiTheme="minorEastAsia" w:eastAsiaTheme="minorEastAsia" w:cstheme="minorEastAsia"/>
          <w:bCs/>
          <w:kern w:val="44"/>
          <w:sz w:val="36"/>
          <w:szCs w:val="36"/>
        </w:rPr>
      </w:pPr>
    </w:p>
    <w:p>
      <w:pPr>
        <w:pStyle w:val="2"/>
        <w:rPr>
          <w:rFonts w:hint="eastAsia" w:asciiTheme="minorEastAsia" w:hAnsiTheme="minorEastAsia" w:eastAsiaTheme="minorEastAsia" w:cstheme="minorEastAsia"/>
          <w:bCs/>
          <w:kern w:val="44"/>
          <w:sz w:val="36"/>
          <w:szCs w:val="36"/>
        </w:rPr>
      </w:pPr>
    </w:p>
    <w:p>
      <w:pPr>
        <w:pStyle w:val="3"/>
        <w:jc w:val="center"/>
        <w:rPr>
          <w:rFonts w:ascii="黑体" w:eastAsia="黑体"/>
          <w:sz w:val="32"/>
          <w:szCs w:val="32"/>
        </w:rPr>
      </w:pPr>
      <w:bookmarkStart w:id="46" w:name="_Toc26036_WPSOffice_Level1"/>
      <w:r>
        <w:rPr>
          <w:rFonts w:hint="eastAsia" w:ascii="黑体" w:hAnsi="黑体" w:eastAsia="黑体"/>
          <w:b w:val="0"/>
        </w:rPr>
        <w:t>第一部分 单位</w:t>
      </w:r>
      <w:r>
        <w:rPr>
          <w:rStyle w:val="27"/>
          <w:rFonts w:hint="eastAsia" w:ascii="黑体" w:hAnsi="黑体" w:eastAsia="黑体"/>
          <w:b w:val="0"/>
          <w:bCs w:val="0"/>
        </w:rPr>
        <w:t>概况</w:t>
      </w:r>
      <w:bookmarkEnd w:id="13"/>
      <w:bookmarkEnd w:id="14"/>
      <w:bookmarkEnd w:id="46"/>
    </w:p>
    <w:p>
      <w:pPr>
        <w:pStyle w:val="4"/>
        <w:numPr>
          <w:ilvl w:val="0"/>
          <w:numId w:val="1"/>
        </w:numPr>
        <w:rPr>
          <w:rStyle w:val="28"/>
          <w:rFonts w:ascii="黑体" w:hAnsi="黑体" w:eastAsia="黑体"/>
          <w:b w:val="0"/>
          <w:bCs w:val="0"/>
        </w:rPr>
      </w:pPr>
      <w:bookmarkStart w:id="47" w:name="_Toc16360_WPSOffice_Level2"/>
      <w:bookmarkStart w:id="48" w:name="_Toc15396600"/>
      <w:bookmarkStart w:id="49" w:name="_Toc15377197"/>
      <w:r>
        <w:rPr>
          <w:rStyle w:val="28"/>
          <w:rFonts w:hint="eastAsia" w:ascii="黑体" w:hAnsi="黑体" w:eastAsia="黑体"/>
          <w:b w:val="0"/>
          <w:bCs w:val="0"/>
        </w:rPr>
        <w:t>主要职责</w:t>
      </w:r>
      <w:bookmarkEnd w:id="47"/>
    </w:p>
    <w:p>
      <w:pPr>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color w:val="000000"/>
          <w:kern w:val="0"/>
          <w:sz w:val="32"/>
          <w:szCs w:val="32"/>
          <w:lang w:val="en-US" w:eastAsia="zh-CN" w:bidi="ar-SA"/>
        </w:rPr>
      </w:pPr>
      <w:r>
        <w:rPr>
          <w:rFonts w:hint="eastAsia" w:ascii="仿宋_GB2312" w:eastAsia="仿宋_GB2312" w:cs="Times New Roman"/>
          <w:b/>
          <w:bCs/>
          <w:color w:val="000000"/>
          <w:kern w:val="0"/>
          <w:sz w:val="32"/>
          <w:szCs w:val="32"/>
          <w:lang w:val="en-US" w:eastAsia="zh-CN" w:bidi="ar-SA"/>
        </w:rPr>
        <w:t>1.</w:t>
      </w:r>
      <w:r>
        <w:rPr>
          <w:rFonts w:hint="eastAsia" w:ascii="仿宋_GB2312" w:hAnsi="Times New Roman" w:eastAsia="仿宋_GB2312" w:cs="Times New Roman"/>
          <w:b/>
          <w:bCs/>
          <w:color w:val="000000"/>
          <w:kern w:val="0"/>
          <w:sz w:val="32"/>
          <w:szCs w:val="32"/>
          <w:lang w:val="en-US" w:eastAsia="zh-CN" w:bidi="ar-SA"/>
        </w:rPr>
        <w:t>市公路</w:t>
      </w:r>
      <w:r>
        <w:rPr>
          <w:rFonts w:hint="eastAsia" w:ascii="仿宋_GB2312" w:eastAsia="仿宋_GB2312" w:cs="Times New Roman"/>
          <w:b/>
          <w:bCs/>
          <w:color w:val="000000"/>
          <w:kern w:val="0"/>
          <w:sz w:val="32"/>
          <w:szCs w:val="32"/>
          <w:lang w:val="en-US" w:eastAsia="zh-CN" w:bidi="ar-SA"/>
        </w:rPr>
        <w:t>事业发展中心</w:t>
      </w:r>
      <w:r>
        <w:rPr>
          <w:rFonts w:hint="eastAsia" w:ascii="仿宋_GB2312" w:hAnsi="Times New Roman" w:eastAsia="仿宋_GB2312" w:cs="Times New Roman"/>
          <w:b/>
          <w:bCs/>
          <w:color w:val="000000"/>
          <w:kern w:val="0"/>
          <w:sz w:val="32"/>
          <w:szCs w:val="32"/>
          <w:lang w:val="en-US" w:eastAsia="zh-CN" w:bidi="ar-SA"/>
        </w:rPr>
        <w:t>：为市交通运输局提供行政辅助和技术支持的职能</w:t>
      </w:r>
      <w:r>
        <w:rPr>
          <w:rFonts w:hint="eastAsia" w:ascii="仿宋_GB2312" w:eastAsia="仿宋_GB2312" w:cs="Times New Roman"/>
          <w:b/>
          <w:bCs/>
          <w:color w:val="000000"/>
          <w:kern w:val="0"/>
          <w:sz w:val="32"/>
          <w:szCs w:val="32"/>
          <w:lang w:val="en-US" w:eastAsia="zh-CN" w:bidi="ar-SA"/>
        </w:rPr>
        <w:t>：</w:t>
      </w:r>
      <w:r>
        <w:rPr>
          <w:rFonts w:hint="eastAsia" w:ascii="仿宋_GB2312" w:hAnsi="Times New Roman" w:eastAsia="仿宋_GB2312" w:cs="Times New Roman"/>
          <w:color w:val="000000"/>
          <w:kern w:val="0"/>
          <w:sz w:val="32"/>
          <w:szCs w:val="32"/>
          <w:lang w:val="en-US" w:eastAsia="zh-CN" w:bidi="ar-SA"/>
        </w:rPr>
        <w:t>贯彻执行国家有关公路的法律、法规、规章和方针政策、技术规范、养护标准;参与拟定全市普通公路发展政策、规章和标准并协助实施;参与编制全市普通公路发展规划、计划;承担全市公路规划、建设、养护和管理等行政辅助工作。承担普通国省干线公路设计类、竣工类，公路养护工程项目、桥隧大修(改建)项目的设计类，农村公路设计类，公路设施服务及涉路施工等行政许可的行政辅助工作。承担普通公路建设和养护行业管理、基础设施管理和保护，公路行业节能减排及环保指导，全市普通国省道抢通保通，普通公路路况评估管理的行政辅助工作。承担全市普通公路行业安全生产监督管理和应急管理的行政辅助工作;参与有关普通公路事故的调查处理工作;参与普通公路战备保障协调工作。承担普通公路行业的科技技术指导、教育培训的技术支撑和新技术推广应用等工作。负责统筹交通运输信息化发展建设和技术支撑工作，负责交通运输信息化系统的运行、维护和管理，提供交通运行应急调度保障</w:t>
      </w:r>
      <w:r>
        <w:rPr>
          <w:rFonts w:hint="eastAsia" w:ascii="仿宋_GB2312" w:eastAsia="仿宋_GB2312" w:cs="Times New Roman"/>
          <w:color w:val="000000"/>
          <w:kern w:val="0"/>
          <w:sz w:val="32"/>
          <w:szCs w:val="32"/>
          <w:lang w:val="en-US" w:eastAsia="zh-CN" w:bidi="ar-SA"/>
        </w:rPr>
        <w:t>。</w:t>
      </w:r>
      <w:r>
        <w:rPr>
          <w:rFonts w:hint="eastAsia" w:ascii="仿宋_GB2312" w:hAnsi="Times New Roman" w:eastAsia="仿宋_GB2312" w:cs="Times New Roman"/>
          <w:color w:val="000000"/>
          <w:kern w:val="0"/>
          <w:sz w:val="32"/>
          <w:szCs w:val="32"/>
          <w:lang w:val="en-US" w:eastAsia="zh-CN" w:bidi="ar-SA"/>
        </w:rPr>
        <w:t>完成市交通运输局交办的其他任务。</w:t>
      </w:r>
      <w:r>
        <w:rPr>
          <w:rFonts w:hint="eastAsia" w:ascii="仿宋_GB2312" w:hAnsi="Times New Roman" w:eastAsia="仿宋_GB2312" w:cs="Times New Roman"/>
          <w:b/>
          <w:bCs/>
          <w:color w:val="000000"/>
          <w:kern w:val="0"/>
          <w:sz w:val="32"/>
          <w:szCs w:val="32"/>
          <w:lang w:val="en-US" w:eastAsia="zh-CN" w:bidi="ar-SA"/>
        </w:rPr>
        <w:t>面向社会提供公益服务的职能</w:t>
      </w:r>
      <w:r>
        <w:rPr>
          <w:rFonts w:hint="eastAsia" w:ascii="仿宋_GB2312" w:eastAsia="仿宋_GB2312" w:cs="Times New Roman"/>
          <w:b/>
          <w:bCs/>
          <w:color w:val="000000"/>
          <w:kern w:val="0"/>
          <w:sz w:val="32"/>
          <w:szCs w:val="32"/>
          <w:lang w:val="en-US" w:eastAsia="zh-CN" w:bidi="ar-SA"/>
        </w:rPr>
        <w:t>：</w:t>
      </w:r>
      <w:r>
        <w:rPr>
          <w:rFonts w:hint="eastAsia" w:ascii="仿宋_GB2312" w:hAnsi="Times New Roman" w:eastAsia="仿宋_GB2312" w:cs="Times New Roman"/>
          <w:color w:val="000000"/>
          <w:kern w:val="0"/>
          <w:sz w:val="32"/>
          <w:szCs w:val="32"/>
          <w:lang w:val="en-US" w:eastAsia="zh-CN" w:bidi="ar-SA"/>
        </w:rPr>
        <w:t>承担普通公路路网的基础数据公共服务工作。承担普通公路网运行状况管理和信息服务工作。负责普通公路行业统计数据的发布工作。负责交通运输服务监督热线12328的管理、派单、督办和回访工作。承担普通公路路网的基础数据公共服务工作;承担普通公路行业信息化建设和普通公路网运行状况信息服务工作;负责普通公路行业统计数据的发布工作。</w:t>
      </w:r>
    </w:p>
    <w:p>
      <w:r>
        <w:rPr>
          <w:rFonts w:hint="eastAsia" w:ascii="仿宋_GB2312" w:eastAsia="仿宋_GB2312" w:cs="Times New Roman"/>
          <w:b/>
          <w:bCs/>
          <w:color w:val="000000"/>
          <w:kern w:val="0"/>
          <w:sz w:val="32"/>
          <w:szCs w:val="32"/>
          <w:lang w:val="en-US" w:eastAsia="zh-CN" w:bidi="ar-SA"/>
        </w:rPr>
        <w:t>2.</w:t>
      </w:r>
      <w:r>
        <w:rPr>
          <w:rFonts w:hint="eastAsia" w:ascii="仿宋_GB2312" w:hAnsi="Times New Roman" w:eastAsia="仿宋_GB2312" w:cs="Times New Roman"/>
          <w:b/>
          <w:bCs/>
          <w:color w:val="000000"/>
          <w:kern w:val="0"/>
          <w:sz w:val="32"/>
          <w:szCs w:val="32"/>
          <w:lang w:val="en-US" w:eastAsia="zh-CN" w:bidi="ar-SA"/>
        </w:rPr>
        <w:t>市交通建设工程造价站：</w:t>
      </w:r>
      <w:r>
        <w:rPr>
          <w:rFonts w:hint="eastAsia" w:ascii="仿宋_GB2312" w:eastAsia="仿宋_GB2312"/>
          <w:sz w:val="32"/>
        </w:rPr>
        <w:t>贯彻执行国家和省市有关交通工程造价管理的方针、政策和法规；完善我市交通建设造价管理实施细则；结合我市的实际情况，协助厅造价站完成交通建设工程劳动定额的测定和施工定额、养护定额的编制与修订；负责我市职责范围内的交通建设项目的投资估算、概算、预算、设计变更和竣工决算的造价审核工作，并参与市重点项目的交竣工验收工作；负责我市辖区内高速公路和市重点项目的造价监督检查</w:t>
      </w:r>
      <w:r>
        <w:rPr>
          <w:rFonts w:hint="eastAsia" w:ascii="仿宋_GB2312" w:eastAsia="仿宋_GB2312"/>
          <w:sz w:val="32"/>
          <w:lang w:eastAsia="zh-CN"/>
        </w:rPr>
        <w:t>；</w:t>
      </w:r>
      <w:r>
        <w:rPr>
          <w:rFonts w:hint="eastAsia" w:ascii="仿宋_GB2312" w:eastAsia="仿宋_GB2312"/>
          <w:sz w:val="32"/>
        </w:rPr>
        <w:t>负责收集和整理我市交通建设工程的材料价格信息，并定期上报我市交通建设工程造价信息；协助厅交通建设造价管理站开展我市交通建设工程造价人员的培训、资格认证和考核工作。</w:t>
      </w:r>
    </w:p>
    <w:p>
      <w:pPr>
        <w:pStyle w:val="4"/>
        <w:rPr>
          <w:rFonts w:hint="eastAsia" w:ascii="黑体" w:hAnsi="黑体" w:eastAsia="黑体"/>
          <w:b w:val="0"/>
        </w:rPr>
      </w:pPr>
      <w:bookmarkStart w:id="50" w:name="_Toc20762_WPSOffice_Level2"/>
      <w:r>
        <w:rPr>
          <w:rFonts w:hint="eastAsia" w:ascii="黑体" w:hAnsi="黑体" w:eastAsia="黑体"/>
          <w:b w:val="0"/>
        </w:rPr>
        <w:t>二、机构设置</w:t>
      </w:r>
      <w:bookmarkEnd w:id="50"/>
    </w:p>
    <w:p>
      <w:pPr>
        <w:snapToGrid w:val="0"/>
        <w:spacing w:line="520" w:lineRule="exact"/>
        <w:ind w:firstLine="640" w:firstLineChars="200"/>
        <w:rPr>
          <w:rFonts w:hint="eastAsia" w:ascii="仿宋_GB2312" w:hAnsi="Times New Roman" w:eastAsia="仿宋_GB2312" w:cs="Times New Roman"/>
          <w:color w:val="000000"/>
          <w:kern w:val="0"/>
          <w:sz w:val="32"/>
          <w:szCs w:val="32"/>
          <w:lang w:val="en-US" w:eastAsia="zh-CN" w:bidi="ar-SA"/>
        </w:rPr>
      </w:pPr>
      <w:r>
        <w:rPr>
          <w:rFonts w:hint="eastAsia" w:ascii="仿宋_GB2312" w:hAnsi="Times New Roman" w:eastAsia="仿宋_GB2312" w:cs="Times New Roman"/>
          <w:color w:val="000000"/>
          <w:kern w:val="0"/>
          <w:sz w:val="32"/>
          <w:szCs w:val="32"/>
          <w:lang w:val="en-US" w:eastAsia="zh-CN" w:bidi="ar-SA"/>
        </w:rPr>
        <w:t>我</w:t>
      </w:r>
      <w:r>
        <w:rPr>
          <w:rFonts w:hint="eastAsia" w:ascii="仿宋_GB2312" w:eastAsia="仿宋_GB2312" w:cs="Times New Roman"/>
          <w:color w:val="000000"/>
          <w:kern w:val="0"/>
          <w:sz w:val="32"/>
          <w:szCs w:val="32"/>
          <w:lang w:val="en-US" w:eastAsia="zh-CN" w:bidi="ar-SA"/>
        </w:rPr>
        <w:t>中心</w:t>
      </w:r>
      <w:r>
        <w:rPr>
          <w:rFonts w:hint="eastAsia" w:ascii="仿宋_GB2312" w:hAnsi="Times New Roman" w:eastAsia="仿宋_GB2312" w:cs="Times New Roman"/>
          <w:color w:val="000000"/>
          <w:kern w:val="0"/>
          <w:sz w:val="32"/>
          <w:szCs w:val="32"/>
          <w:lang w:val="en-US" w:eastAsia="zh-CN" w:bidi="ar-SA"/>
        </w:rPr>
        <w:t>属参照公务员法管理的事业单位，</w:t>
      </w:r>
      <w:r>
        <w:rPr>
          <w:rFonts w:hint="eastAsia" w:ascii="仿宋_GB2312" w:eastAsia="仿宋_GB2312" w:cs="Times New Roman"/>
          <w:color w:val="000000"/>
          <w:kern w:val="0"/>
          <w:sz w:val="32"/>
          <w:szCs w:val="32"/>
          <w:lang w:val="en-US" w:eastAsia="zh-CN" w:bidi="ar-SA"/>
        </w:rPr>
        <w:t>设有7个内设机构</w:t>
      </w:r>
      <w:r>
        <w:rPr>
          <w:rFonts w:hint="eastAsia" w:ascii="仿宋_GB2312" w:hAnsi="Times New Roman" w:eastAsia="仿宋_GB2312" w:cs="Times New Roman"/>
          <w:color w:val="000000"/>
          <w:kern w:val="0"/>
          <w:sz w:val="32"/>
          <w:szCs w:val="32"/>
          <w:lang w:val="en-US" w:eastAsia="zh-CN" w:bidi="ar-SA"/>
        </w:rPr>
        <w:t>：</w:t>
      </w:r>
      <w:r>
        <w:rPr>
          <w:rFonts w:hint="eastAsia" w:ascii="仿宋_GB2312" w:eastAsia="仿宋_GB2312" w:cs="Times New Roman"/>
          <w:color w:val="000000"/>
          <w:kern w:val="0"/>
          <w:sz w:val="32"/>
          <w:szCs w:val="32"/>
          <w:lang w:val="en-US" w:eastAsia="zh-CN" w:bidi="ar-SA"/>
        </w:rPr>
        <w:t>综合科、发展计划科、工程技术科、路产养护科、安全法规科、运行调度科、信息服务科</w:t>
      </w:r>
      <w:r>
        <w:rPr>
          <w:rFonts w:hint="eastAsia" w:ascii="仿宋_GB2312" w:hAnsi="Times New Roman" w:eastAsia="仿宋_GB2312" w:cs="Times New Roman"/>
          <w:color w:val="000000"/>
          <w:kern w:val="0"/>
          <w:sz w:val="32"/>
          <w:szCs w:val="32"/>
          <w:lang w:val="en-US" w:eastAsia="zh-CN" w:bidi="ar-SA"/>
        </w:rPr>
        <w:t>。</w:t>
      </w:r>
      <w:r>
        <w:rPr>
          <w:rFonts w:hint="eastAsia" w:ascii="仿宋_GB2312" w:eastAsia="仿宋_GB2312" w:cs="Times New Roman"/>
          <w:color w:val="000000"/>
          <w:kern w:val="0"/>
          <w:sz w:val="32"/>
          <w:szCs w:val="32"/>
          <w:lang w:val="en-US" w:eastAsia="zh-CN" w:bidi="ar-SA"/>
        </w:rPr>
        <w:t>市公路事业发展中心</w:t>
      </w:r>
      <w:r>
        <w:rPr>
          <w:rFonts w:hint="eastAsia" w:ascii="仿宋_GB2312" w:hAnsi="Times New Roman" w:eastAsia="仿宋_GB2312" w:cs="Times New Roman"/>
          <w:color w:val="000000"/>
          <w:kern w:val="0"/>
          <w:sz w:val="32"/>
          <w:szCs w:val="32"/>
          <w:lang w:val="en-US" w:eastAsia="zh-CN" w:bidi="ar-SA"/>
        </w:rPr>
        <w:t>预算实际包含2个单位，其中参照公务员法管理的事业单位1个，其他事业单位1个。单位为：攀枝花市公路</w:t>
      </w:r>
      <w:r>
        <w:rPr>
          <w:rFonts w:hint="eastAsia" w:ascii="仿宋_GB2312" w:eastAsia="仿宋_GB2312" w:cs="Times New Roman"/>
          <w:color w:val="000000"/>
          <w:kern w:val="0"/>
          <w:sz w:val="32"/>
          <w:szCs w:val="32"/>
          <w:lang w:val="en-US" w:eastAsia="zh-CN" w:bidi="ar-SA"/>
        </w:rPr>
        <w:t>事业发展中心</w:t>
      </w:r>
      <w:r>
        <w:rPr>
          <w:rFonts w:hint="eastAsia" w:ascii="仿宋_GB2312" w:hAnsi="Times New Roman" w:eastAsia="仿宋_GB2312" w:cs="Times New Roman"/>
          <w:color w:val="000000"/>
          <w:kern w:val="0"/>
          <w:sz w:val="32"/>
          <w:szCs w:val="32"/>
          <w:lang w:val="en-US" w:eastAsia="zh-CN" w:bidi="ar-SA"/>
        </w:rPr>
        <w:t>、攀枝花市交通建设工程造价站。</w:t>
      </w:r>
    </w:p>
    <w:p/>
    <w:bookmarkEnd w:id="48"/>
    <w:bookmarkEnd w:id="49"/>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51" w:name="_Toc15396602"/>
      <w:bookmarkStart w:id="52" w:name="_Toc15377204"/>
      <w:bookmarkStart w:id="53" w:name="_Toc16360_WPSOffice_Level1"/>
      <w:r>
        <w:rPr>
          <w:rFonts w:hint="eastAsia" w:ascii="黑体" w:hAnsi="黑体" w:eastAsia="黑体"/>
          <w:b w:val="0"/>
        </w:rPr>
        <w:t>第二部分 2023年度</w:t>
      </w:r>
      <w:r>
        <w:rPr>
          <w:rStyle w:val="27"/>
          <w:rFonts w:hint="eastAsia" w:ascii="黑体" w:hAnsi="黑体" w:eastAsia="黑体"/>
          <w:b w:val="0"/>
          <w:bCs/>
        </w:rPr>
        <w:t>单位决算情况说明</w:t>
      </w:r>
      <w:bookmarkEnd w:id="51"/>
      <w:bookmarkEnd w:id="52"/>
      <w:bookmarkEnd w:id="53"/>
    </w:p>
    <w:p/>
    <w:p>
      <w:pPr>
        <w:pStyle w:val="26"/>
        <w:numPr>
          <w:ilvl w:val="0"/>
          <w:numId w:val="2"/>
        </w:numPr>
        <w:spacing w:line="600" w:lineRule="exact"/>
        <w:ind w:firstLineChars="0"/>
        <w:outlineLvl w:val="1"/>
        <w:rPr>
          <w:rStyle w:val="28"/>
          <w:rFonts w:ascii="黑体" w:hAnsi="黑体" w:eastAsia="黑体"/>
          <w:b w:val="0"/>
        </w:rPr>
      </w:pPr>
      <w:bookmarkStart w:id="54" w:name="_Toc15396603"/>
      <w:bookmarkStart w:id="55" w:name="_Toc4580_WPSOffice_Level2"/>
      <w:bookmarkStart w:id="56"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54"/>
      <w:bookmarkEnd w:id="55"/>
      <w:bookmarkEnd w:id="56"/>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2023年度收、支总计均为</w:t>
      </w:r>
      <w:r>
        <w:rPr>
          <w:rFonts w:hint="eastAsia" w:ascii="仿宋" w:hAnsi="仿宋" w:eastAsia="仿宋"/>
          <w:b/>
          <w:sz w:val="32"/>
          <w:szCs w:val="32"/>
        </w:rPr>
        <w:t>1593.26</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884.61</w:t>
      </w:r>
      <w:r>
        <w:rPr>
          <w:rFonts w:hint="eastAsia" w:ascii="仿宋" w:hAnsi="仿宋" w:eastAsia="仿宋"/>
          <w:sz w:val="32"/>
          <w:szCs w:val="32"/>
        </w:rPr>
        <w:t>万元，增长</w:t>
      </w:r>
      <w:r>
        <w:rPr>
          <w:rFonts w:hint="eastAsia" w:ascii="仿宋" w:hAnsi="仿宋" w:eastAsia="仿宋"/>
          <w:sz w:val="32"/>
          <w:szCs w:val="32"/>
          <w:lang w:val="en-US" w:eastAsia="zh-CN"/>
        </w:rPr>
        <w:t>55.52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w:t>
      </w:r>
    </w:p>
    <w:p>
      <w:pPr>
        <w:spacing w:line="600" w:lineRule="exact"/>
        <w:ind w:firstLine="640" w:firstLineChars="200"/>
        <w:rPr>
          <w:rFonts w:hint="default" w:ascii="仿宋" w:hAnsi="仿宋" w:eastAsia="仿宋" w:cs="Times New Roman"/>
          <w:kern w:val="2"/>
          <w:sz w:val="32"/>
          <w:szCs w:val="32"/>
          <w:lang w:val="en-US" w:eastAsia="zh-CN" w:bidi="ar-SA"/>
        </w:rPr>
      </w:pPr>
      <w:r>
        <w:rPr>
          <w:rFonts w:hint="eastAsia" w:ascii="仿宋" w:hAnsi="仿宋" w:eastAsia="仿宋"/>
          <w:sz w:val="32"/>
          <w:szCs w:val="32"/>
          <w:lang w:val="en-US" w:eastAsia="zh-CN"/>
        </w:rPr>
        <w:t>1.2023年度基本支出增加35.29万元，主要原因为2023年预算新增加两名调入职工、两名新招录职工人员及公用经费；2.2023年增加交通存量盘活资金685.82万元，主要用于支付以前年度项目欠款；3.2023年支付了“2021年交通运行监测系统与应急指挥（二期）工程项目”欠款147万元；4.2023年增加“信息系统维护费”项目4万元，“</w:t>
      </w:r>
      <w:r>
        <w:rPr>
          <w:rFonts w:hint="eastAsia" w:ascii="仿宋" w:hAnsi="仿宋" w:eastAsia="仿宋" w:cs="Times New Roman"/>
          <w:kern w:val="2"/>
          <w:sz w:val="32"/>
          <w:szCs w:val="32"/>
          <w:lang w:val="en-US" w:eastAsia="zh-CN" w:bidi="ar-SA"/>
        </w:rPr>
        <w:t>交通运输(公路灾害)监测与应急指挥系统运行维护费”项目12万元，“物业管理费”项目0.46万元。</w:t>
      </w:r>
    </w:p>
    <w:p>
      <w:pPr>
        <w:spacing w:line="600" w:lineRule="exact"/>
        <w:ind w:firstLine="1280" w:firstLineChars="400"/>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58240" behindDoc="1" locked="0" layoutInCell="1" allowOverlap="1">
            <wp:simplePos x="0" y="0"/>
            <wp:positionH relativeFrom="column">
              <wp:posOffset>86995</wp:posOffset>
            </wp:positionH>
            <wp:positionV relativeFrom="paragraph">
              <wp:posOffset>166370</wp:posOffset>
            </wp:positionV>
            <wp:extent cx="4994910" cy="2627630"/>
            <wp:effectExtent l="4445" t="4445" r="10795" b="15875"/>
            <wp:wrapTight wrapText="bothSides">
              <wp:wrapPolygon>
                <wp:start x="-19" y="-37"/>
                <wp:lineTo x="-19" y="21417"/>
                <wp:lineTo x="21564" y="21417"/>
                <wp:lineTo x="21564" y="-37"/>
                <wp:lineTo x="-19" y="-37"/>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57" w:name="_Toc15396604"/>
      <w:bookmarkStart w:id="58" w:name="_Toc15377206"/>
      <w:bookmarkStart w:id="59" w:name="_Toc31258_WPSOffice_Level2"/>
      <w:r>
        <w:rPr>
          <w:rFonts w:hint="eastAsia" w:ascii="黑体" w:hAnsi="黑体" w:eastAsia="黑体"/>
          <w:sz w:val="32"/>
          <w:szCs w:val="32"/>
        </w:rPr>
        <w:t>收</w:t>
      </w:r>
      <w:r>
        <w:rPr>
          <w:rStyle w:val="28"/>
          <w:rFonts w:hint="eastAsia" w:ascii="黑体" w:hAnsi="黑体" w:eastAsia="黑体"/>
          <w:b w:val="0"/>
        </w:rPr>
        <w:t>入决算情况说明</w:t>
      </w:r>
      <w:bookmarkEnd w:id="57"/>
      <w:bookmarkEnd w:id="58"/>
      <w:bookmarkEnd w:id="5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760.45</w:t>
      </w:r>
      <w:r>
        <w:rPr>
          <w:rFonts w:hint="eastAsia" w:ascii="仿宋" w:hAnsi="仿宋" w:eastAsia="仿宋"/>
          <w:sz w:val="32"/>
          <w:szCs w:val="32"/>
        </w:rPr>
        <w:t>万元，其中：一般公共预算财政拨款收入</w:t>
      </w:r>
      <w:r>
        <w:rPr>
          <w:rFonts w:ascii="仿宋" w:hAnsi="仿宋" w:eastAsia="仿宋"/>
          <w:b/>
          <w:sz w:val="32"/>
          <w:szCs w:val="32"/>
        </w:rPr>
        <w:t>760.45</w:t>
      </w:r>
      <w:r>
        <w:rPr>
          <w:rFonts w:hint="eastAsia" w:ascii="仿宋" w:hAnsi="仿宋" w:eastAsia="仿宋"/>
          <w:sz w:val="32"/>
          <w:szCs w:val="32"/>
        </w:rPr>
        <w:t>万元，占</w:t>
      </w:r>
      <w:r>
        <w:rPr>
          <w:rFonts w:ascii="仿宋" w:hAnsi="仿宋" w:eastAsia="仿宋"/>
          <w:b/>
          <w:sz w:val="32"/>
          <w:szCs w:val="32"/>
        </w:rPr>
        <w:t>100%</w:t>
      </w:r>
      <w:r>
        <w:rPr>
          <w:rFonts w:hint="eastAsia" w:ascii="仿宋" w:hAnsi="仿宋" w:eastAsia="仿宋"/>
          <w:sz w:val="32"/>
          <w:szCs w:val="32"/>
        </w:rPr>
        <w:t>；政府性基金预算财政拨款收入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outlineLvl w:val="1"/>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4445</wp:posOffset>
            </wp:positionH>
            <wp:positionV relativeFrom="paragraph">
              <wp:posOffset>88900</wp:posOffset>
            </wp:positionV>
            <wp:extent cx="5525770" cy="2696845"/>
            <wp:effectExtent l="4445" t="4445" r="13335" b="22860"/>
            <wp:wrapTight wrapText="bothSides">
              <wp:wrapPolygon>
                <wp:start x="-17" y="-36"/>
                <wp:lineTo x="-17" y="21478"/>
                <wp:lineTo x="21578" y="21478"/>
                <wp:lineTo x="21578" y="-36"/>
                <wp:lineTo x="-17" y="-36"/>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1920" w:firstLineChars="600"/>
        <w:jc w:val="both"/>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26"/>
        <w:numPr>
          <w:ilvl w:val="0"/>
          <w:numId w:val="2"/>
        </w:numPr>
        <w:spacing w:line="600" w:lineRule="exact"/>
        <w:ind w:firstLineChars="0"/>
        <w:outlineLvl w:val="1"/>
        <w:rPr>
          <w:rStyle w:val="28"/>
          <w:rFonts w:ascii="黑体" w:hAnsi="黑体" w:eastAsia="黑体"/>
          <w:b w:val="0"/>
        </w:rPr>
      </w:pPr>
      <w:bookmarkStart w:id="60" w:name="_Toc15377207"/>
      <w:bookmarkStart w:id="61" w:name="_Toc15396605"/>
      <w:bookmarkStart w:id="62" w:name="_Toc27302_WPSOffice_Level2"/>
      <w:r>
        <w:rPr>
          <w:rFonts w:hint="eastAsia" w:ascii="黑体" w:hAnsi="黑体" w:eastAsia="黑体"/>
          <w:sz w:val="32"/>
          <w:szCs w:val="32"/>
        </w:rPr>
        <w:t>支</w:t>
      </w:r>
      <w:r>
        <w:rPr>
          <w:rStyle w:val="28"/>
          <w:rFonts w:hint="eastAsia" w:ascii="黑体" w:hAnsi="黑体" w:eastAsia="黑体"/>
          <w:b w:val="0"/>
        </w:rPr>
        <w:t>出决算情况说明</w:t>
      </w:r>
      <w:bookmarkEnd w:id="60"/>
      <w:bookmarkEnd w:id="61"/>
      <w:bookmarkEnd w:id="62"/>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1593.26</w:t>
      </w:r>
      <w:r>
        <w:rPr>
          <w:rFonts w:hint="eastAsia" w:ascii="仿宋" w:hAnsi="仿宋" w:eastAsia="仿宋"/>
          <w:sz w:val="32"/>
          <w:szCs w:val="32"/>
        </w:rPr>
        <w:t>万元，其中：基本支出</w:t>
      </w:r>
      <w:r>
        <w:rPr>
          <w:rFonts w:ascii="仿宋" w:hAnsi="仿宋" w:eastAsia="仿宋"/>
          <w:b/>
          <w:sz w:val="32"/>
          <w:szCs w:val="32"/>
        </w:rPr>
        <w:t>743.94</w:t>
      </w:r>
      <w:r>
        <w:rPr>
          <w:rFonts w:hint="eastAsia" w:ascii="仿宋" w:hAnsi="仿宋" w:eastAsia="仿宋"/>
          <w:sz w:val="32"/>
          <w:szCs w:val="32"/>
        </w:rPr>
        <w:t>万元，占</w:t>
      </w:r>
      <w:r>
        <w:rPr>
          <w:rFonts w:ascii="仿宋" w:hAnsi="仿宋" w:eastAsia="仿宋"/>
          <w:b/>
          <w:sz w:val="32"/>
          <w:szCs w:val="32"/>
        </w:rPr>
        <w:t>46.69</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849.32</w:t>
      </w:r>
      <w:r>
        <w:rPr>
          <w:rFonts w:hint="eastAsia" w:ascii="仿宋" w:hAnsi="仿宋" w:eastAsia="仿宋"/>
          <w:sz w:val="32"/>
          <w:szCs w:val="32"/>
        </w:rPr>
        <w:t>万元，占</w:t>
      </w:r>
      <w:r>
        <w:rPr>
          <w:rFonts w:ascii="仿宋" w:hAnsi="仿宋" w:eastAsia="仿宋"/>
          <w:b/>
          <w:sz w:val="32"/>
          <w:szCs w:val="32"/>
        </w:rPr>
        <w:t>53.3</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shd w:val="pct10" w:color="auto" w:fill="FFFFFF"/>
        </w:rPr>
      </w:pPr>
    </w:p>
    <w:p>
      <w:pPr>
        <w:pStyle w:val="2"/>
        <w:rPr>
          <w:rFonts w:ascii="仿宋" w:hAnsi="仿宋" w:eastAsia="仿宋"/>
          <w:sz w:val="32"/>
          <w:szCs w:val="32"/>
          <w:shd w:val="pct10" w:color="auto" w:fill="FFFFFF"/>
        </w:rPr>
      </w:pPr>
      <w:r>
        <w:rPr>
          <w:rFonts w:hint="eastAsia" w:ascii="仿宋_GB2312" w:hAnsi="仿宋_GB2312" w:eastAsia="仿宋_GB2312" w:cs="仿宋_GB2312"/>
          <w:sz w:val="32"/>
          <w:szCs w:val="32"/>
        </w:rPr>
        <w:drawing>
          <wp:anchor distT="0" distB="0" distL="114300" distR="114300" simplePos="0" relativeHeight="251660288" behindDoc="1" locked="0" layoutInCell="1" allowOverlap="1">
            <wp:simplePos x="0" y="0"/>
            <wp:positionH relativeFrom="column">
              <wp:posOffset>23495</wp:posOffset>
            </wp:positionH>
            <wp:positionV relativeFrom="paragraph">
              <wp:posOffset>75565</wp:posOffset>
            </wp:positionV>
            <wp:extent cx="5525770" cy="2696845"/>
            <wp:effectExtent l="4445" t="4445" r="13335" b="22860"/>
            <wp:wrapTight wrapText="bothSides">
              <wp:wrapPolygon>
                <wp:start x="-17" y="-36"/>
                <wp:lineTo x="-17" y="21478"/>
                <wp:lineTo x="21578" y="21478"/>
                <wp:lineTo x="21578" y="-36"/>
                <wp:lineTo x="-17" y="-36"/>
              </wp:wrapPolygon>
            </wp:wrapTight>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spacing w:line="600" w:lineRule="exact"/>
        <w:ind w:firstLine="640" w:firstLineChars="200"/>
        <w:outlineLvl w:val="1"/>
        <w:rPr>
          <w:rStyle w:val="28"/>
          <w:rFonts w:ascii="黑体" w:hAnsi="黑体" w:eastAsia="黑体"/>
          <w:b w:val="0"/>
        </w:rPr>
      </w:pPr>
      <w:bookmarkStart w:id="63" w:name="_Toc15377208"/>
      <w:bookmarkStart w:id="64" w:name="_Toc25252_WPSOffice_Level2"/>
      <w:bookmarkStart w:id="6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63"/>
      <w:bookmarkEnd w:id="64"/>
      <w:bookmarkEnd w:id="65"/>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2023年度财政拨款收、支总计均为</w:t>
      </w:r>
      <w:r>
        <w:rPr>
          <w:rFonts w:ascii="仿宋" w:hAnsi="仿宋" w:eastAsia="仿宋"/>
          <w:b/>
          <w:sz w:val="32"/>
          <w:szCs w:val="32"/>
        </w:rPr>
        <w:t>1593.26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884.61</w:t>
      </w:r>
      <w:r>
        <w:rPr>
          <w:rFonts w:hint="eastAsia" w:ascii="仿宋" w:hAnsi="仿宋" w:eastAsia="仿宋"/>
          <w:sz w:val="32"/>
          <w:szCs w:val="32"/>
        </w:rPr>
        <w:t>万元，增长</w:t>
      </w:r>
      <w:r>
        <w:rPr>
          <w:rFonts w:hint="eastAsia" w:ascii="仿宋" w:hAnsi="仿宋" w:eastAsia="仿宋"/>
          <w:sz w:val="32"/>
          <w:szCs w:val="32"/>
          <w:lang w:val="en-US" w:eastAsia="zh-CN"/>
        </w:rPr>
        <w:t>55.52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1.2023年度基本支出增加35.29万元，主要原因为2023年预算新增加两名调入职工、两名新招录职工人员及公用经费；2.2023年增加交通存量盘活资金685.82万元，主要用于支付以前年度项目欠款；3.2023年支付了“2021年交通运行监测系统与应急指挥（二期）工程项目”欠款147万元；4.2023年增加“信息系统维护费”项目4万元，“</w:t>
      </w:r>
      <w:r>
        <w:rPr>
          <w:rFonts w:hint="eastAsia" w:ascii="仿宋" w:hAnsi="仿宋" w:eastAsia="仿宋" w:cs="Times New Roman"/>
          <w:kern w:val="2"/>
          <w:sz w:val="32"/>
          <w:szCs w:val="32"/>
          <w:lang w:val="en-US" w:eastAsia="zh-CN" w:bidi="ar-SA"/>
        </w:rPr>
        <w:t>交通运输(公路灾害)监测与应急指挥系统运行维护费”项目12万元，“物业管理费”项目0.46万元。</w:t>
      </w:r>
    </w:p>
    <w:p>
      <w:pPr>
        <w:pStyle w:val="2"/>
        <w:rPr>
          <w:rFonts w:hint="default"/>
          <w:lang w:val="en-US" w:eastAsia="zh-CN"/>
        </w:rPr>
      </w:pPr>
    </w:p>
    <w:p>
      <w:pPr>
        <w:pStyle w:val="2"/>
        <w:rPr>
          <w:rFonts w:ascii="仿宋" w:hAnsi="仿宋" w:eastAsia="仿宋"/>
          <w:sz w:val="32"/>
          <w:szCs w:val="32"/>
        </w:rPr>
      </w:pPr>
      <w:r>
        <w:rPr>
          <w:rFonts w:hint="eastAsia" w:ascii="仿宋_GB2312" w:hAnsi="仿宋_GB2312" w:eastAsia="仿宋_GB2312" w:cs="仿宋_GB2312"/>
          <w:sz w:val="32"/>
          <w:szCs w:val="32"/>
        </w:rPr>
        <w:drawing>
          <wp:anchor distT="0" distB="0" distL="114300" distR="114300" simplePos="0" relativeHeight="251661312" behindDoc="1" locked="0" layoutInCell="1" allowOverlap="1">
            <wp:simplePos x="0" y="0"/>
            <wp:positionH relativeFrom="column">
              <wp:posOffset>128270</wp:posOffset>
            </wp:positionH>
            <wp:positionV relativeFrom="paragraph">
              <wp:posOffset>42545</wp:posOffset>
            </wp:positionV>
            <wp:extent cx="5364480" cy="3227705"/>
            <wp:effectExtent l="4445" t="4445" r="79375" b="6350"/>
            <wp:wrapTight wrapText="bothSides">
              <wp:wrapPolygon>
                <wp:start x="-18" y="-30"/>
                <wp:lineTo x="-18" y="21515"/>
                <wp:lineTo x="21536" y="21515"/>
                <wp:lineTo x="21536" y="-30"/>
                <wp:lineTo x="-18" y="-30"/>
              </wp:wrapPolygon>
            </wp:wrapTight>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spacing w:line="600" w:lineRule="exact"/>
        <w:ind w:firstLine="640" w:firstLineChars="200"/>
        <w:outlineLvl w:val="1"/>
        <w:rPr>
          <w:rStyle w:val="28"/>
          <w:rFonts w:ascii="黑体" w:hAnsi="黑体" w:eastAsia="黑体"/>
          <w:b w:val="0"/>
        </w:rPr>
      </w:pPr>
      <w:bookmarkStart w:id="66" w:name="_Toc15396607"/>
      <w:bookmarkStart w:id="67" w:name="_Toc3639_WPSOffice_Level2"/>
      <w:bookmarkStart w:id="68"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66"/>
      <w:bookmarkEnd w:id="67"/>
      <w:bookmarkEnd w:id="68"/>
    </w:p>
    <w:p>
      <w:pPr>
        <w:spacing w:line="600" w:lineRule="exact"/>
        <w:ind w:firstLine="642" w:firstLineChars="200"/>
        <w:outlineLvl w:val="2"/>
        <w:rPr>
          <w:rFonts w:ascii="仿宋" w:hAnsi="仿宋" w:eastAsia="仿宋"/>
          <w:b/>
          <w:sz w:val="32"/>
          <w:szCs w:val="32"/>
        </w:rPr>
      </w:pPr>
      <w:bookmarkStart w:id="69" w:name="_Toc15377210"/>
      <w:r>
        <w:rPr>
          <w:rFonts w:hint="eastAsia" w:ascii="仿宋" w:hAnsi="仿宋" w:eastAsia="仿宋"/>
          <w:b/>
          <w:sz w:val="32"/>
          <w:szCs w:val="32"/>
        </w:rPr>
        <w:t>（一）一般公共预算财政拨款支出决算总体情况</w:t>
      </w:r>
      <w:bookmarkEnd w:id="69"/>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2023年度一般公共预算财政拨款支出</w:t>
      </w:r>
      <w:r>
        <w:rPr>
          <w:rFonts w:ascii="仿宋" w:hAnsi="仿宋" w:eastAsia="仿宋"/>
          <w:b/>
          <w:sz w:val="32"/>
          <w:szCs w:val="32"/>
        </w:rPr>
        <w:t>1593.26</w:t>
      </w:r>
      <w:r>
        <w:rPr>
          <w:rFonts w:hint="eastAsia" w:ascii="仿宋" w:hAnsi="仿宋" w:eastAsia="仿宋"/>
          <w:sz w:val="32"/>
          <w:szCs w:val="32"/>
        </w:rPr>
        <w:t>万元，占本年支出合计的</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884.61</w:t>
      </w:r>
      <w:r>
        <w:rPr>
          <w:rFonts w:hint="eastAsia" w:ascii="仿宋" w:hAnsi="仿宋" w:eastAsia="仿宋"/>
          <w:sz w:val="32"/>
          <w:szCs w:val="32"/>
        </w:rPr>
        <w:t>万元，增长</w:t>
      </w:r>
      <w:r>
        <w:rPr>
          <w:rFonts w:hint="eastAsia" w:ascii="仿宋" w:hAnsi="仿宋" w:eastAsia="仿宋"/>
          <w:sz w:val="32"/>
          <w:szCs w:val="32"/>
          <w:lang w:val="en-US" w:eastAsia="zh-CN"/>
        </w:rPr>
        <w:t>55.52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cs="Times New Roman"/>
          <w:kern w:val="2"/>
          <w:sz w:val="32"/>
          <w:szCs w:val="32"/>
          <w:lang w:val="en-US" w:eastAsia="zh-CN" w:bidi="ar-SA"/>
        </w:rPr>
      </w:pPr>
      <w:r>
        <w:rPr>
          <w:rFonts w:hint="eastAsia" w:ascii="仿宋" w:hAnsi="仿宋" w:eastAsia="仿宋"/>
          <w:sz w:val="32"/>
          <w:szCs w:val="32"/>
          <w:lang w:val="en-US" w:eastAsia="zh-CN"/>
        </w:rPr>
        <w:t>1.2023年度基本支出增加35.29万元，主要原因为2023年预算新增加两名调入职工、两名新招录职工人员及公用经费；2.2023年增加交通存量盘活资金685.82万元，主要用于支付以前年度项目欠款；3.2023年支付了“2021年交通运行监测系统与应急指挥（二期）工程项目”欠款147万元；4.2023年增加“信息系统维护费”项目4万元，“</w:t>
      </w:r>
      <w:r>
        <w:rPr>
          <w:rFonts w:hint="eastAsia" w:ascii="仿宋" w:hAnsi="仿宋" w:eastAsia="仿宋" w:cs="Times New Roman"/>
          <w:kern w:val="2"/>
          <w:sz w:val="32"/>
          <w:szCs w:val="32"/>
          <w:lang w:val="en-US" w:eastAsia="zh-CN" w:bidi="ar-SA"/>
        </w:rPr>
        <w:t>交通运输(公路灾害)监测与应急指挥系统运行维护费”项目12万元，“物业管理费”项目0.46万元。</w:t>
      </w:r>
    </w:p>
    <w:p>
      <w:pPr>
        <w:spacing w:line="600" w:lineRule="exact"/>
        <w:rPr>
          <w:rFonts w:ascii="仿宋" w:hAnsi="仿宋" w:eastAsia="仿宋"/>
          <w:sz w:val="32"/>
          <w:szCs w:val="32"/>
        </w:rPr>
      </w:pPr>
    </w:p>
    <w:p>
      <w:pPr>
        <w:pStyle w:val="2"/>
        <w:rPr>
          <w:rFonts w:ascii="仿宋" w:hAnsi="仿宋" w:eastAsia="仿宋"/>
          <w:sz w:val="32"/>
          <w:szCs w:val="32"/>
        </w:rPr>
      </w:pPr>
      <w:r>
        <w:rPr>
          <w:rFonts w:hint="eastAsia" w:ascii="仿宋_GB2312" w:hAnsi="仿宋_GB2312" w:eastAsia="仿宋_GB2312" w:cs="仿宋_GB2312"/>
          <w:sz w:val="32"/>
          <w:szCs w:val="32"/>
        </w:rPr>
        <w:drawing>
          <wp:inline distT="0" distB="0" distL="114300" distR="114300">
            <wp:extent cx="5384800" cy="3294380"/>
            <wp:effectExtent l="4445" t="4445" r="20955" b="1587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hint="eastAsia" w:ascii="仿宋" w:hAnsi="仿宋" w:eastAsia="仿宋"/>
          <w:sz w:val="32"/>
          <w:szCs w:val="32"/>
        </w:rPr>
      </w:pPr>
      <w:r>
        <w:rPr>
          <w:rFonts w:hint="eastAsia" w:ascii="仿宋" w:hAnsi="仿宋" w:eastAsia="仿宋"/>
          <w:sz w:val="32"/>
          <w:szCs w:val="32"/>
        </w:rPr>
        <w:t>（图5：一般公共预算财政拨款支出决算变动情况）</w:t>
      </w:r>
    </w:p>
    <w:p>
      <w:pPr>
        <w:pStyle w:val="2"/>
      </w:pPr>
    </w:p>
    <w:p>
      <w:pPr>
        <w:spacing w:line="600" w:lineRule="exact"/>
        <w:ind w:firstLine="642" w:firstLineChars="200"/>
        <w:outlineLvl w:val="2"/>
        <w:rPr>
          <w:rFonts w:ascii="仿宋" w:hAnsi="仿宋" w:eastAsia="仿宋"/>
          <w:b/>
          <w:sz w:val="32"/>
          <w:szCs w:val="32"/>
        </w:rPr>
      </w:pPr>
      <w:bookmarkStart w:id="70" w:name="_Toc15377211"/>
      <w:r>
        <w:rPr>
          <w:rFonts w:hint="eastAsia" w:ascii="仿宋" w:hAnsi="仿宋" w:eastAsia="仿宋"/>
          <w:b/>
          <w:sz w:val="32"/>
          <w:szCs w:val="32"/>
        </w:rPr>
        <w:t>（二）一般公共预算财政拨款支出决算结构情况</w:t>
      </w:r>
      <w:bookmarkEnd w:id="70"/>
    </w:p>
    <w:p>
      <w:pPr>
        <w:spacing w:line="600" w:lineRule="exact"/>
        <w:ind w:firstLine="640"/>
        <w:rPr>
          <w:rFonts w:ascii="仿宋" w:hAnsi="仿宋" w:eastAsia="仿宋"/>
          <w:b/>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1593.26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156.8</w:t>
      </w:r>
      <w:r>
        <w:rPr>
          <w:rFonts w:hint="eastAsia" w:ascii="仿宋" w:hAnsi="仿宋" w:eastAsia="仿宋"/>
          <w:sz w:val="32"/>
          <w:szCs w:val="32"/>
        </w:rPr>
        <w:t>万元，占</w:t>
      </w:r>
      <w:r>
        <w:rPr>
          <w:rFonts w:hint="eastAsia" w:ascii="仿宋" w:hAnsi="仿宋" w:eastAsia="仿宋"/>
          <w:sz w:val="32"/>
          <w:szCs w:val="32"/>
          <w:lang w:val="en-US" w:eastAsia="zh-CN"/>
        </w:rPr>
        <w:t>9.84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41.87</w:t>
      </w:r>
      <w:r>
        <w:rPr>
          <w:rFonts w:hint="eastAsia" w:ascii="仿宋" w:hAnsi="仿宋" w:eastAsia="仿宋"/>
          <w:sz w:val="32"/>
          <w:szCs w:val="32"/>
        </w:rPr>
        <w:t>万元，占</w:t>
      </w:r>
      <w:r>
        <w:rPr>
          <w:rFonts w:hint="eastAsia" w:ascii="仿宋" w:hAnsi="仿宋" w:eastAsia="仿宋"/>
          <w:sz w:val="32"/>
          <w:szCs w:val="32"/>
          <w:lang w:val="en-US" w:eastAsia="zh-CN"/>
        </w:rPr>
        <w:t>2.63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eastAsia="zh-CN"/>
        </w:rPr>
        <w:t>交通运输支出</w:t>
      </w:r>
      <w:r>
        <w:rPr>
          <w:rFonts w:hint="eastAsia" w:ascii="仿宋" w:hAnsi="仿宋" w:eastAsia="仿宋"/>
          <w:sz w:val="32"/>
          <w:szCs w:val="32"/>
          <w:lang w:val="en-US" w:eastAsia="zh-CN"/>
        </w:rPr>
        <w:t>1350.35</w:t>
      </w:r>
      <w:r>
        <w:rPr>
          <w:rFonts w:hint="eastAsia" w:ascii="仿宋_GB2312" w:hAnsi="仿宋_GB2312" w:eastAsia="仿宋_GB2312" w:cs="仿宋_GB2312"/>
          <w:sz w:val="32"/>
          <w:szCs w:val="32"/>
        </w:rPr>
        <w:drawing>
          <wp:anchor distT="0" distB="0" distL="114300" distR="114300" simplePos="0" relativeHeight="251662336" behindDoc="1" locked="0" layoutInCell="1" allowOverlap="1">
            <wp:simplePos x="0" y="0"/>
            <wp:positionH relativeFrom="column">
              <wp:posOffset>115570</wp:posOffset>
            </wp:positionH>
            <wp:positionV relativeFrom="paragraph">
              <wp:posOffset>795020</wp:posOffset>
            </wp:positionV>
            <wp:extent cx="5365115" cy="3096895"/>
            <wp:effectExtent l="4445" t="4445" r="21590" b="22860"/>
            <wp:wrapTight wrapText="bothSides">
              <wp:wrapPolygon>
                <wp:start x="-18" y="-31"/>
                <wp:lineTo x="-18" y="21494"/>
                <wp:lineTo x="21534" y="21494"/>
                <wp:lineTo x="21534" y="-31"/>
                <wp:lineTo x="-18" y="-31"/>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lang w:val="en-US" w:eastAsia="zh-CN"/>
        </w:rPr>
        <w:t>万元，</w:t>
      </w:r>
      <w:r>
        <w:rPr>
          <w:rFonts w:hint="eastAsia" w:ascii="仿宋" w:hAnsi="仿宋" w:eastAsia="仿宋"/>
          <w:sz w:val="32"/>
          <w:szCs w:val="32"/>
        </w:rPr>
        <w:t>占</w:t>
      </w:r>
      <w:r>
        <w:rPr>
          <w:rFonts w:hint="eastAsia" w:ascii="仿宋" w:hAnsi="仿宋" w:eastAsia="仿宋"/>
          <w:sz w:val="32"/>
          <w:szCs w:val="32"/>
          <w:lang w:val="en-US" w:eastAsia="zh-CN"/>
        </w:rPr>
        <w:t>84.75</w:t>
      </w:r>
      <w:r>
        <w:rPr>
          <w:rFonts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b/>
          <w:bCs/>
          <w:sz w:val="32"/>
          <w:szCs w:val="32"/>
        </w:rPr>
        <w:t>住房保障支出</w:t>
      </w:r>
      <w:r>
        <w:rPr>
          <w:rFonts w:hint="eastAsia" w:ascii="仿宋" w:hAnsi="仿宋" w:eastAsia="仿宋"/>
          <w:sz w:val="32"/>
          <w:szCs w:val="32"/>
          <w:lang w:val="en-US" w:eastAsia="zh-CN"/>
        </w:rPr>
        <w:t>44.24</w:t>
      </w:r>
      <w:r>
        <w:rPr>
          <w:rFonts w:hint="eastAsia" w:ascii="仿宋" w:hAnsi="仿宋" w:eastAsia="仿宋"/>
          <w:sz w:val="32"/>
          <w:szCs w:val="32"/>
        </w:rPr>
        <w:t>万元，占</w:t>
      </w:r>
      <w:r>
        <w:rPr>
          <w:rFonts w:hint="eastAsia" w:ascii="仿宋" w:hAnsi="仿宋" w:eastAsia="仿宋"/>
          <w:sz w:val="32"/>
          <w:szCs w:val="32"/>
          <w:lang w:val="en-US" w:eastAsia="zh-CN"/>
        </w:rPr>
        <w:t>2.8</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p>
    <w:p>
      <w:pPr>
        <w:pStyle w:val="2"/>
        <w:rPr>
          <w:rFonts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w:t>
      </w:r>
    </w:p>
    <w:p>
      <w:pPr>
        <w:pStyle w:val="2"/>
      </w:pPr>
    </w:p>
    <w:p>
      <w:pPr>
        <w:spacing w:line="600" w:lineRule="exact"/>
        <w:ind w:firstLine="642" w:firstLineChars="200"/>
        <w:outlineLvl w:val="2"/>
        <w:rPr>
          <w:rFonts w:ascii="仿宋" w:hAnsi="仿宋" w:eastAsia="仿宋"/>
          <w:b/>
          <w:sz w:val="32"/>
          <w:szCs w:val="32"/>
        </w:rPr>
      </w:pPr>
      <w:bookmarkStart w:id="71" w:name="_Toc15377212"/>
      <w:r>
        <w:rPr>
          <w:rFonts w:hint="eastAsia" w:ascii="仿宋" w:hAnsi="仿宋" w:eastAsia="仿宋"/>
          <w:b/>
          <w:sz w:val="32"/>
          <w:szCs w:val="32"/>
        </w:rPr>
        <w:t>（三）一般公共预算财政拨款支出决算具体情况</w:t>
      </w:r>
      <w:bookmarkEnd w:id="71"/>
    </w:p>
    <w:p>
      <w:pPr>
        <w:spacing w:line="600" w:lineRule="exact"/>
        <w:ind w:firstLine="642" w:firstLineChars="200"/>
        <w:outlineLvl w:val="2"/>
        <w:rPr>
          <w:rStyle w:val="16"/>
          <w:rFonts w:hint="eastAsia" w:ascii="仿宋" w:hAnsi="仿宋" w:eastAsia="仿宋"/>
          <w:bCs/>
          <w:sz w:val="32"/>
          <w:szCs w:val="32"/>
        </w:rPr>
      </w:pPr>
      <w:bookmarkStart w:id="72" w:name="_Toc15377213"/>
      <w:bookmarkStart w:id="73" w:name="_Toc15377444"/>
      <w:bookmarkStart w:id="74" w:name="_Toc15378460"/>
      <w:r>
        <w:rPr>
          <w:rFonts w:hint="eastAsia" w:ascii="仿宋" w:hAnsi="仿宋" w:eastAsia="仿宋"/>
          <w:b/>
          <w:sz w:val="32"/>
          <w:szCs w:val="32"/>
        </w:rPr>
        <w:t>2023年度一般公共预算支出决算数为</w:t>
      </w:r>
      <w:r>
        <w:rPr>
          <w:rFonts w:ascii="仿宋" w:hAnsi="仿宋" w:eastAsia="仿宋"/>
          <w:b/>
          <w:sz w:val="32"/>
          <w:szCs w:val="32"/>
        </w:rPr>
        <w:t>1593.26</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72"/>
      <w:bookmarkEnd w:id="73"/>
      <w:bookmarkEnd w:id="74"/>
    </w:p>
    <w:p>
      <w:pPr>
        <w:ind w:firstLine="642" w:firstLineChars="200"/>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.社会保障和就业支出（类）人力资源和社会保障管理事务（款）其他人力资源和社会保障管理事务支出（项）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60.89</w:t>
      </w:r>
      <w:r>
        <w:rPr>
          <w:rFonts w:hint="eastAsia" w:ascii="仿宋_GB2312" w:hAnsi="仿宋_GB2312" w:eastAsia="仿宋_GB2312" w:cs="仿宋_GB2312"/>
          <w:sz w:val="32"/>
          <w:szCs w:val="32"/>
        </w:rPr>
        <w:t>万元，完成预算100%。</w:t>
      </w:r>
    </w:p>
    <w:p>
      <w:pPr>
        <w:ind w:firstLine="642"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.社会保障和就业支</w:t>
      </w:r>
      <w:r>
        <w:rPr>
          <w:rFonts w:hint="eastAsia" w:ascii="仿宋_GB2312" w:hAnsi="仿宋_GB2312" w:eastAsia="仿宋_GB2312" w:cs="仿宋_GB2312"/>
          <w:b/>
          <w:bCs/>
          <w:color w:val="auto"/>
          <w:sz w:val="32"/>
          <w:szCs w:val="32"/>
        </w:rPr>
        <w:t>出（类）行政事业单位养老支出（款）事业单位离退休（项）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万元，完成预算100%。</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.社会保障和就业支出（类）行政事业单位养老支出（款）机关事业单位基本养老保险缴费支出（项）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74.75</w:t>
      </w:r>
      <w:r>
        <w:rPr>
          <w:rFonts w:hint="eastAsia" w:ascii="仿宋_GB2312" w:hAnsi="仿宋_GB2312" w:eastAsia="仿宋_GB2312" w:cs="仿宋_GB2312"/>
          <w:color w:val="auto"/>
          <w:sz w:val="32"/>
          <w:szCs w:val="32"/>
        </w:rPr>
        <w:t>万元，完成预算100%。</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.社会保障和就业支出（类）行政事业单位养老支出（款）机关事业单位职业年金缴费支出（项）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8.36</w:t>
      </w:r>
      <w:r>
        <w:rPr>
          <w:rFonts w:hint="eastAsia" w:ascii="仿宋_GB2312" w:hAnsi="仿宋_GB2312" w:eastAsia="仿宋_GB2312" w:cs="仿宋_GB2312"/>
          <w:color w:val="auto"/>
          <w:sz w:val="32"/>
          <w:szCs w:val="32"/>
        </w:rPr>
        <w:t>万元，完成预算100%。</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（类）行政事业单位医疗（款）行政单位医疗（项）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3.26</w:t>
      </w:r>
      <w:r>
        <w:rPr>
          <w:rFonts w:hint="eastAsia" w:ascii="仿宋_GB2312" w:hAnsi="仿宋_GB2312" w:eastAsia="仿宋_GB2312" w:cs="仿宋_GB2312"/>
          <w:color w:val="auto"/>
          <w:sz w:val="32"/>
          <w:szCs w:val="32"/>
        </w:rPr>
        <w:t>万元，完成预算100%。</w:t>
      </w:r>
    </w:p>
    <w:p>
      <w:pPr>
        <w:ind w:firstLine="642" w:firstLineChars="200"/>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（类）行政事业单位医疗（款）事业单位医疗（项）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8.41</w:t>
      </w:r>
      <w:r>
        <w:rPr>
          <w:rFonts w:hint="eastAsia" w:ascii="仿宋_GB2312" w:hAnsi="仿宋_GB2312" w:eastAsia="仿宋_GB2312" w:cs="仿宋_GB2312"/>
          <w:color w:val="auto"/>
          <w:sz w:val="32"/>
          <w:szCs w:val="32"/>
        </w:rPr>
        <w:t>万元，完成预算100%。</w:t>
      </w:r>
    </w:p>
    <w:p>
      <w:pPr>
        <w:ind w:firstLine="642" w:firstLineChars="200"/>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（类）行政事业单位医疗（款）公务员医疗补助（项）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29.03</w:t>
      </w:r>
      <w:r>
        <w:rPr>
          <w:rFonts w:hint="eastAsia" w:ascii="仿宋_GB2312" w:hAnsi="仿宋_GB2312" w:eastAsia="仿宋_GB2312" w:cs="仿宋_GB2312"/>
          <w:color w:val="auto"/>
          <w:sz w:val="32"/>
          <w:szCs w:val="32"/>
        </w:rPr>
        <w:t>万元，完成预算100%。</w:t>
      </w:r>
    </w:p>
    <w:p>
      <w:pPr>
        <w:ind w:firstLine="642" w:firstLineChars="200"/>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（类）行政事业单位医疗（款）行政单位医疗（项）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3.26</w:t>
      </w:r>
      <w:r>
        <w:rPr>
          <w:rFonts w:hint="eastAsia" w:ascii="仿宋_GB2312" w:hAnsi="仿宋_GB2312" w:eastAsia="仿宋_GB2312" w:cs="仿宋_GB2312"/>
          <w:color w:val="auto"/>
          <w:sz w:val="32"/>
          <w:szCs w:val="32"/>
        </w:rPr>
        <w:t>万元，完成预算100%。</w:t>
      </w:r>
    </w:p>
    <w:p>
      <w:pPr>
        <w:ind w:firstLine="642" w:firstLineChars="200"/>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.卫生健康支出</w:t>
      </w:r>
      <w:r>
        <w:rPr>
          <w:rFonts w:hint="eastAsia" w:ascii="仿宋_GB2312" w:hAnsi="仿宋_GB2312" w:eastAsia="仿宋_GB2312" w:cs="仿宋_GB2312"/>
          <w:b/>
          <w:bCs/>
          <w:color w:val="auto"/>
          <w:sz w:val="32"/>
          <w:szCs w:val="32"/>
        </w:rPr>
        <w:t>（类）行政事业单位医疗（款）其他行政事业单位医疗支出（项）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1.16</w:t>
      </w:r>
      <w:r>
        <w:rPr>
          <w:rFonts w:hint="eastAsia" w:ascii="仿宋_GB2312" w:hAnsi="仿宋_GB2312" w:eastAsia="仿宋_GB2312" w:cs="仿宋_GB2312"/>
          <w:color w:val="auto"/>
          <w:sz w:val="32"/>
          <w:szCs w:val="32"/>
        </w:rPr>
        <w:t>万元，完成预算100%。</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rPr>
        <w:t>.交通运输支出（类）公路水路运输（款）行政运行（项）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383.09</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2"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机关服务</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117.94</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2" w:firstLineChars="200"/>
        <w:rPr>
          <w:rFonts w:hint="default"/>
          <w:lang w:val="en-US" w:eastAsia="zh-CN"/>
        </w:rPr>
      </w:pPr>
      <w:r>
        <w:rPr>
          <w:rFonts w:hint="eastAsia" w:ascii="仿宋_GB2312" w:hAnsi="仿宋_GB2312" w:eastAsia="仿宋_GB2312" w:cs="仿宋_GB2312"/>
          <w:b/>
          <w:bCs/>
          <w:color w:val="auto"/>
          <w:sz w:val="32"/>
          <w:szCs w:val="32"/>
          <w:lang w:val="en-US" w:eastAsia="zh-CN"/>
        </w:rPr>
        <w:t>13</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公路养护</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685.82</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2" w:firstLineChars="200"/>
        <w:rPr>
          <w:rFonts w:hint="default"/>
          <w:lang w:val="en-US" w:eastAsia="zh-CN"/>
        </w:rPr>
      </w:pPr>
      <w:r>
        <w:rPr>
          <w:rFonts w:hint="eastAsia" w:ascii="仿宋_GB2312" w:hAnsi="仿宋_GB2312" w:eastAsia="仿宋_GB2312" w:cs="仿宋_GB2312"/>
          <w:b/>
          <w:bCs/>
          <w:color w:val="auto"/>
          <w:sz w:val="32"/>
          <w:szCs w:val="32"/>
          <w:lang w:val="en-US" w:eastAsia="zh-CN"/>
        </w:rPr>
        <w:t>14</w:t>
      </w:r>
      <w:r>
        <w:rPr>
          <w:rFonts w:hint="eastAsia" w:ascii="仿宋_GB2312" w:hAnsi="仿宋_GB2312" w:eastAsia="仿宋_GB2312" w:cs="仿宋_GB2312"/>
          <w:b/>
          <w:bCs/>
          <w:color w:val="auto"/>
          <w:sz w:val="32"/>
          <w:szCs w:val="32"/>
        </w:rPr>
        <w:t>.交通运输支出（类）公路水路运输（款）</w:t>
      </w:r>
      <w:r>
        <w:rPr>
          <w:rFonts w:hint="eastAsia" w:ascii="仿宋_GB2312" w:hAnsi="仿宋_GB2312" w:eastAsia="仿宋_GB2312" w:cs="仿宋_GB2312"/>
          <w:b/>
          <w:bCs/>
          <w:color w:val="auto"/>
          <w:sz w:val="32"/>
          <w:szCs w:val="32"/>
          <w:lang w:val="en-US" w:eastAsia="zh-CN"/>
        </w:rPr>
        <w:t>其他公路水路运输支出</w:t>
      </w:r>
      <w:r>
        <w:rPr>
          <w:rFonts w:hint="eastAsia" w:ascii="仿宋_GB2312" w:hAnsi="仿宋_GB2312" w:eastAsia="仿宋_GB2312" w:cs="仿宋_GB2312"/>
          <w:b/>
          <w:bCs/>
          <w:color w:val="auto"/>
          <w:sz w:val="32"/>
          <w:szCs w:val="32"/>
        </w:rPr>
        <w:t>（项）</w:t>
      </w:r>
      <w:r>
        <w:rPr>
          <w:rFonts w:hint="eastAsia" w:ascii="仿宋_GB2312" w:hAnsi="仿宋_GB2312" w:eastAsia="仿宋_GB2312" w:cs="仿宋_GB2312"/>
          <w:color w:val="auto"/>
          <w:sz w:val="32"/>
          <w:szCs w:val="32"/>
        </w:rPr>
        <w:t>:支出决算为</w:t>
      </w:r>
      <w:r>
        <w:rPr>
          <w:rFonts w:hint="eastAsia" w:ascii="仿宋_GB2312" w:hAnsi="仿宋_GB2312" w:eastAsia="仿宋_GB2312" w:cs="仿宋_GB2312"/>
          <w:color w:val="auto"/>
          <w:sz w:val="32"/>
          <w:szCs w:val="32"/>
          <w:lang w:val="en-US" w:eastAsia="zh-CN"/>
        </w:rPr>
        <w:t>163.5</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pPr>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.住房保障支出（类）住房改革支出（款）住房公积金（项）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44.24</w:t>
      </w:r>
      <w:r>
        <w:rPr>
          <w:rFonts w:hint="eastAsia" w:ascii="仿宋_GB2312" w:hAnsi="仿宋_GB2312" w:eastAsia="仿宋_GB2312" w:cs="仿宋_GB2312"/>
          <w:sz w:val="32"/>
          <w:szCs w:val="32"/>
        </w:rPr>
        <w:t>万元，完成预算100%。</w:t>
      </w:r>
    </w:p>
    <w:p>
      <w:pPr>
        <w:spacing w:line="600" w:lineRule="exact"/>
        <w:rPr>
          <w:rFonts w:ascii="仿宋" w:hAnsi="仿宋" w:eastAsia="仿宋"/>
          <w:b/>
          <w:sz w:val="32"/>
          <w:szCs w:val="32"/>
        </w:rPr>
      </w:pPr>
    </w:p>
    <w:p>
      <w:pPr>
        <w:tabs>
          <w:tab w:val="right" w:pos="8306"/>
        </w:tabs>
        <w:spacing w:line="600" w:lineRule="exact"/>
        <w:ind w:firstLine="640"/>
        <w:outlineLvl w:val="1"/>
        <w:rPr>
          <w:rStyle w:val="28"/>
        </w:rPr>
      </w:pPr>
      <w:bookmarkStart w:id="75" w:name="_Toc15396608"/>
      <w:bookmarkStart w:id="76" w:name="_Toc15377214"/>
      <w:bookmarkStart w:id="77" w:name="_Toc16267_WPSOffice_Level2"/>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75"/>
      <w:bookmarkEnd w:id="76"/>
      <w:bookmarkEnd w:id="77"/>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743.94</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686.72</w:t>
      </w:r>
      <w:r>
        <w:rPr>
          <w:rFonts w:hint="eastAsia" w:ascii="仿宋" w:hAnsi="仿宋" w:eastAsia="仿宋"/>
          <w:sz w:val="32"/>
          <w:szCs w:val="32"/>
        </w:rPr>
        <w:t>万元，主要包括：基本工资、津贴补贴、奖金、绩效工资、机关事业单位基本养老保险缴费、职业年金缴费、其他社会保障缴费、其他工资福利支出、退休费、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57.23</w:t>
      </w:r>
      <w:r>
        <w:rPr>
          <w:rFonts w:hint="eastAsia" w:ascii="仿宋" w:hAnsi="仿宋" w:eastAsia="仿宋"/>
          <w:sz w:val="32"/>
          <w:szCs w:val="32"/>
        </w:rPr>
        <w:t>万元，主要包括：办公费、水费、电费、邮电费、物业管理费、差旅费、因公出国（境）费用、维修（护）费、公务接待费、委托业务费、工会经费、福利费、公务用车运行维护费、其他交通费、其他商品和服务支出、其他资本性支出等。</w:t>
      </w:r>
    </w:p>
    <w:p>
      <w:pPr>
        <w:spacing w:line="600" w:lineRule="exact"/>
        <w:ind w:firstLine="640"/>
        <w:outlineLvl w:val="1"/>
        <w:rPr>
          <w:rStyle w:val="28"/>
          <w:rFonts w:ascii="黑体" w:hAnsi="黑体" w:eastAsia="黑体"/>
          <w:b w:val="0"/>
        </w:rPr>
      </w:pPr>
      <w:bookmarkStart w:id="78" w:name="_Toc15396609"/>
      <w:bookmarkStart w:id="79" w:name="_Toc858_WPSOffice_Level2"/>
      <w:bookmarkStart w:id="80"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78"/>
      <w:bookmarkEnd w:id="79"/>
      <w:bookmarkEnd w:id="80"/>
    </w:p>
    <w:p>
      <w:pPr>
        <w:spacing w:line="600" w:lineRule="exact"/>
        <w:ind w:firstLine="640"/>
        <w:outlineLvl w:val="2"/>
        <w:rPr>
          <w:rFonts w:ascii="仿宋" w:hAnsi="仿宋" w:eastAsia="仿宋"/>
          <w:b/>
          <w:sz w:val="32"/>
          <w:szCs w:val="32"/>
        </w:rPr>
      </w:pPr>
      <w:bookmarkStart w:id="81" w:name="_Toc15377216"/>
      <w:r>
        <w:rPr>
          <w:rFonts w:hint="eastAsia" w:ascii="仿宋" w:hAnsi="仿宋" w:eastAsia="仿宋"/>
          <w:b/>
          <w:sz w:val="32"/>
          <w:szCs w:val="32"/>
        </w:rPr>
        <w:t>（一）“三公”经费财政拨款支出决算总体情况说明</w:t>
      </w:r>
      <w:bookmarkEnd w:id="81"/>
    </w:p>
    <w:p>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5.19</w:t>
      </w:r>
      <w:r>
        <w:rPr>
          <w:rFonts w:hint="eastAsia" w:ascii="仿宋" w:hAnsi="仿宋" w:eastAsia="仿宋"/>
          <w:sz w:val="32"/>
          <w:szCs w:val="32"/>
        </w:rPr>
        <w:t>万元，完成预算</w:t>
      </w:r>
      <w:r>
        <w:rPr>
          <w:rFonts w:ascii="仿宋" w:hAnsi="仿宋" w:eastAsia="仿宋"/>
          <w:b/>
          <w:sz w:val="32"/>
          <w:szCs w:val="32"/>
        </w:rPr>
        <w:t>96.43</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2.78</w:t>
      </w:r>
      <w:r>
        <w:rPr>
          <w:rFonts w:hint="eastAsia" w:ascii="仿宋" w:hAnsi="仿宋" w:eastAsia="仿宋"/>
          <w:sz w:val="32"/>
          <w:szCs w:val="32"/>
        </w:rPr>
        <w:t>万元，增长</w:t>
      </w:r>
      <w:r>
        <w:rPr>
          <w:rFonts w:hint="eastAsia" w:ascii="仿宋" w:hAnsi="仿宋" w:eastAsia="仿宋"/>
          <w:sz w:val="32"/>
          <w:szCs w:val="32"/>
          <w:lang w:val="en-US" w:eastAsia="zh-CN"/>
        </w:rPr>
        <w:t>53.56</w:t>
      </w:r>
      <w:r>
        <w:rPr>
          <w:rFonts w:hint="eastAsia" w:ascii="仿宋" w:hAnsi="仿宋" w:eastAsia="仿宋"/>
          <w:sz w:val="32"/>
          <w:szCs w:val="32"/>
        </w:rPr>
        <w:t>%。决算数小于预算数的主要原因是</w:t>
      </w:r>
      <w:r>
        <w:rPr>
          <w:rFonts w:hint="eastAsia" w:ascii="仿宋" w:hAnsi="仿宋" w:eastAsia="仿宋"/>
          <w:sz w:val="32"/>
          <w:szCs w:val="32"/>
          <w:lang w:eastAsia="zh-CN"/>
        </w:rPr>
        <w:t>单位厉行节约，减少三公经费支出</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82" w:name="_Toc15377217"/>
      <w:r>
        <w:rPr>
          <w:rFonts w:hint="eastAsia" w:ascii="仿宋" w:hAnsi="仿宋" w:eastAsia="仿宋"/>
          <w:b/>
          <w:sz w:val="32"/>
          <w:szCs w:val="32"/>
        </w:rPr>
        <w:t>（二）“三公”经费财政拨款支出决算具体情况说明</w:t>
      </w:r>
      <w:bookmarkEnd w:id="82"/>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4.2</w:t>
      </w:r>
      <w:r>
        <w:rPr>
          <w:rFonts w:hint="eastAsia" w:ascii="仿宋" w:hAnsi="仿宋" w:eastAsia="仿宋"/>
          <w:sz w:val="32"/>
          <w:szCs w:val="32"/>
        </w:rPr>
        <w:t>万元，占</w:t>
      </w:r>
      <w:r>
        <w:rPr>
          <w:rFonts w:ascii="仿宋" w:hAnsi="仿宋" w:eastAsia="仿宋"/>
          <w:b/>
          <w:sz w:val="32"/>
          <w:szCs w:val="32"/>
        </w:rPr>
        <w:t>8</w:t>
      </w:r>
      <w:r>
        <w:rPr>
          <w:rFonts w:hint="eastAsia" w:ascii="仿宋" w:hAnsi="仿宋" w:eastAsia="仿宋"/>
          <w:b/>
          <w:sz w:val="32"/>
          <w:szCs w:val="32"/>
          <w:lang w:val="en-US" w:eastAsia="zh-CN"/>
        </w:rPr>
        <w:t>1</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0.99</w:t>
      </w:r>
      <w:r>
        <w:rPr>
          <w:rFonts w:hint="eastAsia" w:ascii="仿宋" w:hAnsi="仿宋" w:eastAsia="仿宋"/>
          <w:sz w:val="32"/>
          <w:szCs w:val="32"/>
        </w:rPr>
        <w:t>万元，占</w:t>
      </w:r>
      <w:r>
        <w:rPr>
          <w:rFonts w:ascii="仿宋" w:hAnsi="仿宋" w:eastAsia="仿宋"/>
          <w:b/>
          <w:sz w:val="32"/>
          <w:szCs w:val="32"/>
        </w:rPr>
        <w:t>19</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p>
    <w:p>
      <w:pPr>
        <w:pStyle w:val="2"/>
        <w:rPr>
          <w:rFonts w:hint="eastAsia" w:ascii="仿宋" w:hAnsi="仿宋" w:eastAsia="仿宋"/>
          <w:sz w:val="32"/>
          <w:szCs w:val="32"/>
        </w:rPr>
      </w:pPr>
      <w:r>
        <w:rPr>
          <w:rFonts w:hint="eastAsia" w:ascii="仿宋_GB2312" w:hAnsi="仿宋_GB2312" w:eastAsia="仿宋_GB2312" w:cs="仿宋_GB2312"/>
          <w:sz w:val="32"/>
          <w:szCs w:val="32"/>
        </w:rPr>
        <w:drawing>
          <wp:inline distT="0" distB="0" distL="114300" distR="114300">
            <wp:extent cx="4852035" cy="2789555"/>
            <wp:effectExtent l="4445" t="4445" r="20320"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eastAsia" w:ascii="仿宋" w:hAnsi="仿宋" w:eastAsia="仿宋"/>
          <w:sz w:val="32"/>
          <w:szCs w:val="32"/>
        </w:rPr>
      </w:pPr>
    </w:p>
    <w:p>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sz w:val="32"/>
          <w:szCs w:val="32"/>
        </w:rPr>
      </w:pPr>
      <w:bookmarkStart w:id="83" w:name="_Toc15396610"/>
      <w:bookmarkStart w:id="84"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4.2</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Cs/>
          <w:sz w:val="32"/>
          <w:szCs w:val="32"/>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1.93</w:t>
      </w:r>
      <w:r>
        <w:rPr>
          <w:rFonts w:hint="eastAsia" w:ascii="仿宋_GB2312" w:eastAsia="仿宋_GB2312"/>
          <w:sz w:val="32"/>
          <w:szCs w:val="32"/>
        </w:rPr>
        <w:t>万元，增长</w:t>
      </w:r>
      <w:r>
        <w:rPr>
          <w:rFonts w:hint="eastAsia" w:ascii="仿宋_GB2312" w:eastAsia="仿宋_GB2312"/>
          <w:sz w:val="32"/>
          <w:szCs w:val="32"/>
          <w:lang w:val="en-US" w:eastAsia="zh-CN"/>
        </w:rPr>
        <w:t>46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2023年公路养护巡查工作增加，公务用车使用频率相应增加</w:t>
      </w:r>
      <w:r>
        <w:rPr>
          <w:rFonts w:hint="eastAsia" w:ascii="仿宋_GB2312" w:eastAsia="仿宋_GB2312"/>
          <w:sz w:val="32"/>
          <w:szCs w:val="32"/>
        </w:rPr>
        <w:t>。</w:t>
      </w:r>
    </w:p>
    <w:p>
      <w:pPr>
        <w:spacing w:line="600" w:lineRule="exact"/>
        <w:ind w:firstLine="640" w:firstLineChars="200"/>
        <w:rPr>
          <w:rFonts w:hint="default" w:ascii="仿宋_GB2312" w:eastAsia="仿宋_GB2312"/>
          <w:b/>
          <w:sz w:val="32"/>
          <w:szCs w:val="32"/>
          <w:lang w:val="en-US" w:eastAsia="zh-CN"/>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3</w:t>
      </w:r>
      <w:r>
        <w:rPr>
          <w:rFonts w:hint="eastAsia" w:ascii="仿宋_GB2312" w:eastAsia="仿宋_GB2312"/>
          <w:sz w:val="32"/>
          <w:szCs w:val="32"/>
        </w:rPr>
        <w:t>辆，其中：</w:t>
      </w:r>
      <w:r>
        <w:rPr>
          <w:rFonts w:hint="eastAsia" w:ascii="仿宋_GB2312" w:eastAsia="仿宋_GB2312"/>
          <w:sz w:val="32"/>
          <w:szCs w:val="32"/>
          <w:lang w:eastAsia="zh-CN"/>
        </w:rPr>
        <w:t>特种车</w:t>
      </w:r>
      <w:r>
        <w:rPr>
          <w:rFonts w:hint="eastAsia" w:ascii="仿宋_GB2312" w:eastAsia="仿宋_GB2312"/>
          <w:sz w:val="32"/>
          <w:szCs w:val="32"/>
          <w:lang w:val="en-US" w:eastAsia="zh-CN"/>
        </w:rPr>
        <w:t>3辆。</w:t>
      </w:r>
    </w:p>
    <w:p>
      <w:pPr>
        <w:pStyle w:val="25"/>
        <w:ind w:firstLine="642" w:firstLineChars="20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4.2</w:t>
      </w:r>
      <w:r>
        <w:rPr>
          <w:rFonts w:hint="eastAsia" w:ascii="仿宋_GB2312" w:eastAsia="仿宋_GB2312"/>
          <w:sz w:val="32"/>
          <w:szCs w:val="32"/>
        </w:rPr>
        <w:t>万元。主要用于</w:t>
      </w:r>
      <w:r>
        <w:rPr>
          <w:rFonts w:hint="eastAsia" w:ascii="仿宋_GB2312" w:eastAsia="仿宋_GB2312"/>
          <w:sz w:val="32"/>
          <w:szCs w:val="32"/>
          <w:lang w:val="en-US" w:eastAsia="zh-CN"/>
        </w:rPr>
        <w:t>日常公路养护巡查</w:t>
      </w:r>
      <w:r>
        <w:rPr>
          <w:rFonts w:hint="eastAsia" w:ascii="仿宋_GB2312" w:eastAsia="仿宋_GB2312"/>
          <w:sz w:val="32"/>
          <w:szCs w:val="32"/>
        </w:rPr>
        <w:t>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0.99</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ascii="仿宋" w:hAnsi="仿宋" w:eastAsia="仿宋"/>
          <w:b w:val="0"/>
          <w:bCs/>
          <w:sz w:val="32"/>
          <w:szCs w:val="32"/>
        </w:rPr>
        <w:t>83.78%</w:t>
      </w:r>
      <w:r>
        <w:rPr>
          <w:rStyle w:val="16"/>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0.85</w:t>
      </w:r>
      <w:r>
        <w:rPr>
          <w:rFonts w:hint="eastAsia" w:ascii="仿宋_GB2312" w:eastAsia="仿宋_GB2312"/>
          <w:sz w:val="32"/>
          <w:szCs w:val="32"/>
        </w:rPr>
        <w:t>万元，增长</w:t>
      </w:r>
      <w:r>
        <w:rPr>
          <w:rFonts w:hint="eastAsia" w:ascii="仿宋_GB2312" w:eastAsia="仿宋_GB2312"/>
          <w:sz w:val="32"/>
          <w:szCs w:val="32"/>
          <w:lang w:val="en-US" w:eastAsia="zh-CN"/>
        </w:rPr>
        <w:t>86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2023年增</w:t>
      </w:r>
      <w:r>
        <w:rPr>
          <w:rFonts w:hint="eastAsia" w:ascii="仿宋_GB2312" w:hAnsi="Times New Roman" w:eastAsia="仿宋_GB2312" w:cs="Times New Roman"/>
          <w:sz w:val="32"/>
          <w:szCs w:val="32"/>
          <w:lang w:val="en-US" w:eastAsia="zh-CN"/>
        </w:rPr>
        <w:t>加</w:t>
      </w:r>
      <w:r>
        <w:rPr>
          <w:rFonts w:hint="eastAsia" w:ascii="仿宋_GB2312" w:hAnsi="Times New Roman" w:eastAsia="仿宋_GB2312" w:cs="Times New Roman"/>
          <w:sz w:val="32"/>
          <w:szCs w:val="32"/>
        </w:rPr>
        <w:t>省交通厅</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泸州市公路局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兴义市交通局</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来攀</w:t>
      </w:r>
      <w:r>
        <w:rPr>
          <w:rFonts w:hint="eastAsia" w:ascii="仿宋_GB2312" w:hAnsi="Times New Roman" w:eastAsia="仿宋_GB2312" w:cs="Times New Roman"/>
          <w:sz w:val="32"/>
          <w:szCs w:val="32"/>
          <w:lang w:eastAsia="zh-CN"/>
        </w:rPr>
        <w:t>督导检查工作及</w:t>
      </w:r>
      <w:r>
        <w:rPr>
          <w:rFonts w:hint="eastAsia" w:ascii="仿宋_GB2312" w:hAnsi="Times New Roman" w:eastAsia="仿宋_GB2312" w:cs="Times New Roman"/>
          <w:sz w:val="32"/>
          <w:szCs w:val="32"/>
        </w:rPr>
        <w:t>学习交流</w:t>
      </w:r>
      <w:r>
        <w:rPr>
          <w:rFonts w:hint="eastAsia" w:ascii="仿宋_GB2312" w:hAnsi="Times New Roman" w:eastAsia="仿宋_GB2312" w:cs="Times New Roman"/>
          <w:sz w:val="32"/>
          <w:szCs w:val="32"/>
          <w:lang w:eastAsia="zh-CN"/>
        </w:rPr>
        <w:t>接待费</w:t>
      </w:r>
      <w:r>
        <w:rPr>
          <w:rFonts w:hint="eastAsia" w:ascii="仿宋_GB2312" w:hAnsi="Times New Roman" w:eastAsia="仿宋_GB2312" w:cs="Times New Roman"/>
          <w:sz w:val="32"/>
          <w:szCs w:val="32"/>
        </w:rPr>
        <w:t>。</w:t>
      </w:r>
      <w:r>
        <w:rPr>
          <w:rFonts w:hint="eastAsia" w:ascii="仿宋_GB2312" w:eastAsia="仿宋_GB2312"/>
          <w:sz w:val="32"/>
          <w:szCs w:val="32"/>
        </w:rPr>
        <w:t>其中：</w:t>
      </w:r>
    </w:p>
    <w:p>
      <w:pPr>
        <w:spacing w:line="600" w:lineRule="exact"/>
        <w:ind w:firstLine="640"/>
        <w:rPr>
          <w:rFonts w:hint="eastAsia" w:ascii="仿宋_GB2312" w:hAnsi="Times New Roman" w:eastAsia="仿宋_GB2312" w:cs="Times New Roman"/>
          <w:sz w:val="32"/>
          <w:szCs w:val="32"/>
        </w:rPr>
      </w:pPr>
      <w:r>
        <w:rPr>
          <w:rFonts w:hint="eastAsia" w:ascii="仿宋" w:hAnsi="仿宋" w:eastAsia="仿宋"/>
          <w:b/>
          <w:sz w:val="32"/>
          <w:szCs w:val="32"/>
        </w:rPr>
        <w:t>国内公务接待支出</w:t>
      </w:r>
      <w:r>
        <w:rPr>
          <w:rFonts w:ascii="仿宋" w:hAnsi="仿宋" w:eastAsia="仿宋"/>
          <w:b/>
          <w:sz w:val="32"/>
          <w:szCs w:val="32"/>
        </w:rPr>
        <w:t>0.99</w:t>
      </w:r>
      <w:r>
        <w:rPr>
          <w:rFonts w:hint="eastAsia" w:ascii="仿宋_GB2312" w:eastAsia="仿宋_GB2312"/>
          <w:sz w:val="32"/>
          <w:szCs w:val="32"/>
        </w:rPr>
        <w:t>万元，主要用于</w:t>
      </w:r>
      <w:r>
        <w:rPr>
          <w:rFonts w:hint="eastAsia" w:ascii="仿宋_GB2312" w:hAnsi="Times New Roman" w:eastAsia="仿宋_GB2312" w:cs="Times New Roman"/>
          <w:sz w:val="32"/>
          <w:szCs w:val="32"/>
        </w:rPr>
        <w:t>省交通厅</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泸州市公路局</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兴义市交通局</w:t>
      </w:r>
      <w:r>
        <w:rPr>
          <w:rFonts w:hint="eastAsia" w:ascii="仿宋_GB2312" w:hAnsi="Times New Roman" w:eastAsia="仿宋_GB2312" w:cs="Times New Roman"/>
          <w:sz w:val="32"/>
          <w:szCs w:val="32"/>
          <w:lang w:eastAsia="zh-CN"/>
        </w:rPr>
        <w:t>等</w:t>
      </w:r>
      <w:r>
        <w:rPr>
          <w:rFonts w:hint="eastAsia" w:ascii="仿宋_GB2312" w:hAnsi="Times New Roman" w:eastAsia="仿宋_GB2312" w:cs="Times New Roman"/>
          <w:sz w:val="32"/>
          <w:szCs w:val="32"/>
        </w:rPr>
        <w:t>来攀</w:t>
      </w:r>
      <w:r>
        <w:rPr>
          <w:rFonts w:hint="eastAsia" w:ascii="仿宋_GB2312" w:hAnsi="Times New Roman" w:eastAsia="仿宋_GB2312" w:cs="Times New Roman"/>
          <w:sz w:val="32"/>
          <w:szCs w:val="32"/>
          <w:lang w:eastAsia="zh-CN"/>
        </w:rPr>
        <w:t>督导检查工作及</w:t>
      </w:r>
      <w:r>
        <w:rPr>
          <w:rFonts w:hint="eastAsia" w:ascii="仿宋_GB2312" w:hAnsi="Times New Roman" w:eastAsia="仿宋_GB2312" w:cs="Times New Roman"/>
          <w:sz w:val="32"/>
          <w:szCs w:val="32"/>
        </w:rPr>
        <w:t>学习交流</w:t>
      </w:r>
      <w:r>
        <w:rPr>
          <w:rFonts w:hint="eastAsia" w:ascii="仿宋_GB2312" w:hAnsi="Times New Roman" w:eastAsia="仿宋_GB2312" w:cs="Times New Roman"/>
          <w:sz w:val="32"/>
          <w:szCs w:val="32"/>
          <w:lang w:eastAsia="zh-CN"/>
        </w:rPr>
        <w:t>接待费</w:t>
      </w:r>
      <w:r>
        <w:rPr>
          <w:rFonts w:hint="eastAsia" w:ascii="仿宋_GB2312" w:eastAsia="仿宋_GB2312"/>
          <w:sz w:val="32"/>
          <w:szCs w:val="32"/>
        </w:rPr>
        <w:t>等。国内公务接待</w:t>
      </w:r>
      <w:r>
        <w:rPr>
          <w:rFonts w:hint="eastAsia" w:ascii="仿宋_GB2312" w:eastAsia="仿宋_GB2312"/>
          <w:sz w:val="32"/>
          <w:szCs w:val="32"/>
          <w:lang w:val="en-US" w:eastAsia="zh-CN"/>
        </w:rPr>
        <w:t>7</w:t>
      </w:r>
      <w:r>
        <w:rPr>
          <w:rFonts w:hint="eastAsia" w:ascii="仿宋_GB2312" w:eastAsia="仿宋_GB2312"/>
          <w:sz w:val="32"/>
          <w:szCs w:val="32"/>
        </w:rPr>
        <w:t>批次，</w:t>
      </w:r>
      <w:r>
        <w:rPr>
          <w:rFonts w:hint="eastAsia" w:ascii="仿宋_GB2312" w:eastAsia="仿宋_GB2312"/>
          <w:sz w:val="32"/>
          <w:szCs w:val="32"/>
          <w:lang w:val="en-US" w:eastAsia="zh-CN"/>
        </w:rPr>
        <w:t>45</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0.99</w:t>
      </w:r>
      <w:r>
        <w:rPr>
          <w:rFonts w:hint="eastAsia" w:ascii="仿宋_GB2312" w:eastAsia="仿宋_GB2312"/>
          <w:sz w:val="32"/>
          <w:szCs w:val="32"/>
        </w:rPr>
        <w:t>万元，具体内容包括</w:t>
      </w:r>
      <w:r>
        <w:rPr>
          <w:rFonts w:hint="eastAsia" w:ascii="仿宋_GB2312" w:hAnsi="Times New Roman" w:eastAsia="仿宋_GB2312" w:cs="Times New Roman"/>
          <w:sz w:val="32"/>
          <w:szCs w:val="32"/>
        </w:rPr>
        <w:t>：2022年10月省交通厅、厅公路局等同志来攀开展服务党的二十大</w:t>
      </w:r>
      <w:bookmarkStart w:id="131" w:name="_GoBack"/>
      <w:bookmarkEnd w:id="131"/>
      <w:r>
        <w:rPr>
          <w:rFonts w:hint="eastAsia" w:ascii="仿宋_GB2312" w:hAnsi="Times New Roman" w:eastAsia="仿宋_GB2312" w:cs="Times New Roman"/>
          <w:sz w:val="32"/>
          <w:szCs w:val="32"/>
        </w:rPr>
        <w:t>期间交通运输安全工作接待费</w:t>
      </w:r>
      <w:r>
        <w:rPr>
          <w:rFonts w:hint="eastAsia" w:ascii="仿宋_GB2312" w:hAnsi="Times New Roman" w:eastAsia="仿宋_GB2312" w:cs="Times New Roman"/>
          <w:sz w:val="32"/>
          <w:szCs w:val="32"/>
          <w:lang w:val="en-US" w:eastAsia="zh-CN"/>
        </w:rPr>
        <w:t>0.17万元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泸州市公路局赴攀枝花考察学习公务接待费</w:t>
      </w:r>
      <w:r>
        <w:rPr>
          <w:rFonts w:hint="eastAsia" w:ascii="仿宋_GB2312" w:hAnsi="Times New Roman" w:eastAsia="仿宋_GB2312" w:cs="Times New Roman"/>
          <w:sz w:val="32"/>
          <w:szCs w:val="32"/>
          <w:lang w:val="en-US" w:eastAsia="zh-CN"/>
        </w:rPr>
        <w:t>0.22万元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兴义市交通局来攀学习交流智慧交通监管建设先进经验公务接待费</w:t>
      </w:r>
      <w:r>
        <w:rPr>
          <w:rFonts w:hint="eastAsia" w:ascii="仿宋_GB2312" w:hAnsi="Times New Roman" w:eastAsia="仿宋_GB2312" w:cs="Times New Roman"/>
          <w:sz w:val="32"/>
          <w:szCs w:val="32"/>
          <w:lang w:val="en-US" w:eastAsia="zh-CN"/>
        </w:rPr>
        <w:t>0.093万元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造价站接待省厅造价站检查组公务接待费</w:t>
      </w:r>
      <w:r>
        <w:rPr>
          <w:rFonts w:hint="eastAsia" w:ascii="仿宋_GB2312" w:hAnsi="Times New Roman" w:eastAsia="仿宋_GB2312" w:cs="Times New Roman"/>
          <w:sz w:val="32"/>
          <w:szCs w:val="32"/>
          <w:lang w:val="en-US" w:eastAsia="zh-CN"/>
        </w:rPr>
        <w:t>0.1万元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省交通运输厅赴我市开展普通国道迎部评督导工作公务接待费</w:t>
      </w:r>
      <w:r>
        <w:rPr>
          <w:rFonts w:hint="eastAsia" w:ascii="仿宋_GB2312" w:hAnsi="Times New Roman" w:eastAsia="仿宋_GB2312" w:cs="Times New Roman"/>
          <w:sz w:val="32"/>
          <w:szCs w:val="32"/>
          <w:lang w:val="en-US" w:eastAsia="zh-CN"/>
        </w:rPr>
        <w:t>0.1万元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2023年12328交通运输服务监督热线运行管理评估工作公务接待费</w:t>
      </w:r>
      <w:r>
        <w:rPr>
          <w:rFonts w:hint="eastAsia" w:ascii="仿宋_GB2312" w:hAnsi="Times New Roman" w:eastAsia="仿宋_GB2312" w:cs="Times New Roman"/>
          <w:sz w:val="32"/>
          <w:szCs w:val="32"/>
          <w:lang w:val="en-US" w:eastAsia="zh-CN"/>
        </w:rPr>
        <w:t>0.2万元</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省交通运输厅迎大运保安全防灾害督导检查工作公务接待餐</w:t>
      </w:r>
      <w:r>
        <w:rPr>
          <w:rFonts w:hint="eastAsia" w:ascii="仿宋_GB2312" w:hAnsi="Times New Roman" w:eastAsia="仿宋_GB2312" w:cs="Times New Roman"/>
          <w:sz w:val="32"/>
          <w:szCs w:val="32"/>
          <w:lang w:val="en-US" w:eastAsia="zh-CN"/>
        </w:rPr>
        <w:t>0.073万元</w:t>
      </w:r>
      <w:r>
        <w:rPr>
          <w:rFonts w:hint="eastAsia" w:ascii="仿宋_GB2312" w:hAnsi="Times New Roman" w:eastAsia="仿宋_GB2312" w:cs="Times New Roman"/>
          <w:sz w:val="32"/>
          <w:szCs w:val="32"/>
        </w:rPr>
        <w:t>。</w:t>
      </w:r>
    </w:p>
    <w:p>
      <w:pPr>
        <w:spacing w:line="600" w:lineRule="exact"/>
        <w:ind w:firstLine="642"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bookmarkStart w:id="85" w:name="_Toc5306_WPSOffice_Level2"/>
      <w:r>
        <w:rPr>
          <w:rFonts w:hint="eastAsia" w:ascii="黑体" w:eastAsia="黑体"/>
          <w:sz w:val="32"/>
          <w:szCs w:val="32"/>
        </w:rPr>
        <w:t>八、</w:t>
      </w:r>
      <w:r>
        <w:rPr>
          <w:rStyle w:val="28"/>
          <w:rFonts w:hint="eastAsia" w:ascii="黑体" w:hAnsi="黑体" w:eastAsia="黑体"/>
          <w:b w:val="0"/>
        </w:rPr>
        <w:t>政府性基金预算支出决算情况说明</w:t>
      </w:r>
      <w:bookmarkEnd w:id="83"/>
      <w:bookmarkEnd w:id="84"/>
      <w:bookmarkEnd w:id="8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28"/>
          <w:rFonts w:ascii="黑体" w:hAnsi="黑体" w:eastAsia="黑体"/>
          <w:b w:val="0"/>
        </w:rPr>
      </w:pPr>
      <w:bookmarkStart w:id="86" w:name="_Toc15377219"/>
      <w:bookmarkStart w:id="87" w:name="_Toc15396611"/>
      <w:bookmarkStart w:id="88" w:name="_Toc23967_WPSOffice_Level2"/>
      <w:r>
        <w:rPr>
          <w:rStyle w:val="28"/>
          <w:rFonts w:hint="eastAsia" w:ascii="黑体" w:hAnsi="黑体" w:eastAsia="黑体"/>
          <w:b w:val="0"/>
        </w:rPr>
        <w:t>国有资本经营预算支出决算情况说明</w:t>
      </w:r>
      <w:bookmarkEnd w:id="86"/>
      <w:bookmarkEnd w:id="87"/>
      <w:bookmarkEnd w:id="88"/>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28"/>
          <w:rFonts w:ascii="黑体" w:hAnsi="黑体" w:eastAsia="黑体"/>
          <w:b w:val="0"/>
        </w:rPr>
      </w:pPr>
      <w:bookmarkStart w:id="89" w:name="_Toc15377221"/>
      <w:bookmarkStart w:id="90" w:name="_Toc4496_WPSOffice_Level2"/>
      <w:bookmarkStart w:id="91" w:name="_Toc15396612"/>
      <w:r>
        <w:rPr>
          <w:rStyle w:val="28"/>
          <w:rFonts w:hint="eastAsia" w:ascii="黑体" w:hAnsi="黑体" w:eastAsia="黑体"/>
          <w:b w:val="0"/>
        </w:rPr>
        <w:t>其他重要事项的情况说明</w:t>
      </w:r>
      <w:bookmarkEnd w:id="89"/>
      <w:bookmarkEnd w:id="90"/>
      <w:bookmarkEnd w:id="91"/>
    </w:p>
    <w:p>
      <w:pPr>
        <w:spacing w:line="600" w:lineRule="exact"/>
        <w:ind w:firstLine="642" w:firstLineChars="200"/>
        <w:outlineLvl w:val="2"/>
        <w:rPr>
          <w:rFonts w:ascii="仿宋" w:hAnsi="仿宋" w:eastAsia="仿宋"/>
          <w:sz w:val="32"/>
          <w:szCs w:val="32"/>
        </w:rPr>
      </w:pPr>
      <w:bookmarkStart w:id="92" w:name="_Toc15377222"/>
      <w:r>
        <w:rPr>
          <w:rFonts w:hint="eastAsia" w:ascii="仿宋" w:hAnsi="仿宋" w:eastAsia="仿宋"/>
          <w:b/>
          <w:sz w:val="32"/>
          <w:szCs w:val="32"/>
        </w:rPr>
        <w:t>（一）机关运行经费支出情况</w:t>
      </w:r>
      <w:bookmarkEnd w:id="92"/>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四川省攀枝花市公路事业发展中心</w:t>
      </w:r>
      <w:r>
        <w:rPr>
          <w:rFonts w:hint="eastAsia" w:ascii="仿宋_GB2312" w:eastAsia="仿宋_GB2312"/>
          <w:sz w:val="32"/>
          <w:szCs w:val="32"/>
        </w:rPr>
        <w:t>机关运行经费支出</w:t>
      </w:r>
      <w:r>
        <w:rPr>
          <w:rFonts w:ascii="仿宋" w:hAnsi="仿宋" w:eastAsia="仿宋"/>
          <w:b/>
          <w:sz w:val="32"/>
          <w:szCs w:val="32"/>
        </w:rPr>
        <w:t>57.23</w:t>
      </w:r>
      <w:r>
        <w:rPr>
          <w:rFonts w:hint="eastAsia" w:ascii="仿宋_GB2312" w:eastAsia="仿宋_GB2312"/>
          <w:sz w:val="32"/>
          <w:szCs w:val="32"/>
        </w:rPr>
        <w:t>万元，比2022年度增加</w:t>
      </w:r>
      <w:r>
        <w:rPr>
          <w:rFonts w:hint="eastAsia" w:ascii="仿宋_GB2312" w:eastAsia="仿宋_GB2312"/>
          <w:sz w:val="32"/>
          <w:szCs w:val="32"/>
          <w:lang w:val="en-US" w:eastAsia="zh-CN"/>
        </w:rPr>
        <w:t>10.75</w:t>
      </w:r>
      <w:r>
        <w:rPr>
          <w:rFonts w:hint="eastAsia" w:ascii="仿宋_GB2312" w:eastAsia="仿宋_GB2312"/>
          <w:sz w:val="32"/>
          <w:szCs w:val="32"/>
        </w:rPr>
        <w:t>万元，增长</w:t>
      </w: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2023年工作任务加重，公路养护巡查及公务接待等工作比例的增加</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3" w:name="_Toc15377223"/>
      <w:r>
        <w:rPr>
          <w:rFonts w:hint="eastAsia" w:ascii="仿宋" w:hAnsi="仿宋" w:eastAsia="仿宋"/>
          <w:b/>
          <w:sz w:val="32"/>
          <w:szCs w:val="32"/>
        </w:rPr>
        <w:t>（二）政府采购支出情况</w:t>
      </w:r>
      <w:bookmarkEnd w:id="93"/>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四川省攀枝花市公路事业发展中心</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万元，其中：政府采购货物支出</w:t>
      </w:r>
      <w:r>
        <w:rPr>
          <w:rFonts w:ascii="仿宋" w:hAnsi="仿宋" w:eastAsia="仿宋"/>
          <w:b/>
          <w:sz w:val="32"/>
          <w:szCs w:val="32"/>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万元。主要用于</w:t>
      </w:r>
      <w:r>
        <w:rPr>
          <w:rFonts w:ascii="仿宋_GB2312" w:eastAsia="仿宋_GB2312"/>
          <w:sz w:val="32"/>
          <w:szCs w:val="32"/>
        </w:rPr>
        <w:t>…</w:t>
      </w:r>
      <w:r>
        <w:rPr>
          <w:rFonts w:hint="eastAsia" w:ascii="仿宋_GB2312" w:eastAsia="仿宋_GB2312"/>
          <w:sz w:val="32"/>
          <w:szCs w:val="32"/>
        </w:rPr>
        <w:t>（具体工作）。授予中小企业合同金额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w:t>
      </w:r>
      <w:r>
        <w:rPr>
          <w:rFonts w:ascii="仿宋" w:hAnsi="仿宋" w:eastAsia="仿宋"/>
          <w:b/>
          <w:sz w:val="32"/>
          <w:szCs w:val="32"/>
        </w:rPr>
        <w:t>0</w:t>
      </w:r>
      <w:r>
        <w:rPr>
          <w:rFonts w:hint="eastAsia" w:ascii="仿宋_GB2312" w:eastAsia="仿宋_GB2312"/>
          <w:sz w:val="32"/>
          <w:szCs w:val="32"/>
        </w:rPr>
        <w:t>万元，占政府采购支出总额的</w:t>
      </w:r>
      <w:r>
        <w:rPr>
          <w:rFonts w:ascii="仿宋_GB2312" w:eastAsia="仿宋_GB2312"/>
          <w:b/>
          <w:sz w:val="32"/>
          <w:szCs w:val="32"/>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94" w:name="_Toc15377224"/>
      <w:r>
        <w:rPr>
          <w:rFonts w:hint="eastAsia" w:ascii="仿宋" w:hAnsi="仿宋" w:eastAsia="仿宋"/>
          <w:b/>
          <w:sz w:val="32"/>
          <w:szCs w:val="32"/>
        </w:rPr>
        <w:t>（三）国有资产占有使用情况</w:t>
      </w:r>
      <w:bookmarkEnd w:id="94"/>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四川省攀枝花市公路事业发展中心</w:t>
      </w:r>
      <w:r>
        <w:rPr>
          <w:rFonts w:hint="eastAsia" w:ascii="仿宋_GB2312" w:eastAsia="仿宋_GB2312"/>
          <w:sz w:val="32"/>
          <w:szCs w:val="32"/>
        </w:rPr>
        <w:t>共有车辆</w:t>
      </w:r>
      <w:r>
        <w:rPr>
          <w:rFonts w:hint="eastAsia" w:ascii="仿宋_GB2312" w:eastAsia="仿宋_GB2312"/>
          <w:b/>
          <w:sz w:val="32"/>
          <w:szCs w:val="32"/>
        </w:rPr>
        <w:t>3</w:t>
      </w:r>
      <w:r>
        <w:rPr>
          <w:rFonts w:hint="eastAsia" w:ascii="仿宋_GB2312" w:eastAsia="仿宋_GB2312"/>
          <w:sz w:val="32"/>
          <w:szCs w:val="32"/>
        </w:rPr>
        <w:t>辆，其中：</w:t>
      </w:r>
      <w:r>
        <w:rPr>
          <w:rFonts w:hint="eastAsia" w:ascii="仿宋_GB2312" w:eastAsia="仿宋_GB2312"/>
          <w:sz w:val="32"/>
          <w:szCs w:val="32"/>
          <w:lang w:eastAsia="zh-CN"/>
        </w:rPr>
        <w:t>特种车</w:t>
      </w:r>
      <w:r>
        <w:rPr>
          <w:rFonts w:hint="eastAsia" w:ascii="仿宋_GB2312" w:eastAsia="仿宋_GB2312"/>
          <w:sz w:val="32"/>
          <w:szCs w:val="32"/>
          <w:lang w:val="en-US" w:eastAsia="zh-CN"/>
        </w:rPr>
        <w:t>3辆。</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信息系统维护费</w:t>
      </w:r>
      <w:r>
        <w:rPr>
          <w:rFonts w:hint="eastAsia" w:ascii="仿宋_GB2312" w:eastAsia="仿宋_GB2312"/>
          <w:sz w:val="32"/>
          <w:szCs w:val="32"/>
        </w:rPr>
        <w:t>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7"/>
          <w:rFonts w:ascii="黑体" w:hAnsi="黑体" w:eastAsia="黑体"/>
          <w:b w:val="0"/>
        </w:rPr>
      </w:pPr>
      <w:bookmarkStart w:id="95" w:name="_Toc15396613"/>
      <w:bookmarkStart w:id="96" w:name="_Toc15377225"/>
      <w:bookmarkStart w:id="97" w:name="_Toc20762_WPSOffice_Level1"/>
      <w:r>
        <w:rPr>
          <w:rFonts w:hint="eastAsia" w:ascii="黑体" w:hAnsi="黑体" w:eastAsia="黑体"/>
          <w:sz w:val="44"/>
          <w:szCs w:val="44"/>
        </w:rPr>
        <w:t>名</w:t>
      </w:r>
      <w:r>
        <w:rPr>
          <w:rStyle w:val="27"/>
          <w:rFonts w:hint="eastAsia" w:ascii="黑体" w:hAnsi="黑体" w:eastAsia="黑体"/>
          <w:b w:val="0"/>
        </w:rPr>
        <w:t>词解释</w:t>
      </w:r>
      <w:bookmarkEnd w:id="95"/>
      <w:bookmarkEnd w:id="96"/>
      <w:bookmarkEnd w:id="97"/>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社会保障和就业（类）人力资源和社会保障管理事务（款）其他人力资源和社会保障管理事务支出（项）：指</w:t>
      </w:r>
      <w:r>
        <w:rPr>
          <w:rFonts w:hint="eastAsia" w:ascii="仿宋_GB2312" w:eastAsia="仿宋_GB2312"/>
          <w:sz w:val="32"/>
          <w:szCs w:val="32"/>
          <w:lang w:eastAsia="zh-CN"/>
        </w:rPr>
        <w:t>反映其他用于人力资源和社会保障管理事务方面的支出</w:t>
      </w:r>
      <w:r>
        <w:rPr>
          <w:rFonts w:hint="eastAsia" w:ascii="仿宋_GB2312" w:eastAsia="仿宋_GB2312"/>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6</w:t>
      </w:r>
      <w:r>
        <w:rPr>
          <w:rFonts w:eastAsia="仿宋_GB2312"/>
          <w:color w:val="000000"/>
          <w:sz w:val="32"/>
          <w:szCs w:val="32"/>
        </w:rPr>
        <w:t>.</w:t>
      </w:r>
      <w:r>
        <w:rPr>
          <w:rFonts w:hint="eastAsia" w:eastAsia="仿宋_GB2312"/>
          <w:color w:val="000000"/>
          <w:sz w:val="32"/>
          <w:szCs w:val="32"/>
        </w:rPr>
        <w:t>社会保障和就业支出（类）行政事业单位养老支出（款）行政单位离退休（项）：</w:t>
      </w:r>
      <w:r>
        <w:rPr>
          <w:rFonts w:hint="eastAsia" w:eastAsia="仿宋_GB2312"/>
          <w:color w:val="0D0D0D" w:themeColor="text1" w:themeTint="F2"/>
          <w:sz w:val="32"/>
          <w:szCs w:val="32"/>
          <w14:textFill>
            <w14:solidFill>
              <w14:schemeClr w14:val="tx1">
                <w14:lumMod w14:val="95000"/>
                <w14:lumOff w14:val="5000"/>
              </w14:schemeClr>
            </w14:solidFill>
          </w14:textFill>
        </w:rPr>
        <w:t>指行政单位（包括实行公务员法管理的事业单位）开支的离退休经费。</w:t>
      </w:r>
    </w:p>
    <w:p>
      <w:pPr>
        <w:ind w:firstLine="640" w:firstLineChars="200"/>
        <w:rPr>
          <w:rFonts w:hint="eastAsia" w:eastAsia="仿宋_GB2312"/>
          <w:color w:val="000000"/>
          <w:sz w:val="32"/>
          <w:szCs w:val="32"/>
        </w:rPr>
      </w:pPr>
      <w:r>
        <w:rPr>
          <w:rFonts w:hint="eastAsia" w:eastAsia="仿宋_GB2312"/>
          <w:color w:val="000000"/>
          <w:sz w:val="32"/>
          <w:szCs w:val="32"/>
          <w:lang w:val="en-US" w:eastAsia="zh-CN"/>
        </w:rPr>
        <w:t>7</w:t>
      </w:r>
      <w:r>
        <w:rPr>
          <w:rFonts w:eastAsia="仿宋_GB2312"/>
          <w:color w:val="000000"/>
          <w:sz w:val="32"/>
          <w:szCs w:val="32"/>
        </w:rPr>
        <w:t>.</w:t>
      </w:r>
      <w:r>
        <w:rPr>
          <w:rFonts w:hint="eastAsia" w:eastAsia="仿宋_GB2312"/>
          <w:color w:val="000000"/>
          <w:sz w:val="32"/>
          <w:szCs w:val="32"/>
        </w:rPr>
        <w:t>社会保障和就业支出（类）行政事业单位养老支出（款）事业单位离退休（项）：</w:t>
      </w:r>
      <w:r>
        <w:rPr>
          <w:rFonts w:hint="eastAsia" w:eastAsia="仿宋_GB2312"/>
          <w:color w:val="auto"/>
          <w:sz w:val="32"/>
          <w:szCs w:val="32"/>
        </w:rPr>
        <w:t>指事业单位开支的离退休经费。</w:t>
      </w:r>
    </w:p>
    <w:p>
      <w:pPr>
        <w:pStyle w:val="2"/>
        <w:ind w:firstLine="640" w:firstLineChars="200"/>
        <w:rPr>
          <w:rFonts w:hint="eastAsia" w:eastAsia="仿宋_GB2312"/>
          <w:lang w:eastAsia="zh-CN"/>
        </w:rPr>
      </w:pPr>
      <w:r>
        <w:rPr>
          <w:rFonts w:hint="eastAsia"/>
          <w:color w:val="000000"/>
          <w:sz w:val="32"/>
          <w:szCs w:val="32"/>
          <w:lang w:val="en-US" w:eastAsia="zh-CN"/>
        </w:rPr>
        <w:t>8</w:t>
      </w:r>
      <w:r>
        <w:rPr>
          <w:rFonts w:eastAsia="仿宋_GB2312"/>
          <w:color w:val="000000"/>
          <w:sz w:val="32"/>
          <w:szCs w:val="32"/>
        </w:rPr>
        <w:t>.</w:t>
      </w:r>
      <w:r>
        <w:rPr>
          <w:rFonts w:hint="eastAsia" w:eastAsia="仿宋_GB2312"/>
          <w:color w:val="000000"/>
          <w:sz w:val="32"/>
          <w:szCs w:val="32"/>
        </w:rPr>
        <w:t>社会保障和就业支出（类）行政事业单位养老支出（款）</w:t>
      </w:r>
      <w:r>
        <w:rPr>
          <w:rFonts w:hint="eastAsia"/>
          <w:color w:val="000000"/>
          <w:sz w:val="32"/>
          <w:szCs w:val="32"/>
          <w:lang w:eastAsia="zh-CN"/>
        </w:rPr>
        <w:t>机关职业单位基本养老保险缴费支出</w:t>
      </w:r>
      <w:r>
        <w:rPr>
          <w:rFonts w:hint="eastAsia" w:eastAsia="仿宋_GB2312"/>
          <w:color w:val="000000"/>
          <w:sz w:val="32"/>
          <w:szCs w:val="32"/>
        </w:rPr>
        <w:t>（项）：</w:t>
      </w:r>
      <w:r>
        <w:rPr>
          <w:rFonts w:hint="eastAsia"/>
          <w:color w:val="000000"/>
          <w:sz w:val="32"/>
          <w:szCs w:val="32"/>
          <w:lang w:eastAsia="zh-CN"/>
        </w:rPr>
        <w:t>指机关职工单位开支的基本养老保险缴费。</w:t>
      </w:r>
    </w:p>
    <w:p>
      <w:pPr>
        <w:ind w:firstLine="640" w:firstLineChars="200"/>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社会保障和就业（类）行政事业单位养老支出（款）机关事业单位职业年金缴费支出（项）：</w:t>
      </w:r>
      <w:r>
        <w:rPr>
          <w:rFonts w:hint="eastAsia" w:ascii="仿宋_GB2312" w:eastAsia="仿宋_GB2312"/>
          <w:sz w:val="32"/>
          <w:szCs w:val="32"/>
          <w:lang w:eastAsia="zh-CN"/>
        </w:rPr>
        <w:t>反映机关事业单位实施养老保险制度由单位实际缴纳的职业年金支出（含职业年金补记支出）</w:t>
      </w:r>
      <w:r>
        <w:rPr>
          <w:rFonts w:hint="eastAsia" w:ascii="仿宋_GB2312" w:eastAsia="仿宋_GB2312"/>
          <w:sz w:val="32"/>
          <w:szCs w:val="32"/>
        </w:rPr>
        <w:t>。</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（类）行政事业单位医疗（款）行政单位医疗（项）：指</w:t>
      </w:r>
      <w:r>
        <w:rPr>
          <w:rFonts w:hint="eastAsia" w:ascii="仿宋_GB2312" w:eastAsia="仿宋_GB2312"/>
          <w:sz w:val="32"/>
          <w:szCs w:val="32"/>
          <w:lang w:eastAsia="zh-CN"/>
        </w:rPr>
        <w:t>反映财政部门安排的行政单位（包括实行公务员管理的事业单位）基本医疗保险缴费经费，未参加医疗保险的行政单位的公费医疗经费，按国家规定享受离休人员、红军老战士待遇人员的医疗经费</w:t>
      </w:r>
      <w:r>
        <w:rPr>
          <w:rFonts w:hint="eastAsia" w:ascii="仿宋_GB2312" w:eastAsia="仿宋_GB2312"/>
          <w:sz w:val="32"/>
          <w:szCs w:val="32"/>
        </w:rPr>
        <w:t>。</w:t>
      </w:r>
    </w:p>
    <w:p>
      <w:pPr>
        <w:pStyle w:val="2"/>
        <w:numPr>
          <w:ilvl w:val="0"/>
          <w:numId w:val="0"/>
        </w:numPr>
        <w:ind w:firstLine="640" w:firstLineChars="200"/>
      </w:pPr>
      <w:r>
        <w:rPr>
          <w:rFonts w:ascii="仿宋_GB2312" w:eastAsia="仿宋_GB2312"/>
          <w:sz w:val="32"/>
          <w:szCs w:val="32"/>
        </w:rPr>
        <w:t>1</w:t>
      </w:r>
      <w:r>
        <w:rPr>
          <w:rFonts w:hint="eastAsia"/>
          <w:sz w:val="32"/>
          <w:szCs w:val="32"/>
          <w:lang w:val="en-US" w:eastAsia="zh-CN"/>
        </w:rPr>
        <w:t>1</w:t>
      </w:r>
      <w:r>
        <w:rPr>
          <w:rFonts w:ascii="仿宋_GB2312" w:eastAsia="仿宋_GB2312"/>
          <w:sz w:val="32"/>
          <w:szCs w:val="32"/>
        </w:rPr>
        <w:t>.</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（类）行政事业单位医疗（款）事业单位医疗（项）：指</w:t>
      </w:r>
      <w:r>
        <w:rPr>
          <w:rFonts w:hint="eastAsia" w:ascii="仿宋_GB2312" w:eastAsia="仿宋_GB2312"/>
          <w:sz w:val="32"/>
          <w:szCs w:val="32"/>
          <w:lang w:eastAsia="zh-CN"/>
        </w:rPr>
        <w:t>反映财政部门安排的</w:t>
      </w:r>
      <w:r>
        <w:rPr>
          <w:rFonts w:hint="eastAsia"/>
          <w:sz w:val="32"/>
          <w:szCs w:val="32"/>
          <w:lang w:eastAsia="zh-CN"/>
        </w:rPr>
        <w:t>事业单位</w:t>
      </w:r>
      <w:r>
        <w:rPr>
          <w:rFonts w:hint="eastAsia" w:ascii="仿宋_GB2312" w:eastAsia="仿宋_GB2312"/>
          <w:sz w:val="32"/>
          <w:szCs w:val="32"/>
          <w:lang w:eastAsia="zh-CN"/>
        </w:rPr>
        <w:t>基本医疗保险缴费经费，未参加医疗保险的</w:t>
      </w:r>
      <w:r>
        <w:rPr>
          <w:rFonts w:hint="eastAsia"/>
          <w:sz w:val="32"/>
          <w:szCs w:val="32"/>
          <w:lang w:eastAsia="zh-CN"/>
        </w:rPr>
        <w:t>事业单位</w:t>
      </w:r>
      <w:r>
        <w:rPr>
          <w:rFonts w:hint="eastAsia" w:ascii="仿宋_GB2312" w:eastAsia="仿宋_GB2312"/>
          <w:sz w:val="32"/>
          <w:szCs w:val="32"/>
          <w:lang w:eastAsia="zh-CN"/>
        </w:rPr>
        <w:t>的公费医疗经费，按国家规定享受离休人员待遇人员的医疗经费</w:t>
      </w:r>
      <w:r>
        <w:rPr>
          <w:rFonts w:hint="eastAsia" w:ascii="仿宋_GB2312" w:eastAsia="仿宋_GB2312"/>
          <w:sz w:val="32"/>
          <w:szCs w:val="32"/>
        </w:rPr>
        <w:t>。</w:t>
      </w:r>
    </w:p>
    <w:p>
      <w:pPr>
        <w:pStyle w:val="2"/>
        <w:widowControl w:val="0"/>
        <w:numPr>
          <w:ilvl w:val="0"/>
          <w:numId w:val="0"/>
        </w:numPr>
        <w:spacing w:beforeLines="30"/>
        <w:ind w:firstLine="640" w:firstLineChars="200"/>
        <w:jc w:val="both"/>
        <w:rPr>
          <w:rFonts w:hint="eastAsia" w:ascii="仿宋_GB2312" w:eastAsia="仿宋_GB2312"/>
          <w:sz w:val="32"/>
          <w:szCs w:val="32"/>
        </w:rPr>
      </w:pPr>
      <w:r>
        <w:rPr>
          <w:rFonts w:hint="eastAsia"/>
          <w:sz w:val="32"/>
          <w:szCs w:val="32"/>
          <w:lang w:val="en-US" w:eastAsia="zh-CN"/>
        </w:rPr>
        <w:t>12.</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（类）行政事业单位医疗（款）公务员医疗补助（项）：指</w:t>
      </w:r>
      <w:r>
        <w:rPr>
          <w:rFonts w:hint="eastAsia" w:ascii="仿宋_GB2312" w:eastAsia="仿宋_GB2312"/>
          <w:sz w:val="32"/>
          <w:szCs w:val="32"/>
          <w:lang w:eastAsia="zh-CN"/>
        </w:rPr>
        <w:t>反映财政部门安排的</w:t>
      </w:r>
      <w:r>
        <w:rPr>
          <w:rFonts w:hint="eastAsia"/>
          <w:sz w:val="32"/>
          <w:szCs w:val="32"/>
          <w:lang w:eastAsia="zh-CN"/>
        </w:rPr>
        <w:t>公务员医疗补助经费</w:t>
      </w:r>
      <w:r>
        <w:rPr>
          <w:rFonts w:hint="eastAsia" w:ascii="仿宋_GB2312" w:eastAsia="仿宋_GB2312"/>
          <w:sz w:val="32"/>
          <w:szCs w:val="32"/>
        </w:rPr>
        <w:t>。</w:t>
      </w:r>
    </w:p>
    <w:p>
      <w:pPr>
        <w:pStyle w:val="2"/>
        <w:widowControl w:val="0"/>
        <w:numPr>
          <w:ilvl w:val="0"/>
          <w:numId w:val="0"/>
        </w:numPr>
        <w:spacing w:beforeLines="30"/>
        <w:ind w:leftChars="0" w:firstLine="640" w:firstLineChars="200"/>
        <w:jc w:val="both"/>
        <w:rPr>
          <w:rFonts w:hint="eastAsia" w:ascii="仿宋_GB2312" w:eastAsia="仿宋_GB2312"/>
          <w:sz w:val="32"/>
          <w:szCs w:val="32"/>
        </w:rPr>
      </w:pPr>
      <w:r>
        <w:rPr>
          <w:rFonts w:hint="eastAsia"/>
          <w:sz w:val="32"/>
          <w:szCs w:val="32"/>
          <w:lang w:val="en-US" w:eastAsia="zh-CN"/>
        </w:rPr>
        <w:t>13.</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（类）行政事业单位医疗（款）其他行政事业单位医疗支出（项）：指</w:t>
      </w:r>
      <w:r>
        <w:rPr>
          <w:rFonts w:hint="eastAsia" w:ascii="仿宋_GB2312" w:eastAsia="仿宋_GB2312"/>
          <w:sz w:val="32"/>
          <w:szCs w:val="32"/>
          <w:lang w:eastAsia="zh-CN"/>
        </w:rPr>
        <w:t>反映</w:t>
      </w:r>
      <w:r>
        <w:rPr>
          <w:rFonts w:hint="eastAsia"/>
          <w:sz w:val="32"/>
          <w:szCs w:val="32"/>
          <w:lang w:eastAsia="zh-CN"/>
        </w:rPr>
        <w:t>其他用于行政事业单位医疗方面的支出</w:t>
      </w:r>
      <w:r>
        <w:rPr>
          <w:rFonts w:hint="eastAsia" w:ascii="仿宋_GB2312" w:eastAsia="仿宋_GB2312"/>
          <w:sz w:val="32"/>
          <w:szCs w:val="32"/>
        </w:rPr>
        <w:t>。</w:t>
      </w:r>
    </w:p>
    <w:p>
      <w:pPr>
        <w:ind w:firstLine="640" w:firstLineChars="200"/>
        <w:rPr>
          <w:rFonts w:hint="eastAsia" w:eastAsia="仿宋_GB2312"/>
          <w:color w:val="000000"/>
          <w:sz w:val="32"/>
          <w:szCs w:val="32"/>
        </w:rPr>
      </w:pPr>
      <w:r>
        <w:rPr>
          <w:rFonts w:hint="eastAsia" w:eastAsia="仿宋_GB2312"/>
          <w:color w:val="000000"/>
          <w:sz w:val="32"/>
          <w:szCs w:val="32"/>
          <w:lang w:val="en-US" w:eastAsia="zh-CN"/>
        </w:rPr>
        <w:t>14</w:t>
      </w:r>
      <w:r>
        <w:rPr>
          <w:rFonts w:eastAsia="仿宋_GB2312"/>
          <w:color w:val="000000"/>
          <w:sz w:val="32"/>
          <w:szCs w:val="32"/>
        </w:rPr>
        <w:t>.</w:t>
      </w:r>
      <w:r>
        <w:rPr>
          <w:rFonts w:hint="eastAsia" w:eastAsia="仿宋_GB2312"/>
          <w:color w:val="000000"/>
          <w:sz w:val="32"/>
          <w:szCs w:val="32"/>
        </w:rPr>
        <w:t>交通运输支出（类）公路水路运输（款）行政运行（项）：指行政单位（包括实行公务员法管理的事业单位）的基本支出。</w:t>
      </w:r>
    </w:p>
    <w:p>
      <w:pPr>
        <w:pStyle w:val="2"/>
        <w:ind w:firstLine="640" w:firstLineChars="200"/>
        <w:rPr>
          <w:rFonts w:hint="eastAsia" w:eastAsia="仿宋_GB2312"/>
          <w:color w:val="auto"/>
          <w:sz w:val="32"/>
          <w:szCs w:val="32"/>
        </w:rPr>
      </w:pPr>
      <w:r>
        <w:rPr>
          <w:rFonts w:hint="eastAsia"/>
          <w:color w:val="auto"/>
          <w:sz w:val="32"/>
          <w:szCs w:val="32"/>
          <w:lang w:val="en-US" w:eastAsia="zh-CN"/>
        </w:rPr>
        <w:t>15</w:t>
      </w:r>
      <w:r>
        <w:rPr>
          <w:rFonts w:eastAsia="仿宋_GB2312"/>
          <w:color w:val="auto"/>
          <w:sz w:val="32"/>
          <w:szCs w:val="32"/>
        </w:rPr>
        <w:t>.</w:t>
      </w:r>
      <w:r>
        <w:rPr>
          <w:rFonts w:hint="eastAsia" w:eastAsia="仿宋_GB2312"/>
          <w:color w:val="auto"/>
          <w:sz w:val="32"/>
          <w:szCs w:val="32"/>
        </w:rPr>
        <w:t>交通运输支出（类）公路水路运输（款）</w:t>
      </w:r>
      <w:r>
        <w:rPr>
          <w:rFonts w:hint="eastAsia"/>
          <w:color w:val="auto"/>
          <w:sz w:val="32"/>
          <w:szCs w:val="32"/>
          <w:lang w:eastAsia="zh-CN"/>
        </w:rPr>
        <w:t>机关服务</w:t>
      </w:r>
      <w:r>
        <w:rPr>
          <w:rFonts w:hint="eastAsia" w:eastAsia="仿宋_GB2312"/>
          <w:color w:val="auto"/>
          <w:sz w:val="32"/>
          <w:szCs w:val="32"/>
        </w:rPr>
        <w:t>（项）：指行政单位（包括实行公务员法管理的事业单位）</w:t>
      </w:r>
      <w:r>
        <w:rPr>
          <w:rFonts w:hint="eastAsia"/>
          <w:color w:val="auto"/>
          <w:sz w:val="32"/>
          <w:szCs w:val="32"/>
          <w:lang w:eastAsia="zh-CN"/>
        </w:rPr>
        <w:t>提供后勤服务的各类后勤服务中心、医务室等附属事业单位的支出。</w:t>
      </w:r>
    </w:p>
    <w:p>
      <w:pPr>
        <w:pStyle w:val="2"/>
        <w:ind w:firstLine="640" w:firstLineChars="200"/>
        <w:rPr>
          <w:rFonts w:hint="eastAsia" w:eastAsia="仿宋_GB2312"/>
          <w:color w:val="auto"/>
          <w:sz w:val="32"/>
          <w:szCs w:val="32"/>
        </w:rPr>
      </w:pPr>
      <w:r>
        <w:rPr>
          <w:rFonts w:hint="eastAsia"/>
          <w:color w:val="auto"/>
          <w:sz w:val="32"/>
          <w:szCs w:val="32"/>
          <w:lang w:val="en-US" w:eastAsia="zh-CN"/>
        </w:rPr>
        <w:t>16</w:t>
      </w:r>
      <w:r>
        <w:rPr>
          <w:rFonts w:eastAsia="仿宋_GB2312"/>
          <w:color w:val="auto"/>
          <w:sz w:val="32"/>
          <w:szCs w:val="32"/>
        </w:rPr>
        <w:t>.</w:t>
      </w:r>
      <w:r>
        <w:rPr>
          <w:rFonts w:hint="eastAsia" w:eastAsia="仿宋_GB2312"/>
          <w:color w:val="auto"/>
          <w:sz w:val="32"/>
          <w:szCs w:val="32"/>
        </w:rPr>
        <w:t>交通运输支出（类）公路水路运输（款）</w:t>
      </w:r>
      <w:r>
        <w:rPr>
          <w:rFonts w:hint="eastAsia"/>
          <w:color w:val="auto"/>
          <w:sz w:val="32"/>
          <w:szCs w:val="32"/>
          <w:lang w:val="en-US" w:eastAsia="zh-CN"/>
        </w:rPr>
        <w:t>公路养护</w:t>
      </w:r>
      <w:r>
        <w:rPr>
          <w:rFonts w:hint="eastAsia" w:eastAsia="仿宋_GB2312"/>
          <w:color w:val="auto"/>
          <w:sz w:val="32"/>
          <w:szCs w:val="32"/>
        </w:rPr>
        <w:t>（项）：指公路养护支出。</w:t>
      </w:r>
    </w:p>
    <w:p>
      <w:pPr>
        <w:ind w:firstLine="640" w:firstLineChars="200"/>
        <w:rPr>
          <w:rFonts w:eastAsia="仿宋_GB2312"/>
          <w:color w:val="000000"/>
          <w:sz w:val="32"/>
          <w:szCs w:val="32"/>
        </w:rPr>
      </w:pPr>
      <w:r>
        <w:rPr>
          <w:rFonts w:hint="eastAsia" w:eastAsia="仿宋_GB2312"/>
          <w:color w:val="auto"/>
          <w:sz w:val="32"/>
          <w:szCs w:val="32"/>
          <w:lang w:val="en-US" w:eastAsia="zh-CN"/>
        </w:rPr>
        <w:t>17</w:t>
      </w:r>
      <w:r>
        <w:rPr>
          <w:rFonts w:hint="eastAsia" w:eastAsia="仿宋_GB2312"/>
          <w:color w:val="auto"/>
          <w:sz w:val="32"/>
          <w:szCs w:val="32"/>
        </w:rPr>
        <w:t>.交通运输支出</w:t>
      </w:r>
      <w:r>
        <w:rPr>
          <w:rFonts w:hint="eastAsia" w:eastAsia="仿宋_GB2312"/>
          <w:color w:val="000000"/>
          <w:sz w:val="32"/>
          <w:szCs w:val="32"/>
        </w:rPr>
        <w:t>（类）其他交通运输支出（款）其他公路水路运输支出（项）：指其他</w:t>
      </w:r>
      <w:r>
        <w:rPr>
          <w:rFonts w:hint="eastAsia" w:eastAsia="仿宋_GB2312"/>
          <w:color w:val="000000"/>
          <w:sz w:val="32"/>
          <w:szCs w:val="32"/>
          <w:lang w:eastAsia="zh-CN"/>
        </w:rPr>
        <w:t>用于公路水路运输方面的支出</w:t>
      </w:r>
      <w:r>
        <w:rPr>
          <w:rFonts w:hint="eastAsia" w:eastAsia="仿宋_GB2312"/>
          <w:color w:val="000000"/>
          <w:sz w:val="32"/>
          <w:szCs w:val="32"/>
        </w:rPr>
        <w:t>。</w:t>
      </w:r>
    </w:p>
    <w:p>
      <w:pPr>
        <w:ind w:firstLine="640" w:firstLineChars="200"/>
        <w:rPr>
          <w:rFonts w:eastAsia="仿宋_GB2312"/>
          <w:color w:val="000000"/>
          <w:sz w:val="32"/>
          <w:szCs w:val="32"/>
        </w:rPr>
      </w:pPr>
      <w:r>
        <w:rPr>
          <w:rFonts w:hint="eastAsia" w:eastAsia="仿宋_GB2312"/>
          <w:color w:val="000000"/>
          <w:sz w:val="32"/>
          <w:szCs w:val="32"/>
          <w:lang w:val="en-US" w:eastAsia="zh-CN"/>
        </w:rPr>
        <w:t>18</w:t>
      </w:r>
      <w:r>
        <w:rPr>
          <w:rFonts w:hint="eastAsia" w:eastAsia="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21</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22</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olor w:val="auto"/>
          <w:sz w:val="32"/>
          <w:szCs w:val="32"/>
        </w:rPr>
      </w:pP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98" w:name="_Toc15377226"/>
      <w:r>
        <w:rPr>
          <w:rFonts w:ascii="宋体"/>
          <w:b/>
          <w:sz w:val="44"/>
          <w:szCs w:val="44"/>
        </w:rPr>
        <w:br w:type="page"/>
      </w:r>
      <w:bookmarkStart w:id="99" w:name="_Toc15396614"/>
      <w:bookmarkStart w:id="100" w:name="_Toc4580_WPSOffice_Level1"/>
      <w:r>
        <w:rPr>
          <w:rFonts w:hint="eastAsia" w:ascii="黑体" w:hAnsi="黑体" w:eastAsia="黑体"/>
          <w:sz w:val="44"/>
          <w:szCs w:val="44"/>
        </w:rPr>
        <w:t>第</w:t>
      </w:r>
      <w:r>
        <w:rPr>
          <w:rStyle w:val="27"/>
          <w:rFonts w:hint="eastAsia" w:ascii="黑体" w:hAnsi="黑体" w:eastAsia="黑体"/>
          <w:b w:val="0"/>
        </w:rPr>
        <w:t>四部分 附件</w:t>
      </w:r>
      <w:bookmarkEnd w:id="99"/>
      <w:bookmarkEnd w:id="100"/>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hint="default" w:eastAsia="宋体"/>
          <w:sz w:val="32"/>
          <w:szCs w:val="32"/>
          <w:lang w:val="en-US" w:eastAsia="zh-CN"/>
        </w:rPr>
      </w:pPr>
      <w:bookmarkStart w:id="101" w:name="_Toc3920_WPSOffice_Level2"/>
      <w:bookmarkStart w:id="102" w:name="_Toc30929_WPSOffice_Level2"/>
      <w:bookmarkStart w:id="103" w:name="_Toc15396618"/>
      <w:r>
        <w:rPr>
          <w:rFonts w:hint="eastAsia"/>
          <w:sz w:val="32"/>
          <w:szCs w:val="32"/>
        </w:rPr>
        <w:t>部门预算项目支出绩效自评表（2023年度）</w:t>
      </w:r>
      <w:bookmarkEnd w:id="101"/>
      <w:r>
        <w:rPr>
          <w:rFonts w:hint="eastAsia"/>
          <w:sz w:val="32"/>
          <w:szCs w:val="32"/>
          <w:lang w:eastAsia="zh-CN"/>
        </w:rPr>
        <w:t>见附件</w:t>
      </w:r>
      <w:bookmarkEnd w:id="102"/>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ascii="仿宋" w:hAnsi="仿宋" w:eastAsia="仿宋"/>
        </w:rPr>
      </w:pPr>
      <w:bookmarkStart w:id="104" w:name="_Toc31258_WPSOffice_Level1"/>
      <w:r>
        <w:rPr>
          <w:rFonts w:hint="eastAsia" w:ascii="黑体" w:hAnsi="黑体" w:eastAsia="黑体"/>
          <w:sz w:val="44"/>
          <w:szCs w:val="44"/>
        </w:rPr>
        <w:t>第</w:t>
      </w:r>
      <w:r>
        <w:rPr>
          <w:rStyle w:val="27"/>
          <w:rFonts w:hint="eastAsia" w:ascii="黑体" w:hAnsi="黑体" w:eastAsia="黑体"/>
          <w:b w:val="0"/>
        </w:rPr>
        <w:t>五部分 附表</w:t>
      </w:r>
      <w:bookmarkEnd w:id="98"/>
      <w:bookmarkEnd w:id="103"/>
      <w:bookmarkEnd w:id="104"/>
      <w:bookmarkStart w:id="105" w:name="_Toc15396619"/>
    </w:p>
    <w:p>
      <w:pPr>
        <w:pStyle w:val="4"/>
        <w:rPr>
          <w:rFonts w:ascii="仿宋" w:hAnsi="仿宋" w:eastAsia="仿宋"/>
        </w:rPr>
      </w:pPr>
      <w:bookmarkStart w:id="106" w:name="_Toc27909_WPSOffice_Level2"/>
      <w:r>
        <w:rPr>
          <w:rFonts w:hint="eastAsia" w:ascii="仿宋" w:hAnsi="仿宋" w:eastAsia="仿宋"/>
          <w:b w:val="0"/>
        </w:rPr>
        <w:t>一、收</w:t>
      </w:r>
      <w:r>
        <w:rPr>
          <w:rStyle w:val="28"/>
          <w:rFonts w:hint="eastAsia" w:ascii="仿宋" w:hAnsi="仿宋" w:eastAsia="仿宋"/>
          <w:b w:val="0"/>
          <w:bCs w:val="0"/>
        </w:rPr>
        <w:t>入支出决算总表</w:t>
      </w:r>
      <w:bookmarkEnd w:id="105"/>
      <w:bookmarkEnd w:id="106"/>
    </w:p>
    <w:p>
      <w:pPr>
        <w:pStyle w:val="4"/>
        <w:rPr>
          <w:rFonts w:ascii="仿宋" w:hAnsi="仿宋" w:eastAsia="仿宋"/>
        </w:rPr>
      </w:pPr>
      <w:bookmarkStart w:id="107" w:name="_Toc15396620"/>
      <w:bookmarkStart w:id="108" w:name="_Toc14580_WPSOffice_Level2"/>
      <w:r>
        <w:rPr>
          <w:rFonts w:hint="eastAsia" w:ascii="仿宋" w:hAnsi="仿宋" w:eastAsia="仿宋"/>
          <w:b w:val="0"/>
        </w:rPr>
        <w:t>二、收</w:t>
      </w:r>
      <w:r>
        <w:rPr>
          <w:rStyle w:val="28"/>
          <w:rFonts w:hint="eastAsia" w:ascii="仿宋" w:hAnsi="仿宋" w:eastAsia="仿宋"/>
          <w:b w:val="0"/>
          <w:bCs w:val="0"/>
        </w:rPr>
        <w:t>入决算表</w:t>
      </w:r>
      <w:bookmarkEnd w:id="107"/>
      <w:bookmarkEnd w:id="108"/>
    </w:p>
    <w:p>
      <w:pPr>
        <w:pStyle w:val="4"/>
        <w:rPr>
          <w:rFonts w:ascii="仿宋" w:hAnsi="仿宋" w:eastAsia="仿宋"/>
        </w:rPr>
      </w:pPr>
      <w:bookmarkStart w:id="109" w:name="_Toc10291_WPSOffice_Level2"/>
      <w:bookmarkStart w:id="110"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109"/>
      <w:bookmarkEnd w:id="110"/>
    </w:p>
    <w:p>
      <w:pPr>
        <w:pStyle w:val="4"/>
        <w:rPr>
          <w:rFonts w:ascii="仿宋" w:hAnsi="仿宋" w:eastAsia="仿宋"/>
          <w:b w:val="0"/>
        </w:rPr>
      </w:pPr>
      <w:bookmarkStart w:id="111" w:name="_Toc15165_WPSOffice_Level2"/>
      <w:bookmarkStart w:id="112"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111"/>
      <w:bookmarkEnd w:id="112"/>
    </w:p>
    <w:p>
      <w:pPr>
        <w:pStyle w:val="4"/>
        <w:rPr>
          <w:rStyle w:val="28"/>
          <w:rFonts w:ascii="仿宋" w:hAnsi="仿宋" w:eastAsia="仿宋"/>
          <w:b w:val="0"/>
          <w:bCs w:val="0"/>
        </w:rPr>
      </w:pPr>
      <w:bookmarkStart w:id="113" w:name="_Toc4604_WPSOffice_Level2"/>
      <w:bookmarkStart w:id="114"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113"/>
      <w:bookmarkEnd w:id="114"/>
      <w:bookmarkStart w:id="115" w:name="_Toc15396624"/>
    </w:p>
    <w:p>
      <w:pPr>
        <w:pStyle w:val="4"/>
        <w:rPr>
          <w:rFonts w:ascii="仿宋" w:hAnsi="仿宋" w:eastAsia="仿宋"/>
        </w:rPr>
      </w:pPr>
      <w:bookmarkStart w:id="116" w:name="_Toc1949_WPSOffice_Level2"/>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115"/>
      <w:bookmarkEnd w:id="116"/>
    </w:p>
    <w:p>
      <w:pPr>
        <w:pStyle w:val="4"/>
        <w:rPr>
          <w:rFonts w:ascii="仿宋" w:hAnsi="仿宋" w:eastAsia="仿宋"/>
        </w:rPr>
      </w:pPr>
      <w:bookmarkStart w:id="117" w:name="_Toc15396625"/>
      <w:bookmarkStart w:id="118" w:name="_Toc31953_WPSOffice_Level2"/>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117"/>
      <w:bookmarkEnd w:id="118"/>
    </w:p>
    <w:p>
      <w:pPr>
        <w:pStyle w:val="4"/>
        <w:rPr>
          <w:rFonts w:ascii="仿宋" w:hAnsi="仿宋" w:eastAsia="仿宋"/>
        </w:rPr>
      </w:pPr>
      <w:bookmarkStart w:id="119" w:name="_Toc15396626"/>
      <w:bookmarkStart w:id="120" w:name="_Toc4058_WPSOffice_Level2"/>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119"/>
      <w:bookmarkEnd w:id="120"/>
    </w:p>
    <w:p>
      <w:pPr>
        <w:pStyle w:val="4"/>
        <w:rPr>
          <w:rFonts w:ascii="仿宋" w:hAnsi="仿宋" w:eastAsia="仿宋"/>
        </w:rPr>
      </w:pPr>
      <w:bookmarkStart w:id="121" w:name="_Toc15396627"/>
      <w:bookmarkStart w:id="122" w:name="_Toc24572_WPSOffice_Level2"/>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121"/>
      <w:bookmarkEnd w:id="122"/>
    </w:p>
    <w:p>
      <w:pPr>
        <w:pStyle w:val="4"/>
        <w:rPr>
          <w:rFonts w:hint="eastAsia" w:ascii="仿宋" w:hAnsi="仿宋" w:eastAsia="仿宋"/>
          <w:lang w:eastAsia="zh-CN"/>
        </w:rPr>
      </w:pPr>
      <w:bookmarkStart w:id="123" w:name="_Toc15396628"/>
      <w:bookmarkStart w:id="124" w:name="_Toc28755_WPSOffice_Level2"/>
      <w:r>
        <w:rPr>
          <w:rStyle w:val="28"/>
          <w:rFonts w:hint="eastAsia" w:ascii="仿宋" w:hAnsi="仿宋" w:eastAsia="仿宋"/>
          <w:b w:val="0"/>
          <w:bCs w:val="0"/>
        </w:rPr>
        <w:t>十、</w:t>
      </w:r>
      <w:bookmarkEnd w:id="123"/>
      <w:r>
        <w:rPr>
          <w:rFonts w:hint="eastAsia" w:ascii="仿宋" w:hAnsi="仿宋" w:eastAsia="仿宋"/>
          <w:b w:val="0"/>
        </w:rPr>
        <w:t>政</w:t>
      </w:r>
      <w:r>
        <w:rPr>
          <w:rStyle w:val="28"/>
          <w:rFonts w:hint="eastAsia" w:ascii="仿宋" w:hAnsi="仿宋" w:eastAsia="仿宋"/>
          <w:b w:val="0"/>
          <w:bCs w:val="0"/>
        </w:rPr>
        <w:t>府性基金预算财政拨款收入支出决算表</w:t>
      </w:r>
      <w:r>
        <w:rPr>
          <w:rStyle w:val="28"/>
          <w:rFonts w:hint="eastAsia" w:ascii="仿宋" w:hAnsi="仿宋" w:eastAsia="仿宋"/>
          <w:b w:val="0"/>
          <w:bCs w:val="0"/>
          <w:lang w:eastAsia="zh-CN"/>
        </w:rPr>
        <w:t>（此表无数据）</w:t>
      </w:r>
      <w:bookmarkEnd w:id="124"/>
    </w:p>
    <w:p>
      <w:pPr>
        <w:pStyle w:val="4"/>
        <w:rPr>
          <w:rFonts w:hint="eastAsia" w:ascii="仿宋" w:hAnsi="仿宋" w:eastAsia="仿宋"/>
          <w:lang w:eastAsia="zh-CN"/>
        </w:rPr>
      </w:pPr>
      <w:bookmarkStart w:id="125" w:name="_Toc15396629"/>
      <w:bookmarkStart w:id="126" w:name="_Toc10188_WPSOffice_Level2"/>
      <w:r>
        <w:rPr>
          <w:rStyle w:val="28"/>
          <w:rFonts w:hint="eastAsia" w:ascii="仿宋" w:hAnsi="仿宋" w:eastAsia="仿宋"/>
          <w:b w:val="0"/>
          <w:bCs w:val="0"/>
        </w:rPr>
        <w:t>十一、</w:t>
      </w:r>
      <w:bookmarkEnd w:id="125"/>
      <w:r>
        <w:rPr>
          <w:rFonts w:hint="eastAsia" w:ascii="仿宋" w:hAnsi="仿宋" w:eastAsia="仿宋"/>
          <w:b w:val="0"/>
        </w:rPr>
        <w:t>国</w:t>
      </w:r>
      <w:r>
        <w:rPr>
          <w:rStyle w:val="28"/>
          <w:rFonts w:hint="eastAsia" w:ascii="仿宋" w:hAnsi="仿宋" w:eastAsia="仿宋"/>
          <w:b w:val="0"/>
          <w:bCs w:val="0"/>
        </w:rPr>
        <w:t>有资本经营预算财政拨款收入支出决算表</w:t>
      </w:r>
      <w:r>
        <w:rPr>
          <w:rStyle w:val="28"/>
          <w:rFonts w:hint="eastAsia" w:ascii="仿宋" w:hAnsi="仿宋" w:eastAsia="仿宋"/>
          <w:b w:val="0"/>
          <w:bCs w:val="0"/>
          <w:lang w:eastAsia="zh-CN"/>
        </w:rPr>
        <w:t>（此表无数据）</w:t>
      </w:r>
      <w:bookmarkEnd w:id="126"/>
    </w:p>
    <w:p>
      <w:pPr>
        <w:pStyle w:val="4"/>
        <w:rPr>
          <w:rFonts w:hint="eastAsia" w:ascii="仿宋" w:hAnsi="仿宋" w:eastAsia="仿宋"/>
          <w:lang w:eastAsia="zh-CN"/>
        </w:rPr>
      </w:pPr>
      <w:bookmarkStart w:id="127" w:name="_Toc15396630"/>
      <w:bookmarkStart w:id="128" w:name="_Toc18386_WPSOffice_Level2"/>
      <w:r>
        <w:rPr>
          <w:rStyle w:val="28"/>
          <w:rFonts w:hint="eastAsia" w:ascii="仿宋" w:hAnsi="仿宋" w:eastAsia="仿宋"/>
          <w:b w:val="0"/>
          <w:bCs w:val="0"/>
        </w:rPr>
        <w:t>十二、</w:t>
      </w:r>
      <w:bookmarkEnd w:id="127"/>
      <w:r>
        <w:rPr>
          <w:rStyle w:val="28"/>
          <w:rFonts w:hint="eastAsia" w:ascii="仿宋" w:hAnsi="仿宋" w:eastAsia="仿宋"/>
          <w:b w:val="0"/>
          <w:bCs w:val="0"/>
        </w:rPr>
        <w:t>国有资本经营预算财政拨款支出决算表</w:t>
      </w:r>
      <w:r>
        <w:rPr>
          <w:rStyle w:val="28"/>
          <w:rFonts w:hint="eastAsia" w:ascii="仿宋" w:hAnsi="仿宋" w:eastAsia="仿宋"/>
          <w:b w:val="0"/>
          <w:bCs w:val="0"/>
          <w:lang w:eastAsia="zh-CN"/>
        </w:rPr>
        <w:t>（此表无数据）</w:t>
      </w:r>
      <w:bookmarkEnd w:id="128"/>
    </w:p>
    <w:p>
      <w:pPr>
        <w:pStyle w:val="4"/>
        <w:rPr>
          <w:rFonts w:hint="eastAsia" w:eastAsia="仿宋"/>
          <w:lang w:eastAsia="zh-CN"/>
        </w:rPr>
      </w:pPr>
      <w:bookmarkStart w:id="129" w:name="_Toc15396631"/>
      <w:bookmarkStart w:id="130" w:name="_Toc21658_WPSOffice_Level2"/>
      <w:r>
        <w:rPr>
          <w:rStyle w:val="28"/>
          <w:rFonts w:hint="eastAsia" w:ascii="仿宋" w:hAnsi="仿宋" w:eastAsia="仿宋"/>
          <w:b w:val="0"/>
          <w:bCs w:val="0"/>
        </w:rPr>
        <w:t>十三、</w:t>
      </w:r>
      <w:bookmarkEnd w:id="129"/>
      <w:r>
        <w:rPr>
          <w:rStyle w:val="28"/>
          <w:rFonts w:hint="eastAsia" w:ascii="仿宋" w:hAnsi="仿宋" w:eastAsia="仿宋"/>
          <w:b w:val="0"/>
          <w:bCs w:val="0"/>
        </w:rPr>
        <w:t>财政拨款“三公”经费支出决算表</w:t>
      </w:r>
      <w:bookmarkEnd w:id="13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1E55"/>
    <w:rsid w:val="03DC2831"/>
    <w:rsid w:val="081B5E94"/>
    <w:rsid w:val="0A2032A3"/>
    <w:rsid w:val="0A4D3D00"/>
    <w:rsid w:val="0B8A37D8"/>
    <w:rsid w:val="0D1969D6"/>
    <w:rsid w:val="0D2033CD"/>
    <w:rsid w:val="0D7E5B0B"/>
    <w:rsid w:val="0E886DDA"/>
    <w:rsid w:val="0F5FFB2F"/>
    <w:rsid w:val="0FFFCF60"/>
    <w:rsid w:val="10C055FF"/>
    <w:rsid w:val="118107EC"/>
    <w:rsid w:val="11DD6519"/>
    <w:rsid w:val="12030418"/>
    <w:rsid w:val="15285FC6"/>
    <w:rsid w:val="157C0756"/>
    <w:rsid w:val="167E3DEB"/>
    <w:rsid w:val="16995C05"/>
    <w:rsid w:val="16BB723D"/>
    <w:rsid w:val="16E077C0"/>
    <w:rsid w:val="18015F3F"/>
    <w:rsid w:val="1A922746"/>
    <w:rsid w:val="1AE94AF8"/>
    <w:rsid w:val="1AEA7682"/>
    <w:rsid w:val="1BE8440E"/>
    <w:rsid w:val="1D155CEE"/>
    <w:rsid w:val="1DA572D1"/>
    <w:rsid w:val="1EFB02AA"/>
    <w:rsid w:val="1FDBBF84"/>
    <w:rsid w:val="20F57F95"/>
    <w:rsid w:val="240371BF"/>
    <w:rsid w:val="25711CC6"/>
    <w:rsid w:val="25C741E6"/>
    <w:rsid w:val="276F80C0"/>
    <w:rsid w:val="27842671"/>
    <w:rsid w:val="29A54B53"/>
    <w:rsid w:val="29FD04D3"/>
    <w:rsid w:val="2ABE7A3E"/>
    <w:rsid w:val="2AE26055"/>
    <w:rsid w:val="2AFF09B6"/>
    <w:rsid w:val="2CA234A8"/>
    <w:rsid w:val="2D887D5A"/>
    <w:rsid w:val="2E022ABE"/>
    <w:rsid w:val="2EFA178C"/>
    <w:rsid w:val="2EFDF86C"/>
    <w:rsid w:val="2F7A7461"/>
    <w:rsid w:val="2F9D17E1"/>
    <w:rsid w:val="2FEE21ED"/>
    <w:rsid w:val="30356A17"/>
    <w:rsid w:val="30B46D73"/>
    <w:rsid w:val="319F7F4E"/>
    <w:rsid w:val="33187403"/>
    <w:rsid w:val="341F0464"/>
    <w:rsid w:val="35327ABC"/>
    <w:rsid w:val="356A28F1"/>
    <w:rsid w:val="357C035A"/>
    <w:rsid w:val="368E000D"/>
    <w:rsid w:val="37732AB8"/>
    <w:rsid w:val="383D272C"/>
    <w:rsid w:val="39AE70AB"/>
    <w:rsid w:val="3A4DCE41"/>
    <w:rsid w:val="3BB72DFB"/>
    <w:rsid w:val="3BCB56FA"/>
    <w:rsid w:val="3C0C0783"/>
    <w:rsid w:val="3E467B6A"/>
    <w:rsid w:val="3EBF5A44"/>
    <w:rsid w:val="3EE7C2F4"/>
    <w:rsid w:val="3F371B56"/>
    <w:rsid w:val="3F792ED8"/>
    <w:rsid w:val="3F9F3A96"/>
    <w:rsid w:val="3FECA4B2"/>
    <w:rsid w:val="3FF58C48"/>
    <w:rsid w:val="411F1D80"/>
    <w:rsid w:val="41F96C40"/>
    <w:rsid w:val="421C0C93"/>
    <w:rsid w:val="42FF6694"/>
    <w:rsid w:val="46776D8A"/>
    <w:rsid w:val="46F45DEE"/>
    <w:rsid w:val="478C1412"/>
    <w:rsid w:val="48BF60AB"/>
    <w:rsid w:val="493C27E9"/>
    <w:rsid w:val="496F39ED"/>
    <w:rsid w:val="49FF41D3"/>
    <w:rsid w:val="4A8A1960"/>
    <w:rsid w:val="4BE068DB"/>
    <w:rsid w:val="4BF6002B"/>
    <w:rsid w:val="4BFFC6BE"/>
    <w:rsid w:val="4ECE2238"/>
    <w:rsid w:val="50413C4E"/>
    <w:rsid w:val="51DB4B86"/>
    <w:rsid w:val="51F64DB0"/>
    <w:rsid w:val="543A4ED9"/>
    <w:rsid w:val="55333C3E"/>
    <w:rsid w:val="591360F1"/>
    <w:rsid w:val="5B8A7744"/>
    <w:rsid w:val="5C530CA9"/>
    <w:rsid w:val="5D4D1A90"/>
    <w:rsid w:val="5EFD28DB"/>
    <w:rsid w:val="5F67802D"/>
    <w:rsid w:val="5F7DC4F2"/>
    <w:rsid w:val="5FB36814"/>
    <w:rsid w:val="5FBB8E56"/>
    <w:rsid w:val="5FFB5535"/>
    <w:rsid w:val="63E17D8C"/>
    <w:rsid w:val="64CA39A1"/>
    <w:rsid w:val="64FC47A9"/>
    <w:rsid w:val="65CA7B9E"/>
    <w:rsid w:val="680E1B2E"/>
    <w:rsid w:val="689E4011"/>
    <w:rsid w:val="69630ADE"/>
    <w:rsid w:val="69AD4B2D"/>
    <w:rsid w:val="69BD5F13"/>
    <w:rsid w:val="69FB0B4B"/>
    <w:rsid w:val="6BFFE1FB"/>
    <w:rsid w:val="6C4A05C8"/>
    <w:rsid w:val="6C8E0428"/>
    <w:rsid w:val="6D3B1A89"/>
    <w:rsid w:val="6DB7D8A3"/>
    <w:rsid w:val="6DCE7ED0"/>
    <w:rsid w:val="6E677432"/>
    <w:rsid w:val="6EC78701"/>
    <w:rsid w:val="6F7A5481"/>
    <w:rsid w:val="6FFE07A9"/>
    <w:rsid w:val="707C450B"/>
    <w:rsid w:val="71BF4EC2"/>
    <w:rsid w:val="71EF78BB"/>
    <w:rsid w:val="720D6924"/>
    <w:rsid w:val="72734D90"/>
    <w:rsid w:val="73E75B71"/>
    <w:rsid w:val="7412278C"/>
    <w:rsid w:val="749073F8"/>
    <w:rsid w:val="75DDCDA9"/>
    <w:rsid w:val="75FF44B1"/>
    <w:rsid w:val="77670518"/>
    <w:rsid w:val="777FA627"/>
    <w:rsid w:val="77DF1B5F"/>
    <w:rsid w:val="77EF2D9D"/>
    <w:rsid w:val="78E528AD"/>
    <w:rsid w:val="79E7B28D"/>
    <w:rsid w:val="7ACFF0C2"/>
    <w:rsid w:val="7AFB9108"/>
    <w:rsid w:val="7B3F4AEC"/>
    <w:rsid w:val="7B9A7850"/>
    <w:rsid w:val="7BD5340C"/>
    <w:rsid w:val="7BFB19D2"/>
    <w:rsid w:val="7BFD1750"/>
    <w:rsid w:val="7BFD44C5"/>
    <w:rsid w:val="7BFDAA1B"/>
    <w:rsid w:val="7CDF9A82"/>
    <w:rsid w:val="7CFFA1BD"/>
    <w:rsid w:val="7D2E3F7A"/>
    <w:rsid w:val="7DED9490"/>
    <w:rsid w:val="7DFF4872"/>
    <w:rsid w:val="7E7138F7"/>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7D7487"/>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WPSOffice手动目录 1"/>
    <w:qFormat/>
    <w:uiPriority w:val="0"/>
    <w:pPr>
      <w:ind w:leftChars="0"/>
    </w:pPr>
    <w:rPr>
      <w:rFonts w:asciiTheme="minorHAnsi" w:hAnsiTheme="minorHAnsi" w:eastAsiaTheme="minorEastAsia" w:cstheme="minorBidi"/>
      <w:sz w:val="20"/>
      <w:szCs w:val="20"/>
    </w:rPr>
  </w:style>
  <w:style w:type="paragraph" w:customStyle="1" w:styleId="3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0" i="0" u="none" strike="noStrike" kern="1200" cap="none" spc="50" normalizeH="0" baseline="0">
                <a:solidFill>
                  <a:schemeClr val="tx1">
                    <a:lumMod val="65000"/>
                    <a:lumOff val="35000"/>
                  </a:schemeClr>
                </a:solidFill>
                <a:latin typeface="+mj-lt"/>
                <a:ea typeface="+mj-ea"/>
                <a:cs typeface="+mj-cs"/>
              </a:defRPr>
            </a:pPr>
            <a:r>
              <a:t>收入支出对比</a:t>
            </a:r>
          </a:p>
        </c:rich>
      </c:tx>
      <c:layout>
        <c:manualLayout>
          <c:xMode val="edge"/>
          <c:yMode val="edge"/>
          <c:x val="0.347953216374269"/>
          <c:y val="0.00724987916868052"/>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2023年度</c:v>
                </c:pt>
              </c:strCache>
            </c:strRef>
          </c:tx>
          <c:spPr>
            <a:solidFill>
              <a:schemeClr val="accent6">
                <a:alpha val="7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Sheet1!$B$2:$B$3</c:f>
              <c:numCache>
                <c:formatCode>General</c:formatCode>
                <c:ptCount val="2"/>
                <c:pt idx="0">
                  <c:v>1593.26</c:v>
                </c:pt>
                <c:pt idx="1">
                  <c:v>1593.26</c:v>
                </c:pt>
              </c:numCache>
            </c:numRef>
          </c:val>
        </c:ser>
        <c:ser>
          <c:idx val="1"/>
          <c:order val="1"/>
          <c:tx>
            <c:strRef>
              <c:f>Sheet1!$C$1</c:f>
              <c:strCache>
                <c:ptCount val="1"/>
                <c:pt idx="0">
                  <c:v>2022年度</c:v>
                </c:pt>
              </c:strCache>
            </c:strRef>
          </c:tx>
          <c:spPr>
            <a:solidFill>
              <a:schemeClr val="accent5">
                <a:alpha val="70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收入</c:v>
                </c:pt>
                <c:pt idx="1">
                  <c:v>支出</c:v>
                </c:pt>
              </c:strCache>
            </c:strRef>
          </c:cat>
          <c:val>
            <c:numRef>
              <c:f>Sheet1!$C$2:$C$3</c:f>
              <c:numCache>
                <c:formatCode>General</c:formatCode>
                <c:ptCount val="2"/>
                <c:pt idx="0">
                  <c:v>708.65</c:v>
                </c:pt>
                <c:pt idx="1">
                  <c:v>708.65</c:v>
                </c:pt>
              </c:numCache>
            </c:numRef>
          </c:val>
        </c:ser>
        <c:dLbls>
          <c:showLegendKey val="false"/>
          <c:showVal val="true"/>
          <c:showCatName val="false"/>
          <c:showSerName val="false"/>
          <c:showPercent val="false"/>
          <c:showBubbleSize val="false"/>
        </c:dLbls>
        <c:gapWidth val="80"/>
        <c:overlap val="25"/>
        <c:axId val="645858728"/>
        <c:axId val="829565038"/>
      </c:barChart>
      <c:catAx>
        <c:axId val="645858728"/>
        <c:scaling>
          <c:orientation val="minMax"/>
        </c:scaling>
        <c:delete val="false"/>
        <c:axPos val="b"/>
        <c:numFmt formatCode="General" sourceLinked="false"/>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vert="horz" wrap="square" anchor="ctr" anchorCtr="true"/>
          <a:lstStyle/>
          <a:p>
            <a:pPr>
              <a:defRPr lang="zh-CN" sz="900" b="0" i="0" u="none" strike="noStrike" kern="1200" cap="none" spc="20" normalizeH="0" baseline="0">
                <a:solidFill>
                  <a:schemeClr val="tx1">
                    <a:lumMod val="65000"/>
                    <a:lumOff val="35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majorGridlines>
          <c:spPr>
            <a:ln w="9525" cap="flat" cmpd="sng" algn="ctr">
              <a:solidFill>
                <a:schemeClr val="tx1">
                  <a:lumMod val="5000"/>
                  <a:lumOff val="9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spc="20" baseline="0">
                <a:solidFill>
                  <a:schemeClr val="tx1">
                    <a:lumMod val="65000"/>
                    <a:lumOff val="35000"/>
                  </a:schemeClr>
                </a:solidFill>
                <a:latin typeface="+mn-lt"/>
                <a:ea typeface="+mn-ea"/>
                <a:cs typeface="+mn-cs"/>
              </a:defRPr>
            </a:pPr>
          </a:p>
        </c:txPr>
        <c:crossAx val="64585872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t>收入决算结构</a:t>
            </a:r>
          </a:p>
        </c:rich>
      </c:tx>
      <c:layout/>
      <c:overlay val="false"/>
      <c:spPr>
        <a:noFill/>
        <a:ln>
          <a:noFill/>
        </a:ln>
        <a:effectLst/>
      </c:spPr>
    </c:title>
    <c:autoTitleDeleted val="false"/>
    <c:plotArea>
      <c:layout>
        <c:manualLayout>
          <c:layoutTarget val="inner"/>
          <c:xMode val="edge"/>
          <c:yMode val="edge"/>
          <c:x val="0.0701815674557573"/>
          <c:y val="0.219147633623734"/>
          <c:w val="0.835504481728338"/>
          <c:h val="0.582660701671768"/>
        </c:manualLayout>
      </c:layout>
      <c:pieChart>
        <c:varyColors val="true"/>
        <c:ser>
          <c:idx val="0"/>
          <c:order val="0"/>
          <c:tx>
            <c:strRef>
              <c:f>Sheet1!$B$1</c:f>
              <c:strCache>
                <c:ptCount val="1"/>
                <c:pt idx="0">
                  <c:v>收入</c:v>
                </c:pt>
              </c:strCache>
            </c:strRef>
          </c:tx>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atMod val="105000"/>
                </a:schemeClr>
              </a:solidFill>
              <a:prstDash val="solid"/>
              <a:round/>
            </a:ln>
            <a:effectLst>
              <a:outerShdw blurRad="40000" dist="20000" dir="5400000" rotWithShape="0">
                <a:srgbClr val="000000">
                  <a:alpha val="38000"/>
                </a:srgbClr>
              </a:outerShdw>
            </a:effectLst>
            <a:scene3d>
              <a:camera prst="orthographicFront"/>
              <a:lightRig rig="threePt" dir="t"/>
            </a:scene3d>
            <a:sp3d>
              <a:extrusionClr>
                <a:srgbClr val="FFFFFF"/>
              </a:extrusionClr>
              <a:contourClr>
                <a:srgbClr val="FFFFFF"/>
              </a:contourClr>
            </a:sp3d>
          </c:spPr>
          <c:explosion val="0"/>
          <c:dPt>
            <c:idx val="0"/>
            <c:bubble3D val="false"/>
            <c:spPr>
              <a:gradFill rotWithShape="true">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true"/>
              </a:gradFill>
              <a:ln w="9525" cap="flat" cmpd="sng" algn="ctr">
                <a:solidFill>
                  <a:schemeClr val="accent3">
                    <a:shade val="95000"/>
                    <a:satMod val="105000"/>
                  </a:schemeClr>
                </a:solidFill>
                <a:prstDash val="solid"/>
                <a:round/>
              </a:ln>
              <a:effectLst>
                <a:outerShdw blurRad="40000" dist="20000" dir="5400000" rotWithShape="0">
                  <a:srgbClr val="000000">
                    <a:alpha val="38000"/>
                  </a:srgbClr>
                </a:outerShdw>
              </a:effectLst>
              <a:scene3d>
                <a:camera prst="orthographicFront"/>
                <a:lightRig rig="threePt" dir="t"/>
              </a:scene3d>
              <a:sp3d>
                <a:extrusionClr>
                  <a:srgbClr val="FFFFFF"/>
                </a:extrusionClr>
                <a:contourClr>
                  <a:srgbClr val="FFFFFF"/>
                </a:contourClr>
              </a:sp3d>
            </c:spPr>
          </c:dPt>
          <c:dLbls>
            <c:dLbl>
              <c:idx val="0"/>
              <c:layout/>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c:f>
              <c:strCache>
                <c:ptCount val="1"/>
                <c:pt idx="0">
                  <c:v>一般公共预算</c:v>
                </c:pt>
              </c:strCache>
            </c:strRef>
          </c:cat>
          <c:val>
            <c:numRef>
              <c:f>Sheet1!$B$2</c:f>
              <c:numCache>
                <c:formatCode>General</c:formatCode>
                <c:ptCount val="1"/>
                <c:pt idx="0">
                  <c:v>760.45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cap="none" spc="20" baseline="0">
                <a:solidFill>
                  <a:schemeClr val="tx1">
                    <a:lumMod val="50000"/>
                    <a:lumOff val="50000"/>
                  </a:schemeClr>
                </a:solidFill>
                <a:latin typeface="+mn-lt"/>
                <a:ea typeface="+mn-ea"/>
                <a:cs typeface="+mn-cs"/>
              </a:defRPr>
            </a:pPr>
            <a:r>
              <a:t>支出决算结构图</a:t>
            </a:r>
          </a:p>
        </c:rich>
      </c:tx>
      <c:layout/>
      <c:overlay val="false"/>
      <c:spPr>
        <a:noFill/>
        <a:ln>
          <a:noFill/>
        </a:ln>
        <a:effectLst/>
      </c:spPr>
    </c:title>
    <c:autoTitleDeleted val="false"/>
    <c:plotArea>
      <c:layout>
        <c:manualLayout>
          <c:layoutTarget val="inner"/>
          <c:xMode val="edge"/>
          <c:yMode val="edge"/>
          <c:x val="0.0701815674557573"/>
          <c:y val="0.219147633623734"/>
          <c:w val="0.835504481728338"/>
          <c:h val="0.582660701671768"/>
        </c:manualLayout>
      </c:layout>
      <c:pieChart>
        <c:varyColors val="true"/>
        <c:ser>
          <c:idx val="0"/>
          <c:order val="0"/>
          <c:tx>
            <c:strRef>
              <c:f>Sheet1!$B$1</c:f>
              <c:strCache>
                <c:ptCount val="1"/>
                <c:pt idx="0">
                  <c:v>支出</c:v>
                </c:pt>
              </c:strCache>
            </c:strRef>
          </c:tx>
          <c:spPr>
            <a:scene3d>
              <a:camera prst="orthographicFront"/>
              <a:lightRig rig="threePt" dir="t"/>
            </a:scene3d>
            <a:sp3d contourW="9525"/>
          </c:spPr>
          <c:explosion val="0"/>
          <c:dPt>
            <c:idx val="0"/>
            <c:bubble3D val="false"/>
            <c:spPr>
              <a:gradFill rotWithShape="true">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true"/>
              </a:gradFill>
              <a:ln w="9525" cap="flat" cmpd="sng" algn="ctr">
                <a:noFill/>
                <a:round/>
              </a:ln>
              <a:effectLst>
                <a:outerShdw blurRad="40000" dist="20000" dir="5400000" rotWithShape="0">
                  <a:srgbClr val="000000">
                    <a:alpha val="38000"/>
                  </a:srgbClr>
                </a:outerShdw>
              </a:effectLst>
            </c:spPr>
          </c:dPt>
          <c:dPt>
            <c:idx val="1"/>
            <c:bubble3D val="false"/>
            <c:spPr>
              <a:gradFill rotWithShape="true">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true"/>
              </a:gradFill>
              <a:ln w="9525" cap="flat" cmpd="sng" algn="ctr">
                <a:noFill/>
                <a:round/>
              </a:ln>
              <a:effectLst>
                <a:outerShdw blurRad="40000" dist="20000" dir="5400000" rotWithShape="0">
                  <a:srgbClr val="000000">
                    <a:alpha val="38000"/>
                  </a:srgbClr>
                </a:outerShdw>
              </a:effectLst>
            </c:spPr>
          </c:dPt>
          <c:dLbls>
            <c:dLbl>
              <c:idx val="0"/>
              <c:layout/>
              <c:dLblPos val="bestFit"/>
              <c:showLegendKey val="false"/>
              <c:showVal val="true"/>
              <c:showCatName val="false"/>
              <c:showSerName val="false"/>
              <c:showPercent val="tru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tx1">
                          <a:lumMod val="35000"/>
                          <a:lumOff val="65000"/>
                        </a:schemeClr>
                      </a:solidFill>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743.94</c:v>
                </c:pt>
                <c:pt idx="1">
                  <c:v>849.32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spc="0" baseline="0">
                <a:solidFill>
                  <a:schemeClr val="tx1">
                    <a:lumMod val="65000"/>
                    <a:lumOff val="35000"/>
                  </a:schemeClr>
                </a:solidFill>
                <a:latin typeface="+mn-lt"/>
                <a:ea typeface="+mn-ea"/>
                <a:cs typeface="+mn-cs"/>
              </a:defRPr>
            </a:pPr>
            <a:r>
              <a:rPr lang="zh-CN" altLang="en-US" b="1">
                <a:solidFill>
                  <a:schemeClr val="tx1">
                    <a:lumMod val="50000"/>
                  </a:schemeClr>
                </a:solidFill>
              </a:rPr>
              <a:t>财政拨款</a:t>
            </a:r>
            <a:r>
              <a:rPr lang="zh-CN" altLang="en-US" b="1">
                <a:solidFill>
                  <a:schemeClr val="tx1">
                    <a:lumMod val="50000"/>
                  </a:schemeClr>
                </a:solidFill>
                <a:uFillTx/>
              </a:rPr>
              <a:t>收支</a:t>
            </a:r>
            <a:r>
              <a:rPr lang="zh-CN" altLang="en-US" b="1">
                <a:solidFill>
                  <a:schemeClr val="tx1">
                    <a:lumMod val="50000"/>
                  </a:schemeClr>
                </a:solidFill>
              </a:rPr>
              <a:t>对比表</a:t>
            </a:r>
            <a:endParaRPr lang="zh-CN" altLang="en-US" b="1">
              <a:solidFill>
                <a:schemeClr val="tx1">
                  <a:lumMod val="50000"/>
                </a:schemeClr>
              </a:solidFill>
            </a:endParaRPr>
          </a:p>
        </c:rich>
      </c:tx>
      <c:layout>
        <c:manualLayout>
          <c:xMode val="edge"/>
          <c:yMode val="edge"/>
          <c:x val="0.308568598315998"/>
          <c:y val="0.0157350517008841"/>
        </c:manualLayout>
      </c:layout>
      <c:overlay val="false"/>
      <c:spPr>
        <a:noFill/>
        <a:ln>
          <a:noFill/>
        </a:ln>
        <a:effectLst/>
      </c:spPr>
    </c:title>
    <c:autoTitleDeleted val="false"/>
    <c:plotArea>
      <c:layout>
        <c:manualLayout>
          <c:layoutTarget val="inner"/>
          <c:xMode val="edge"/>
          <c:yMode val="edge"/>
          <c:x val="0.105916360425998"/>
          <c:y val="0.0828516483516484"/>
          <c:w val="0.87555"/>
          <c:h val="0.7605"/>
        </c:manualLayout>
      </c:layout>
      <c:barChart>
        <c:barDir val="col"/>
        <c:grouping val="clustered"/>
        <c:varyColors val="false"/>
        <c:ser>
          <c:idx val="0"/>
          <c:order val="0"/>
          <c:tx>
            <c:strRef>
              <c:f>Sheet1!$B$1</c:f>
              <c:strCache>
                <c:ptCount val="1"/>
                <c:pt idx="0">
                  <c:v>2023年度</c:v>
                </c:pt>
              </c:strCache>
            </c:strRef>
          </c:tx>
          <c:spPr>
            <a:solidFill>
              <a:schemeClr val="tx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1593.26</c:v>
                </c:pt>
                <c:pt idx="1">
                  <c:v>1593.26</c:v>
                </c:pt>
              </c:numCache>
            </c:numRef>
          </c:val>
        </c:ser>
        <c:ser>
          <c:idx val="1"/>
          <c:order val="1"/>
          <c:tx>
            <c:strRef>
              <c:f>Sheet1!$C$1</c:f>
              <c:strCache>
                <c:ptCount val="1"/>
                <c:pt idx="0">
                  <c:v>2022年度</c:v>
                </c:pt>
              </c:strCache>
            </c:strRef>
          </c:tx>
          <c:spPr>
            <a:solidFill>
              <a:schemeClr val="accent4"/>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708.65</c:v>
                </c:pt>
                <c:pt idx="1">
                  <c:v>708.65</c:v>
                </c:pt>
              </c:numCache>
            </c:numRef>
          </c:val>
        </c:ser>
        <c:ser>
          <c:idx val="2"/>
          <c:order val="2"/>
          <c:tx>
            <c:strRef>
              <c:f>Sheet1!$D$1</c:f>
              <c:strCache>
                <c:ptCount val="1"/>
                <c:pt idx="0">
                  <c:v>增幅</c:v>
                </c:pt>
              </c:strCache>
            </c:strRef>
          </c:tx>
          <c:spPr>
            <a:solidFill>
              <a:schemeClr val="accent3"/>
            </a:solidFill>
            <a:ln>
              <a:noFill/>
            </a:ln>
            <a:effectLst/>
          </c:spPr>
          <c:invertIfNegative val="false"/>
          <c:dLbls>
            <c:dLbl>
              <c:idx val="0"/>
              <c:layout>
                <c:manualLayout>
                  <c:x val="0.00844360074280655"/>
                  <c:y val="0.0094407840024503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884.61</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111441307578009"/>
                  <c:y val="0.00449572905739547"/>
                </c:manualLayout>
              </c:layout>
              <c:tx>
                <c:rich>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r>
                      <a:rPr lang="en-US" altLang="zh-CN"/>
                      <a:t>884.61 </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Sheet1!$D$2:$D$3</c:f>
              <c:numCache>
                <c:formatCode>General</c:formatCode>
                <c:ptCount val="2"/>
                <c:pt idx="0">
                  <c:v>884.61</c:v>
                </c:pt>
                <c:pt idx="1">
                  <c:v>884.61</c:v>
                </c:pt>
              </c:numCache>
            </c:numRef>
          </c:val>
        </c:ser>
        <c:dLbls>
          <c:showLegendKey val="false"/>
          <c:showVal val="false"/>
          <c:showCatName val="false"/>
          <c:showSerName val="false"/>
          <c:showPercent val="false"/>
          <c:showBubbleSize val="false"/>
        </c:dLbls>
        <c:gapWidth val="219"/>
        <c:overlap val="-27"/>
        <c:axId val="406143146"/>
        <c:axId val="185996679"/>
      </c:barChart>
      <c:catAx>
        <c:axId val="406143146"/>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5996679"/>
        <c:crosses val="autoZero"/>
        <c:auto val="true"/>
        <c:lblAlgn val="ctr"/>
        <c:lblOffset val="100"/>
        <c:noMultiLvlLbl val="false"/>
      </c:catAx>
      <c:valAx>
        <c:axId val="18599667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06143146"/>
        <c:crosses val="autoZero"/>
        <c:crossBetween val="between"/>
      </c:valAx>
      <c:spPr>
        <a:noFill/>
        <a:ln>
          <a:noFill/>
        </a:ln>
        <a:effectLst/>
      </c:spPr>
    </c:plotArea>
    <c:legend>
      <c:legendPos val="b"/>
      <c:layout>
        <c:manualLayout>
          <c:xMode val="edge"/>
          <c:yMode val="edge"/>
          <c:x val="0.340762753838534"/>
          <c:y val="0.929566911434138"/>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cap="none" spc="50" baseline="0">
                <a:solidFill>
                  <a:schemeClr val="tx1">
                    <a:lumMod val="65000"/>
                    <a:lumOff val="35000"/>
                  </a:schemeClr>
                </a:solidFill>
                <a:latin typeface="+mn-lt"/>
                <a:ea typeface="+mn-ea"/>
                <a:cs typeface="+mn-cs"/>
              </a:defRPr>
            </a:pPr>
            <a:r>
              <a:rPr sz="1600"/>
              <a:t>一般公共预算财政拨款支出决算变动情况</a:t>
            </a:r>
            <a:endParaRPr sz="1600"/>
          </a:p>
        </c:rich>
      </c:tx>
      <c:layout/>
      <c:overlay val="false"/>
      <c:spPr>
        <a:noFill/>
        <a:ln>
          <a:noFill/>
        </a:ln>
        <a:effectLst/>
      </c:spPr>
    </c:title>
    <c:autoTitleDeleted val="false"/>
    <c:plotArea>
      <c:layout>
        <c:manualLayout>
          <c:layoutTarget val="inner"/>
          <c:xMode val="edge"/>
          <c:yMode val="edge"/>
          <c:x val="0.0820747520976354"/>
          <c:y val="0.183497241544735"/>
          <c:w val="0.889956775997966"/>
          <c:h val="0.643799472295514"/>
        </c:manualLayout>
      </c:layout>
      <c:barChart>
        <c:barDir val="col"/>
        <c:grouping val="clustered"/>
        <c:varyColors val="false"/>
        <c:ser>
          <c:idx val="0"/>
          <c:order val="0"/>
          <c:tx>
            <c:strRef>
              <c:f>Sheet1!$B$1</c:f>
              <c:strCache>
                <c:ptCount val="1"/>
                <c:pt idx="0">
                  <c:v>2023年度</c:v>
                </c:pt>
              </c:strCache>
            </c:strRef>
          </c:tx>
          <c:spPr>
            <a:noFill/>
            <a:ln w="25400" cap="flat" cmpd="sng" algn="ctr">
              <a:solidFill>
                <a:schemeClr val="accent1"/>
              </a:solidFill>
              <a:miter lim="800000"/>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1593.26</c:v>
                </c:pt>
              </c:numCache>
            </c:numRef>
          </c:val>
        </c:ser>
        <c:ser>
          <c:idx val="1"/>
          <c:order val="1"/>
          <c:tx>
            <c:strRef>
              <c:f>Sheet1!$C$1</c:f>
              <c:strCache>
                <c:ptCount val="1"/>
                <c:pt idx="0">
                  <c:v>2022年度</c:v>
                </c:pt>
              </c:strCache>
            </c:strRef>
          </c:tx>
          <c:spPr>
            <a:noFill/>
            <a:ln w="25400" cap="flat" cmpd="sng" algn="ctr">
              <a:solidFill>
                <a:schemeClr val="accent3"/>
              </a:solidFill>
              <a:miter lim="800000"/>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708.65</c:v>
                </c:pt>
              </c:numCache>
            </c:numRef>
          </c:val>
        </c:ser>
        <c:ser>
          <c:idx val="2"/>
          <c:order val="2"/>
          <c:tx>
            <c:strRef>
              <c:f>Sheet1!$D$1</c:f>
              <c:strCache>
                <c:ptCount val="1"/>
                <c:pt idx="0">
                  <c:v>增幅</c:v>
                </c:pt>
              </c:strCache>
            </c:strRef>
          </c:tx>
          <c:spPr>
            <a:noFill/>
            <a:ln w="25400" cap="flat" cmpd="sng" algn="ctr">
              <a:solidFill>
                <a:schemeClr val="accent5"/>
              </a:solidFill>
              <a:miter lim="800000"/>
            </a:ln>
            <a:effectLst/>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Sheet1!$D$2</c:f>
              <c:numCache>
                <c:formatCode>General</c:formatCode>
                <c:ptCount val="1"/>
                <c:pt idx="0">
                  <c:v>884.61</c:v>
                </c:pt>
              </c:numCache>
            </c:numRef>
          </c:val>
        </c:ser>
        <c:dLbls>
          <c:showLegendKey val="false"/>
          <c:showVal val="true"/>
          <c:showCatName val="false"/>
          <c:showSerName val="false"/>
          <c:showPercent val="false"/>
          <c:showBubbleSize val="false"/>
        </c:dLbls>
        <c:gapWidth val="164"/>
        <c:overlap val="-35"/>
        <c:axId val="645858728"/>
        <c:axId val="829565038"/>
      </c:barChart>
      <c:catAx>
        <c:axId val="645858728"/>
        <c:scaling>
          <c:orientation val="minMax"/>
        </c:scaling>
        <c:delete val="false"/>
        <c:axPos val="b"/>
        <c:numFmt formatCode="General" sourceLinked="fals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829565038"/>
        <c:crosses val="autoZero"/>
        <c:auto val="true"/>
        <c:lblAlgn val="ctr"/>
        <c:lblOffset val="100"/>
        <c:noMultiLvlLbl val="false"/>
      </c:catAx>
      <c:valAx>
        <c:axId val="829565038"/>
        <c:scaling>
          <c:orientation val="minMax"/>
        </c:scaling>
        <c:delete val="false"/>
        <c:axPos val="l"/>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crossAx val="645858728"/>
        <c:crosses val="autoZero"/>
        <c:crossBetween val="between"/>
      </c:valAx>
      <c:spPr>
        <a:noFill/>
        <a:ln>
          <a:noFill/>
        </a:ln>
        <a:effectLst/>
      </c:spPr>
    </c:plotArea>
    <c:legend>
      <c:legendPos val="t"/>
      <c:layout>
        <c:manualLayout>
          <c:xMode val="edge"/>
          <c:yMode val="edge"/>
          <c:x val="0.339332583427072"/>
          <c:y val="0.905013799448022"/>
          <c:w val="0.32145981752281"/>
          <c:h val="0.079346826126954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50000"/>
                  <a:lumOff val="50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40" b="0" i="0" u="none" strike="noStrike" kern="1200" spc="0" baseline="0">
                <a:solidFill>
                  <a:schemeClr val="tx1">
                    <a:lumMod val="65000"/>
                    <a:lumOff val="35000"/>
                  </a:schemeClr>
                </a:solidFill>
                <a:latin typeface="+mn-lt"/>
                <a:ea typeface="+mn-ea"/>
                <a:cs typeface="+mn-cs"/>
              </a:defRPr>
            </a:pPr>
            <a:r>
              <a:rPr lang="zh-CN" altLang="en-US" sz="1400">
                <a:solidFill>
                  <a:schemeClr val="tx1"/>
                </a:solidFill>
                <a:uFillTx/>
              </a:rPr>
              <a:t>一般公共预算财政拨款支出</a:t>
            </a:r>
            <a:endParaRPr lang="zh-CN" altLang="en-US" sz="1400">
              <a:solidFill>
                <a:schemeClr val="tx1"/>
              </a:solidFill>
              <a:uFillTx/>
            </a:endParaRPr>
          </a:p>
        </c:rich>
      </c:tx>
      <c:layout/>
      <c:overlay val="false"/>
      <c:spPr>
        <a:noFill/>
        <a:ln>
          <a:noFill/>
        </a:ln>
        <a:effectLst/>
      </c:spPr>
    </c:title>
    <c:autoTitleDeleted val="false"/>
    <c:plotArea>
      <c:layout/>
      <c:pieChart>
        <c:varyColors val="true"/>
        <c:ser>
          <c:idx val="0"/>
          <c:order val="0"/>
          <c:tx>
            <c:strRef>
              <c:f>Sheet1!$B$1</c:f>
              <c:strCache>
                <c:ptCount val="1"/>
                <c:pt idx="0">
                  <c:v>金额</c:v>
                </c:pt>
              </c:strCache>
            </c:strRef>
          </c:tx>
          <c:explosion val="24"/>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Sheet1!$A$2:$A$5</c:f>
              <c:strCache>
                <c:ptCount val="4"/>
                <c:pt idx="0">
                  <c:v>社会保障和就业支出</c:v>
                </c:pt>
                <c:pt idx="1">
                  <c:v>交通运输支出</c:v>
                </c:pt>
                <c:pt idx="2">
                  <c:v>住房保障支出</c:v>
                </c:pt>
                <c:pt idx="3">
                  <c:v>卫生健康支出</c:v>
                </c:pt>
              </c:strCache>
            </c:strRef>
          </c:cat>
          <c:val>
            <c:numRef>
              <c:f>Sheet1!$B$2:$B$5</c:f>
              <c:numCache>
                <c:formatCode>General</c:formatCode>
                <c:ptCount val="4"/>
                <c:pt idx="0">
                  <c:v>156.8</c:v>
                </c:pt>
                <c:pt idx="1">
                  <c:v>1350.35</c:v>
                </c:pt>
                <c:pt idx="2">
                  <c:v>44.24</c:v>
                </c:pt>
                <c:pt idx="3">
                  <c:v>41.87</c:v>
                </c:pt>
              </c:numCache>
            </c:numRef>
          </c:val>
        </c:ser>
        <c:dLbls>
          <c:showLegendKey val="false"/>
          <c:showVal val="true"/>
          <c:showCatName val="false"/>
          <c:showSerName val="false"/>
          <c:showPercent val="false"/>
          <c:showBubbleSize val="false"/>
          <c:showLeaderLines val="true"/>
        </c:dLbls>
        <c:firstSliceAng val="43"/>
      </c:pieChart>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0" vertOverflow="ellipsis" vert="horz" wrap="square" anchor="ctr" anchorCtr="true"/>
          <a:lstStyle/>
          <a:p>
            <a:pPr defTabSz="914400">
              <a:defRPr lang="zh-CN" sz="1600" b="1" i="0" u="none" strike="noStrike" kern="1200" cap="all" baseline="0">
                <a:solidFill>
                  <a:schemeClr val="tx1">
                    <a:lumMod val="65000"/>
                    <a:lumOff val="35000"/>
                  </a:schemeClr>
                </a:solidFill>
                <a:latin typeface="+mn-lt"/>
                <a:ea typeface="+mn-ea"/>
                <a:cs typeface="+mn-cs"/>
              </a:defRPr>
            </a:pPr>
            <a:r>
              <a:t>三公经费结构图</a:t>
            </a:r>
          </a:p>
        </c:rich>
      </c:tx>
      <c:layout/>
      <c:overlay val="false"/>
      <c:spPr>
        <a:noFill/>
        <a:ln>
          <a:noFill/>
        </a:ln>
        <a:effectLst/>
      </c:spPr>
    </c:title>
    <c:autoTitleDeleted val="false"/>
    <c:plotArea>
      <c:layout/>
      <c:pieChart>
        <c:varyColors val="true"/>
        <c:ser>
          <c:idx val="0"/>
          <c:order val="0"/>
          <c:tx>
            <c:strRef>
              <c:f>Sheet1!$B$1</c:f>
              <c:strCache>
                <c:ptCount val="1"/>
                <c:pt idx="0">
                  <c:v>三公经费结构图</c:v>
                </c:pt>
              </c:strCache>
            </c:strRef>
          </c:tx>
          <c:spPr>
            <a:scene3d>
              <a:camera prst="orthographicFront"/>
              <a:lightRig rig="threePt" dir="t"/>
            </a:scene3d>
            <a:sp3d contourW="9525"/>
          </c:spPr>
          <c:explosion val="0"/>
          <c:dPt>
            <c:idx val="0"/>
            <c:bubble3D val="false"/>
            <c:spPr>
              <a:solidFill>
                <a:schemeClr val="accent6">
                  <a:tint val="76667"/>
                </a:schemeClr>
              </a:solidFill>
              <a:ln>
                <a:noFill/>
              </a:ln>
              <a:effectLst>
                <a:outerShdw blurRad="88900" sx="102000" sy="102000" algn="ctr" rotWithShape="0">
                  <a:prstClr val="black">
                    <a:alpha val="10000"/>
                  </a:prstClr>
                </a:outerShdw>
              </a:effectLst>
            </c:spPr>
          </c:dPt>
          <c:dPt>
            <c:idx val="1"/>
            <c:bubble3D val="false"/>
            <c:spPr>
              <a:solidFill>
                <a:schemeClr val="accent6">
                  <a:shade val="76667"/>
                </a:schemeClr>
              </a:solidFill>
              <a:ln>
                <a:noFill/>
              </a:ln>
              <a:effectLst>
                <a:outerShdw blurRad="88900" sx="102000" sy="102000" algn="ctr" rotWithShape="0">
                  <a:prstClr val="black">
                    <a:alpha val="10000"/>
                  </a:prstClr>
                </a:outerShdw>
              </a:effectLst>
            </c:spPr>
          </c:dPt>
          <c:dLbls>
            <c:dLbl>
              <c:idx val="0"/>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6">
                          <a:tint val="76667"/>
                        </a:schemeClr>
                      </a:solidFill>
                      <a:latin typeface="+mn-lt"/>
                      <a:ea typeface="+mn-ea"/>
                      <a:cs typeface="+mn-cs"/>
                    </a:defRPr>
                  </a:pPr>
                </a:p>
              </c:txPr>
              <c:dLblPos val="out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6">
                          <a:shade val="76667"/>
                        </a:schemeClr>
                      </a:solidFill>
                      <a:latin typeface="+mn-lt"/>
                      <a:ea typeface="+mn-ea"/>
                      <a:cs typeface="+mn-cs"/>
                    </a:defRPr>
                  </a:pPr>
                </a:p>
              </c:txPr>
              <c:dLblPos val="outEnd"/>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6"/>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4.2</c:v>
                </c:pt>
                <c:pt idx="1">
                  <c:v>0.99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true">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9092bd1-e445-4ab2-ba84-f225bc890978}"/>
        <w:style w:val=""/>
        <w:category>
          <w:name w:val="常规"/>
          <w:gallery w:val="placeholder"/>
        </w:category>
        <w:types>
          <w:type w:val="bbPlcHdr"/>
        </w:types>
        <w:behaviors>
          <w:behavior w:val="content"/>
        </w:behaviors>
        <w:description w:val=""/>
        <w:guid w:val="{29092bd1-e445-4ab2-ba84-f225bc890978}"/>
      </w:docPartPr>
      <w:docPartBody>
        <w:p>
          <w:r>
            <w:rPr>
              <w:color w:val="808080"/>
            </w:rPr>
            <w:t>单击此处输入文字。</w:t>
          </w:r>
        </w:p>
      </w:docPartBody>
    </w:docPart>
    <w:docPart>
      <w:docPartPr>
        <w:name w:val="{22db1579-aadb-44b4-b6fd-0820e9faabc1}"/>
        <w:style w:val=""/>
        <w:category>
          <w:name w:val="常规"/>
          <w:gallery w:val="placeholder"/>
        </w:category>
        <w:types>
          <w:type w:val="bbPlcHdr"/>
        </w:types>
        <w:behaviors>
          <w:behavior w:val="content"/>
        </w:behaviors>
        <w:description w:val=""/>
        <w:guid w:val="{22db1579-aadb-44b4-b6fd-0820e9faabc1}"/>
      </w:docPartPr>
      <w:docPartBody>
        <w:p>
          <w:r>
            <w:rPr>
              <w:color w:val="808080"/>
            </w:rPr>
            <w:t>单击此处输入文字。</w:t>
          </w:r>
        </w:p>
      </w:docPartBody>
    </w:docPart>
    <w:docPart>
      <w:docPartPr>
        <w:name w:val="{af837ab6-ed23-4192-b072-66904f0b7df2}"/>
        <w:style w:val=""/>
        <w:category>
          <w:name w:val="常规"/>
          <w:gallery w:val="placeholder"/>
        </w:category>
        <w:types>
          <w:type w:val="bbPlcHdr"/>
        </w:types>
        <w:behaviors>
          <w:behavior w:val="content"/>
        </w:behaviors>
        <w:description w:val=""/>
        <w:guid w:val="{af837ab6-ed23-4192-b072-66904f0b7df2}"/>
      </w:docPartPr>
      <w:docPartBody>
        <w:p>
          <w:r>
            <w:rPr>
              <w:color w:val="808080"/>
            </w:rPr>
            <w:t>单击此处输入文字。</w:t>
          </w:r>
        </w:p>
      </w:docPartBody>
    </w:docPart>
    <w:docPart>
      <w:docPartPr>
        <w:name w:val="{a62e70c8-86b4-4c09-9468-249b63423447}"/>
        <w:style w:val=""/>
        <w:category>
          <w:name w:val="常规"/>
          <w:gallery w:val="placeholder"/>
        </w:category>
        <w:types>
          <w:type w:val="bbPlcHdr"/>
        </w:types>
        <w:behaviors>
          <w:behavior w:val="content"/>
        </w:behaviors>
        <w:description w:val=""/>
        <w:guid w:val="{a62e70c8-86b4-4c09-9468-249b63423447}"/>
      </w:docPartPr>
      <w:docPartBody>
        <w:p>
          <w:r>
            <w:rPr>
              <w:color w:val="808080"/>
            </w:rPr>
            <w:t>单击此处输入文字。</w:t>
          </w:r>
        </w:p>
      </w:docPartBody>
    </w:docPart>
    <w:docPart>
      <w:docPartPr>
        <w:name w:val="{6afafe72-bb7e-4bca-8a98-aa1f049191b5}"/>
        <w:style w:val=""/>
        <w:category>
          <w:name w:val="常规"/>
          <w:gallery w:val="placeholder"/>
        </w:category>
        <w:types>
          <w:type w:val="bbPlcHdr"/>
        </w:types>
        <w:behaviors>
          <w:behavior w:val="content"/>
        </w:behaviors>
        <w:description w:val=""/>
        <w:guid w:val="{6afafe72-bb7e-4bca-8a98-aa1f049191b5}"/>
      </w:docPartPr>
      <w:docPartBody>
        <w:p>
          <w:r>
            <w:rPr>
              <w:color w:val="808080"/>
            </w:rPr>
            <w:t>单击此处输入文字。</w:t>
          </w:r>
        </w:p>
      </w:docPartBody>
    </w:docPart>
    <w:docPart>
      <w:docPartPr>
        <w:name w:val="{62d12015-ce6d-4864-83fb-df2f85a7e2ca}"/>
        <w:style w:val=""/>
        <w:category>
          <w:name w:val="常规"/>
          <w:gallery w:val="placeholder"/>
        </w:category>
        <w:types>
          <w:type w:val="bbPlcHdr"/>
        </w:types>
        <w:behaviors>
          <w:behavior w:val="content"/>
        </w:behaviors>
        <w:description w:val=""/>
        <w:guid w:val="{62d12015-ce6d-4864-83fb-df2f85a7e2ca}"/>
      </w:docPartPr>
      <w:docPartBody>
        <w:p>
          <w:r>
            <w:rPr>
              <w:color w:val="808080"/>
            </w:rPr>
            <w:t>单击此处输入文字。</w:t>
          </w:r>
        </w:p>
      </w:docPartBody>
    </w:docPart>
    <w:docPart>
      <w:docPartPr>
        <w:name w:val="{d8805d55-8592-4280-8fc5-f4cf6754b37f}"/>
        <w:style w:val=""/>
        <w:category>
          <w:name w:val="常规"/>
          <w:gallery w:val="placeholder"/>
        </w:category>
        <w:types>
          <w:type w:val="bbPlcHdr"/>
        </w:types>
        <w:behaviors>
          <w:behavior w:val="content"/>
        </w:behaviors>
        <w:description w:val=""/>
        <w:guid w:val="{d8805d55-8592-4280-8fc5-f4cf6754b37f}"/>
      </w:docPartPr>
      <w:docPartBody>
        <w:p>
          <w:r>
            <w:rPr>
              <w:color w:val="808080"/>
            </w:rPr>
            <w:t>单击此处输入文字。</w:t>
          </w:r>
        </w:p>
      </w:docPartBody>
    </w:docPart>
    <w:docPart>
      <w:docPartPr>
        <w:name w:val="{53a65d77-89e7-41cb-8dca-af3cc59f90ee}"/>
        <w:style w:val=""/>
        <w:category>
          <w:name w:val="常规"/>
          <w:gallery w:val="placeholder"/>
        </w:category>
        <w:types>
          <w:type w:val="bbPlcHdr"/>
        </w:types>
        <w:behaviors>
          <w:behavior w:val="content"/>
        </w:behaviors>
        <w:description w:val=""/>
        <w:guid w:val="{53a65d77-89e7-41cb-8dca-af3cc59f90ee}"/>
      </w:docPartPr>
      <w:docPartBody>
        <w:p>
          <w:r>
            <w:rPr>
              <w:color w:val="808080"/>
            </w:rPr>
            <w:t>单击此处输入文字。</w:t>
          </w:r>
        </w:p>
      </w:docPartBody>
    </w:docPart>
    <w:docPart>
      <w:docPartPr>
        <w:name w:val="{d3a61a12-c312-4274-984b-23877f00d4f1}"/>
        <w:style w:val=""/>
        <w:category>
          <w:name w:val="常规"/>
          <w:gallery w:val="placeholder"/>
        </w:category>
        <w:types>
          <w:type w:val="bbPlcHdr"/>
        </w:types>
        <w:behaviors>
          <w:behavior w:val="content"/>
        </w:behaviors>
        <w:description w:val=""/>
        <w:guid w:val="{d3a61a12-c312-4274-984b-23877f00d4f1}"/>
      </w:docPartPr>
      <w:docPartBody>
        <w:p>
          <w:r>
            <w:rPr>
              <w:color w:val="808080"/>
            </w:rPr>
            <w:t>单击此处输入文字。</w:t>
          </w:r>
        </w:p>
      </w:docPartBody>
    </w:docPart>
    <w:docPart>
      <w:docPartPr>
        <w:name w:val="{bf88b000-277a-4c81-984f-a351a3a0b0b4}"/>
        <w:style w:val=""/>
        <w:category>
          <w:name w:val="常规"/>
          <w:gallery w:val="placeholder"/>
        </w:category>
        <w:types>
          <w:type w:val="bbPlcHdr"/>
        </w:types>
        <w:behaviors>
          <w:behavior w:val="content"/>
        </w:behaviors>
        <w:description w:val=""/>
        <w:guid w:val="{bf88b000-277a-4c81-984f-a351a3a0b0b4}"/>
      </w:docPartPr>
      <w:docPartBody>
        <w:p>
          <w:r>
            <w:rPr>
              <w:color w:val="808080"/>
            </w:rPr>
            <w:t>单击此处输入文字。</w:t>
          </w:r>
        </w:p>
      </w:docPartBody>
    </w:docPart>
    <w:docPart>
      <w:docPartPr>
        <w:name w:val="{c48cbe16-7249-4608-97c5-55215d253450}"/>
        <w:style w:val=""/>
        <w:category>
          <w:name w:val="常规"/>
          <w:gallery w:val="placeholder"/>
        </w:category>
        <w:types>
          <w:type w:val="bbPlcHdr"/>
        </w:types>
        <w:behaviors>
          <w:behavior w:val="content"/>
        </w:behaviors>
        <w:description w:val=""/>
        <w:guid w:val="{c48cbe16-7249-4608-97c5-55215d253450}"/>
      </w:docPartPr>
      <w:docPartBody>
        <w:p>
          <w:r>
            <w:rPr>
              <w:color w:val="808080"/>
            </w:rPr>
            <w:t>单击此处输入文字。</w:t>
          </w:r>
        </w:p>
      </w:docPartBody>
    </w:docPart>
    <w:docPart>
      <w:docPartPr>
        <w:name w:val="{e9c39eca-cf5c-42ab-b7c0-55888ba0798d}"/>
        <w:style w:val=""/>
        <w:category>
          <w:name w:val="常规"/>
          <w:gallery w:val="placeholder"/>
        </w:category>
        <w:types>
          <w:type w:val="bbPlcHdr"/>
        </w:types>
        <w:behaviors>
          <w:behavior w:val="content"/>
        </w:behaviors>
        <w:description w:val=""/>
        <w:guid w:val="{e9c39eca-cf5c-42ab-b7c0-55888ba0798d}"/>
      </w:docPartPr>
      <w:docPartBody>
        <w:p>
          <w:r>
            <w:rPr>
              <w:color w:val="808080"/>
            </w:rPr>
            <w:t>单击此处输入文字。</w:t>
          </w:r>
        </w:p>
      </w:docPartBody>
    </w:docPart>
    <w:docPart>
      <w:docPartPr>
        <w:name w:val="{cc5e307a-2ab6-436c-8e1c-8635914dc9e8}"/>
        <w:style w:val=""/>
        <w:category>
          <w:name w:val="常规"/>
          <w:gallery w:val="placeholder"/>
        </w:category>
        <w:types>
          <w:type w:val="bbPlcHdr"/>
        </w:types>
        <w:behaviors>
          <w:behavior w:val="content"/>
        </w:behaviors>
        <w:description w:val=""/>
        <w:guid w:val="{cc5e307a-2ab6-436c-8e1c-8635914dc9e8}"/>
      </w:docPartPr>
      <w:docPartBody>
        <w:p>
          <w:r>
            <w:rPr>
              <w:color w:val="808080"/>
            </w:rPr>
            <w:t>单击此处输入文字。</w:t>
          </w:r>
        </w:p>
      </w:docPartBody>
    </w:docPart>
    <w:docPart>
      <w:docPartPr>
        <w:name w:val="{6d2115dc-accb-4397-8022-d8afc80000e3}"/>
        <w:style w:val=""/>
        <w:category>
          <w:name w:val="常规"/>
          <w:gallery w:val="placeholder"/>
        </w:category>
        <w:types>
          <w:type w:val="bbPlcHdr"/>
        </w:types>
        <w:behaviors>
          <w:behavior w:val="content"/>
        </w:behaviors>
        <w:description w:val=""/>
        <w:guid w:val="{6d2115dc-accb-4397-8022-d8afc80000e3}"/>
      </w:docPartPr>
      <w:docPartBody>
        <w:p>
          <w:r>
            <w:rPr>
              <w:color w:val="808080"/>
            </w:rPr>
            <w:t>单击此处输入文字。</w:t>
          </w:r>
        </w:p>
      </w:docPartBody>
    </w:docPart>
    <w:docPart>
      <w:docPartPr>
        <w:name w:val="{714bb93f-80f7-4991-a933-4627f10a8531}"/>
        <w:style w:val=""/>
        <w:category>
          <w:name w:val="常规"/>
          <w:gallery w:val="placeholder"/>
        </w:category>
        <w:types>
          <w:type w:val="bbPlcHdr"/>
        </w:types>
        <w:behaviors>
          <w:behavior w:val="content"/>
        </w:behaviors>
        <w:description w:val=""/>
        <w:guid w:val="{714bb93f-80f7-4991-a933-4627f10a8531}"/>
      </w:docPartPr>
      <w:docPartBody>
        <w:p>
          <w:r>
            <w:rPr>
              <w:color w:val="808080"/>
            </w:rPr>
            <w:t>单击此处输入文字。</w:t>
          </w:r>
        </w:p>
      </w:docPartBody>
    </w:docPart>
    <w:docPart>
      <w:docPartPr>
        <w:name w:val="{d23cb2c0-5a97-47cb-a3d5-2bfee6ced3bc}"/>
        <w:style w:val=""/>
        <w:category>
          <w:name w:val="常规"/>
          <w:gallery w:val="placeholder"/>
        </w:category>
        <w:types>
          <w:type w:val="bbPlcHdr"/>
        </w:types>
        <w:behaviors>
          <w:behavior w:val="content"/>
        </w:behaviors>
        <w:description w:val=""/>
        <w:guid w:val="{d23cb2c0-5a97-47cb-a3d5-2bfee6ced3bc}"/>
      </w:docPartPr>
      <w:docPartBody>
        <w:p>
          <w:r>
            <w:rPr>
              <w:color w:val="808080"/>
            </w:rPr>
            <w:t>单击此处输入文字。</w:t>
          </w:r>
        </w:p>
      </w:docPartBody>
    </w:docPart>
    <w:docPart>
      <w:docPartPr>
        <w:name w:val="{e258190d-9ff0-4ca0-bbc7-00414823899e}"/>
        <w:style w:val=""/>
        <w:category>
          <w:name w:val="常规"/>
          <w:gallery w:val="placeholder"/>
        </w:category>
        <w:types>
          <w:type w:val="bbPlcHdr"/>
        </w:types>
        <w:behaviors>
          <w:behavior w:val="content"/>
        </w:behaviors>
        <w:description w:val=""/>
        <w:guid w:val="{e258190d-9ff0-4ca0-bbc7-00414823899e}"/>
      </w:docPartPr>
      <w:docPartBody>
        <w:p>
          <w:r>
            <w:rPr>
              <w:color w:val="808080"/>
            </w:rPr>
            <w:t>单击此处输入文字。</w:t>
          </w:r>
        </w:p>
      </w:docPartBody>
    </w:docPart>
    <w:docPart>
      <w:docPartPr>
        <w:name w:val="{0e767380-9c97-4a23-9bb9-f4b898dba93a}"/>
        <w:style w:val=""/>
        <w:category>
          <w:name w:val="常规"/>
          <w:gallery w:val="placeholder"/>
        </w:category>
        <w:types>
          <w:type w:val="bbPlcHdr"/>
        </w:types>
        <w:behaviors>
          <w:behavior w:val="content"/>
        </w:behaviors>
        <w:description w:val=""/>
        <w:guid w:val="{0e767380-9c97-4a23-9bb9-f4b898dba93a}"/>
      </w:docPartPr>
      <w:docPartBody>
        <w:p>
          <w:r>
            <w:rPr>
              <w:color w:val="808080"/>
            </w:rPr>
            <w:t>单击此处输入文字。</w:t>
          </w:r>
        </w:p>
      </w:docPartBody>
    </w:docPart>
    <w:docPart>
      <w:docPartPr>
        <w:name w:val="{3ee9da67-8c2d-4520-9845-a695d50641f9}"/>
        <w:style w:val=""/>
        <w:category>
          <w:name w:val="常规"/>
          <w:gallery w:val="placeholder"/>
        </w:category>
        <w:types>
          <w:type w:val="bbPlcHdr"/>
        </w:types>
        <w:behaviors>
          <w:behavior w:val="content"/>
        </w:behaviors>
        <w:description w:val=""/>
        <w:guid w:val="{3ee9da67-8c2d-4520-9845-a695d50641f9}"/>
      </w:docPartPr>
      <w:docPartBody>
        <w:p>
          <w:r>
            <w:rPr>
              <w:color w:val="808080"/>
            </w:rPr>
            <w:t>单击此处输入文字。</w:t>
          </w:r>
        </w:p>
      </w:docPartBody>
    </w:docPart>
    <w:docPart>
      <w:docPartPr>
        <w:name w:val="{c702b75b-72b3-42bd-a6af-22a0822dd3ce}"/>
        <w:style w:val=""/>
        <w:category>
          <w:name w:val="常规"/>
          <w:gallery w:val="placeholder"/>
        </w:category>
        <w:types>
          <w:type w:val="bbPlcHdr"/>
        </w:types>
        <w:behaviors>
          <w:behavior w:val="content"/>
        </w:behaviors>
        <w:description w:val=""/>
        <w:guid w:val="{c702b75b-72b3-42bd-a6af-22a0822dd3ce}"/>
      </w:docPartPr>
      <w:docPartBody>
        <w:p>
          <w:r>
            <w:rPr>
              <w:color w:val="808080"/>
            </w:rPr>
            <w:t>单击此处输入文字。</w:t>
          </w:r>
        </w:p>
      </w:docPartBody>
    </w:docPart>
    <w:docPart>
      <w:docPartPr>
        <w:name w:val="{73449020-00f2-4380-ae13-299e6a164ecd}"/>
        <w:style w:val=""/>
        <w:category>
          <w:name w:val="常规"/>
          <w:gallery w:val="placeholder"/>
        </w:category>
        <w:types>
          <w:type w:val="bbPlcHdr"/>
        </w:types>
        <w:behaviors>
          <w:behavior w:val="content"/>
        </w:behaviors>
        <w:description w:val=""/>
        <w:guid w:val="{73449020-00f2-4380-ae13-299e6a164ecd}"/>
      </w:docPartPr>
      <w:docPartBody>
        <w:p>
          <w:r>
            <w:rPr>
              <w:color w:val="808080"/>
            </w:rPr>
            <w:t>单击此处输入文字。</w:t>
          </w:r>
        </w:p>
      </w:docPartBody>
    </w:docPart>
    <w:docPart>
      <w:docPartPr>
        <w:name w:val="{6f5339b1-8834-4fe4-905e-76ce1d6d1d50}"/>
        <w:style w:val=""/>
        <w:category>
          <w:name w:val="常规"/>
          <w:gallery w:val="placeholder"/>
        </w:category>
        <w:types>
          <w:type w:val="bbPlcHdr"/>
        </w:types>
        <w:behaviors>
          <w:behavior w:val="content"/>
        </w:behaviors>
        <w:description w:val=""/>
        <w:guid w:val="{6f5339b1-8834-4fe4-905e-76ce1d6d1d50}"/>
      </w:docPartPr>
      <w:docPartBody>
        <w:p>
          <w:r>
            <w:rPr>
              <w:color w:val="808080"/>
            </w:rPr>
            <w:t>单击此处输入文字。</w:t>
          </w:r>
        </w:p>
      </w:docPartBody>
    </w:docPart>
    <w:docPart>
      <w:docPartPr>
        <w:name w:val="{34885a55-5f97-4f0e-8e28-d7f8a5d6bc50}"/>
        <w:style w:val=""/>
        <w:category>
          <w:name w:val="常规"/>
          <w:gallery w:val="placeholder"/>
        </w:category>
        <w:types>
          <w:type w:val="bbPlcHdr"/>
        </w:types>
        <w:behaviors>
          <w:behavior w:val="content"/>
        </w:behaviors>
        <w:description w:val=""/>
        <w:guid w:val="{34885a55-5f97-4f0e-8e28-d7f8a5d6bc50}"/>
      </w:docPartPr>
      <w:docPartBody>
        <w:p>
          <w:r>
            <w:rPr>
              <w:color w:val="808080"/>
            </w:rPr>
            <w:t>单击此处输入文字。</w:t>
          </w:r>
        </w:p>
      </w:docPartBody>
    </w:docPart>
    <w:docPart>
      <w:docPartPr>
        <w:name w:val="{d0c4384d-2039-48b5-a383-700fa2650a6c}"/>
        <w:style w:val=""/>
        <w:category>
          <w:name w:val="常规"/>
          <w:gallery w:val="placeholder"/>
        </w:category>
        <w:types>
          <w:type w:val="bbPlcHdr"/>
        </w:types>
        <w:behaviors>
          <w:behavior w:val="content"/>
        </w:behaviors>
        <w:description w:val=""/>
        <w:guid w:val="{d0c4384d-2039-48b5-a383-700fa2650a6c}"/>
      </w:docPartPr>
      <w:docPartBody>
        <w:p>
          <w:r>
            <w:rPr>
              <w:color w:val="808080"/>
            </w:rPr>
            <w:t>单击此处输入文字。</w:t>
          </w:r>
        </w:p>
      </w:docPartBody>
    </w:docPart>
    <w:docPart>
      <w:docPartPr>
        <w:name w:val="{b9459219-d078-44e3-aa36-3846f34424a3}"/>
        <w:style w:val=""/>
        <w:category>
          <w:name w:val="常规"/>
          <w:gallery w:val="placeholder"/>
        </w:category>
        <w:types>
          <w:type w:val="bbPlcHdr"/>
        </w:types>
        <w:behaviors>
          <w:behavior w:val="content"/>
        </w:behaviors>
        <w:description w:val=""/>
        <w:guid w:val="{b9459219-d078-44e3-aa36-3846f34424a3}"/>
      </w:docPartPr>
      <w:docPartBody>
        <w:p>
          <w:r>
            <w:rPr>
              <w:color w:val="808080"/>
            </w:rPr>
            <w:t>单击此处输入文字。</w:t>
          </w:r>
        </w:p>
      </w:docPartBody>
    </w:docPart>
    <w:docPart>
      <w:docPartPr>
        <w:name w:val="{f3fbd373-aa2e-4337-a65c-d18f23274349}"/>
        <w:style w:val=""/>
        <w:category>
          <w:name w:val="常规"/>
          <w:gallery w:val="placeholder"/>
        </w:category>
        <w:types>
          <w:type w:val="bbPlcHdr"/>
        </w:types>
        <w:behaviors>
          <w:behavior w:val="content"/>
        </w:behaviors>
        <w:description w:val=""/>
        <w:guid w:val="{f3fbd373-aa2e-4337-a65c-d18f23274349}"/>
      </w:docPartPr>
      <w:docPartBody>
        <w:p>
          <w:r>
            <w:rPr>
              <w:color w:val="808080"/>
            </w:rPr>
            <w:t>单击此处输入文字。</w:t>
          </w:r>
        </w:p>
      </w:docPartBody>
    </w:docPart>
    <w:docPart>
      <w:docPartPr>
        <w:name w:val="{a4c959f9-5d64-42be-9378-f89395d0b410}"/>
        <w:style w:val=""/>
        <w:category>
          <w:name w:val="常规"/>
          <w:gallery w:val="placeholder"/>
        </w:category>
        <w:types>
          <w:type w:val="bbPlcHdr"/>
        </w:types>
        <w:behaviors>
          <w:behavior w:val="content"/>
        </w:behaviors>
        <w:description w:val=""/>
        <w:guid w:val="{a4c959f9-5d64-42be-9378-f89395d0b410}"/>
      </w:docPartPr>
      <w:docPartBody>
        <w:p>
          <w:r>
            <w:rPr>
              <w:color w:val="808080"/>
            </w:rPr>
            <w:t>单击此处输入文字。</w:t>
          </w:r>
        </w:p>
      </w:docPartBody>
    </w:docPart>
    <w:docPart>
      <w:docPartPr>
        <w:name w:val="{a53125cf-e016-4ed7-a9c7-07b2c1902014}"/>
        <w:style w:val=""/>
        <w:category>
          <w:name w:val="常规"/>
          <w:gallery w:val="placeholder"/>
        </w:category>
        <w:types>
          <w:type w:val="bbPlcHdr"/>
        </w:types>
        <w:behaviors>
          <w:behavior w:val="content"/>
        </w:behaviors>
        <w:description w:val=""/>
        <w:guid w:val="{a53125cf-e016-4ed7-a9c7-07b2c1902014}"/>
      </w:docPartPr>
      <w:docPartBody>
        <w:p>
          <w:r>
            <w:rPr>
              <w:color w:val="808080"/>
            </w:rPr>
            <w:t>单击此处输入文字。</w:t>
          </w:r>
        </w:p>
      </w:docPartBody>
    </w:docPart>
    <w:docPart>
      <w:docPartPr>
        <w:name w:val="{2fc34e19-8f3a-4d79-8897-658f7b47eb1a}"/>
        <w:style w:val=""/>
        <w:category>
          <w:name w:val="常规"/>
          <w:gallery w:val="placeholder"/>
        </w:category>
        <w:types>
          <w:type w:val="bbPlcHdr"/>
        </w:types>
        <w:behaviors>
          <w:behavior w:val="content"/>
        </w:behaviors>
        <w:description w:val=""/>
        <w:guid w:val="{2fc34e19-8f3a-4d79-8897-658f7b47eb1a}"/>
      </w:docPartPr>
      <w:docPartBody>
        <w:p>
          <w:r>
            <w:rPr>
              <w:color w:val="808080"/>
            </w:rPr>
            <w:t>单击此处输入文字。</w:t>
          </w:r>
        </w:p>
      </w:docPartBody>
    </w:docPart>
    <w:docPart>
      <w:docPartPr>
        <w:name w:val="{11495b09-66e6-4709-9936-46ad1bfc820f}"/>
        <w:style w:val=""/>
        <w:category>
          <w:name w:val="常规"/>
          <w:gallery w:val="placeholder"/>
        </w:category>
        <w:types>
          <w:type w:val="bbPlcHdr"/>
        </w:types>
        <w:behaviors>
          <w:behavior w:val="content"/>
        </w:behaviors>
        <w:description w:val=""/>
        <w:guid w:val="{11495b09-66e6-4709-9936-46ad1bfc820f}"/>
      </w:docPartPr>
      <w:docPartBody>
        <w:p>
          <w:r>
            <w:rPr>
              <w:color w:val="808080"/>
            </w:rPr>
            <w:t>单击此处输入文字。</w:t>
          </w:r>
        </w:p>
      </w:docPartBody>
    </w:docPart>
    <w:docPart>
      <w:docPartPr>
        <w:name w:val="{0188f465-8c44-4679-a898-62b43b80b47c}"/>
        <w:style w:val=""/>
        <w:category>
          <w:name w:val="常规"/>
          <w:gallery w:val="placeholder"/>
        </w:category>
        <w:types>
          <w:type w:val="bbPlcHdr"/>
        </w:types>
        <w:behaviors>
          <w:behavior w:val="content"/>
        </w:behaviors>
        <w:description w:val=""/>
        <w:guid w:val="{0188f465-8c44-4679-a898-62b43b80b47c}"/>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1142</Words>
  <Characters>6514</Characters>
  <Lines>54</Lines>
  <Paragraphs>15</Paragraphs>
  <TotalTime>30</TotalTime>
  <ScaleCrop>false</ScaleCrop>
  <LinksUpToDate>false</LinksUpToDate>
  <CharactersWithSpaces>7641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李颉妍</cp:lastModifiedBy>
  <cp:lastPrinted>2023-08-03T18:35:00Z</cp:lastPrinted>
  <dcterms:modified xsi:type="dcterms:W3CDTF">2024-10-11T15:33:59Z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