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1"/>
        <w:jc w:val="center"/>
        <w:rPr>
          <w:rFonts w:ascii="方正小标宋简体" w:hAnsi="黑体" w:eastAsia="方正小标宋简体"/>
          <w:sz w:val="72"/>
          <w:szCs w:val="72"/>
        </w:rPr>
      </w:pPr>
      <w:bookmarkStart w:id="0" w:name="_Toc15377204"/>
      <w:bookmarkStart w:id="1" w:name="_Toc15396602"/>
    </w:p>
    <w:p>
      <w:pPr>
        <w:pStyle w:val="2"/>
      </w:pPr>
    </w:p>
    <w:p/>
    <w:p>
      <w:pPr>
        <w:pStyle w:val="2"/>
      </w:pPr>
    </w:p>
    <w:p/>
    <w:p>
      <w:pPr>
        <w:pStyle w:val="2"/>
      </w:pPr>
    </w:p>
    <w:p>
      <w:pPr>
        <w:spacing w:line="360" w:lineRule="auto"/>
        <w:ind w:firstLine="641"/>
        <w:jc w:val="center"/>
        <w:rPr>
          <w:rFonts w:ascii="方正小标宋简体" w:hAnsi="黑体" w:eastAsia="方正小标宋简体"/>
          <w:sz w:val="72"/>
          <w:szCs w:val="72"/>
        </w:rPr>
      </w:pPr>
      <w:r>
        <w:rPr>
          <w:rFonts w:hint="eastAsia" w:ascii="方正小标宋简体" w:hAnsi="黑体" w:eastAsia="方正小标宋简体"/>
          <w:sz w:val="72"/>
          <w:szCs w:val="72"/>
        </w:rPr>
        <w:t>2023年度</w:t>
      </w:r>
    </w:p>
    <w:p>
      <w:pPr>
        <w:spacing w:line="360" w:lineRule="auto"/>
        <w:ind w:firstLine="641"/>
        <w:jc w:val="center"/>
        <w:rPr>
          <w:rFonts w:ascii="方正小标宋简体" w:hAnsi="黑体" w:eastAsia="方正小标宋简体"/>
          <w:sz w:val="72"/>
          <w:szCs w:val="72"/>
        </w:rPr>
      </w:pPr>
      <w:r>
        <w:rPr>
          <w:rFonts w:hint="eastAsia" w:ascii="方正小标宋简体" w:hAnsi="黑体" w:eastAsia="方正小标宋简体"/>
          <w:sz w:val="72"/>
          <w:szCs w:val="72"/>
        </w:rPr>
        <w:t>攀枝花市航务海事中心</w:t>
      </w:r>
    </w:p>
    <w:p>
      <w:pPr>
        <w:spacing w:line="360" w:lineRule="auto"/>
        <w:ind w:firstLine="641"/>
        <w:jc w:val="center"/>
        <w:rPr>
          <w:rFonts w:ascii="方正小标宋简体" w:hAnsi="黑体" w:eastAsia="方正小标宋简体"/>
          <w:sz w:val="72"/>
          <w:szCs w:val="72"/>
        </w:rPr>
      </w:pPr>
      <w:r>
        <w:rPr>
          <w:rFonts w:hint="eastAsia" w:ascii="方正小标宋简体" w:hAnsi="黑体" w:eastAsia="方正小标宋简体"/>
          <w:sz w:val="72"/>
          <w:szCs w:val="72"/>
        </w:rPr>
        <w:t>单位决算</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pStyle w:val="2"/>
      </w:pPr>
    </w:p>
    <w:p/>
    <w:p>
      <w:pPr>
        <w:rPr>
          <w:rFonts w:ascii="Arial" w:hAnsi="Arial" w:eastAsia="黑体"/>
          <w:b/>
          <w:sz w:val="24"/>
          <w:szCs w:val="28"/>
        </w:rPr>
      </w:pPr>
    </w:p>
    <w:p>
      <w:pPr>
        <w:pStyle w:val="2"/>
      </w:pPr>
    </w:p>
    <w:p>
      <w:pPr>
        <w:rPr>
          <w:rFonts w:ascii="仿宋_GB2312" w:eastAsia="仿宋_GB2312"/>
        </w:rPr>
      </w:pPr>
    </w:p>
    <w:p>
      <w:pPr>
        <w:widowControl/>
        <w:jc w:val="center"/>
        <w:rPr>
          <w:rFonts w:ascii="黑体" w:hAnsi="黑体" w:eastAsia="黑体"/>
          <w:sz w:val="48"/>
          <w:szCs w:val="48"/>
        </w:rPr>
      </w:pPr>
      <w:r>
        <w:rPr>
          <w:rFonts w:hint="eastAsia" w:ascii="黑体" w:hAnsi="黑体" w:eastAsia="黑体"/>
          <w:sz w:val="48"/>
          <w:szCs w:val="48"/>
        </w:rPr>
        <w:t>目录</w:t>
      </w:r>
    </w:p>
    <w:p>
      <w:pPr>
        <w:pStyle w:val="12"/>
      </w:pPr>
      <w:r>
        <w:rPr>
          <w:rFonts w:hint="eastAsia"/>
        </w:rPr>
        <w:t>公开时间：2024年9月</w:t>
      </w:r>
      <w:r>
        <w:rPr>
          <w:rFonts w:hint="eastAsia"/>
          <w:lang w:val="en-US" w:eastAsia="zh-CN"/>
        </w:rPr>
        <w:t>18</w:t>
      </w:r>
      <w:bookmarkStart w:id="102" w:name="_GoBack"/>
      <w:bookmarkEnd w:id="102"/>
      <w:r>
        <w:rPr>
          <w:rFonts w:hint="eastAsia"/>
        </w:rPr>
        <w:t>日</w:t>
      </w:r>
    </w:p>
    <w:sdt>
      <w:sdtPr>
        <w:rPr>
          <w:rFonts w:ascii="Times New Roman" w:hAnsi="Times New Roman" w:eastAsia="宋体" w:cs="Times New Roman"/>
          <w:b w:val="0"/>
          <w:bCs w:val="0"/>
          <w:color w:val="auto"/>
          <w:kern w:val="2"/>
          <w:sz w:val="21"/>
          <w:szCs w:val="24"/>
          <w:lang w:val="zh-CN"/>
        </w:rPr>
        <w:id w:val="263073056"/>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33"/>
          </w:pPr>
        </w:p>
        <w:p>
          <w:pPr>
            <w:pStyle w:val="12"/>
            <w:rPr>
              <w:rFonts w:ascii="仿宋_GB2312" w:eastAsia="仿宋_GB2312" w:hAnsiTheme="minorHAnsi" w:cstheme="minorBidi"/>
              <w:b/>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TOC \o "1-3" \h \z \u </w:instrText>
          </w:r>
          <w:r>
            <w:rPr>
              <w:rFonts w:hint="eastAsia" w:ascii="仿宋_GB2312" w:eastAsia="仿宋_GB2312"/>
              <w:sz w:val="24"/>
              <w:szCs w:val="24"/>
            </w:rPr>
            <w:fldChar w:fldCharType="separate"/>
          </w:r>
          <w:r>
            <w:fldChar w:fldCharType="begin"/>
          </w:r>
          <w:r>
            <w:instrText xml:space="preserve"> HYPERLINK \l "_Toc176511710" </w:instrText>
          </w:r>
          <w:r>
            <w:fldChar w:fldCharType="separate"/>
          </w:r>
          <w:r>
            <w:rPr>
              <w:rStyle w:val="18"/>
              <w:rFonts w:hint="eastAsia" w:ascii="仿宋_GB2312" w:eastAsia="仿宋_GB2312"/>
              <w:b/>
            </w:rPr>
            <w:t>第一部分 单位概况</w:t>
          </w:r>
          <w:r>
            <w:rPr>
              <w:rFonts w:hint="eastAsia" w:ascii="仿宋_GB2312" w:eastAsia="仿宋_GB2312"/>
              <w:b/>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_Toc176511710 \h </w:instrText>
          </w:r>
          <w:r>
            <w:rPr>
              <w:rFonts w:hint="eastAsia" w:ascii="仿宋_GB2312" w:eastAsia="仿宋_GB2312"/>
              <w:sz w:val="24"/>
              <w:szCs w:val="24"/>
            </w:rPr>
            <w:fldChar w:fldCharType="separate"/>
          </w:r>
          <w:r>
            <w:rPr>
              <w:rFonts w:ascii="仿宋_GB2312" w:eastAsia="仿宋_GB2312"/>
              <w:sz w:val="24"/>
              <w:szCs w:val="24"/>
            </w:rPr>
            <w:t>1</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jc w:val="center"/>
            <w:rPr>
              <w:rFonts w:asciiTheme="majorEastAsia" w:hAnsiTheme="majorEastAsia" w:eastAsiaTheme="majorEastAsia" w:cstheme="minorBidi"/>
              <w:b/>
              <w:sz w:val="24"/>
            </w:rPr>
          </w:pPr>
          <w:r>
            <w:fldChar w:fldCharType="begin"/>
          </w:r>
          <w:r>
            <w:instrText xml:space="preserve"> HYPERLINK \l "_Toc176511711" </w:instrText>
          </w:r>
          <w:r>
            <w:fldChar w:fldCharType="separate"/>
          </w:r>
          <w:r>
            <w:rPr>
              <w:rStyle w:val="18"/>
              <w:rFonts w:hint="eastAsia" w:asciiTheme="majorEastAsia" w:hAnsiTheme="majorEastAsia" w:eastAsiaTheme="majorEastAsia"/>
              <w:b/>
              <w:sz w:val="24"/>
            </w:rPr>
            <w:t>一、主要职责</w:t>
          </w:r>
          <w:r>
            <w:rPr>
              <w:rFonts w:hint="eastAsia" w:asciiTheme="majorEastAsia" w:hAnsiTheme="majorEastAsia" w:eastAsiaTheme="majorEastAsia"/>
              <w:b/>
              <w:sz w:val="24"/>
            </w:rPr>
            <w:tab/>
          </w:r>
          <w:r>
            <w:rPr>
              <w:rFonts w:hint="eastAsia" w:ascii="仿宋_GB2312" w:eastAsia="仿宋_GB2312" w:hAnsiTheme="majorEastAsia"/>
              <w:sz w:val="24"/>
            </w:rPr>
            <w:fldChar w:fldCharType="begin"/>
          </w:r>
          <w:r>
            <w:rPr>
              <w:rFonts w:hint="eastAsia" w:ascii="仿宋_GB2312" w:eastAsia="仿宋_GB2312" w:hAnsiTheme="majorEastAsia"/>
              <w:sz w:val="24"/>
            </w:rPr>
            <w:instrText xml:space="preserve"> PAGEREF _Toc176511711 \h </w:instrText>
          </w:r>
          <w:r>
            <w:rPr>
              <w:rFonts w:hint="eastAsia" w:ascii="仿宋_GB2312" w:eastAsia="仿宋_GB2312" w:hAnsiTheme="majorEastAsia"/>
              <w:sz w:val="24"/>
            </w:rPr>
            <w:fldChar w:fldCharType="separate"/>
          </w:r>
          <w:r>
            <w:rPr>
              <w:rFonts w:ascii="仿宋_GB2312" w:eastAsia="仿宋_GB2312" w:hAnsiTheme="majorEastAsia"/>
              <w:sz w:val="24"/>
            </w:rPr>
            <w:t>1</w:t>
          </w:r>
          <w:r>
            <w:rPr>
              <w:rFonts w:hint="eastAsia" w:ascii="仿宋_GB2312" w:eastAsia="仿宋_GB2312" w:hAnsiTheme="majorEastAsia"/>
              <w:sz w:val="24"/>
            </w:rPr>
            <w:fldChar w:fldCharType="end"/>
          </w:r>
          <w:r>
            <w:rPr>
              <w:rFonts w:hint="eastAsia" w:ascii="仿宋_GB2312" w:eastAsia="仿宋_GB2312" w:hAnsiTheme="majorEastAsia"/>
              <w:sz w:val="24"/>
            </w:rPr>
            <w:fldChar w:fldCharType="end"/>
          </w:r>
        </w:p>
        <w:p>
          <w:pPr>
            <w:pStyle w:val="13"/>
            <w:jc w:val="center"/>
            <w:rPr>
              <w:rFonts w:asciiTheme="majorEastAsia" w:hAnsiTheme="majorEastAsia" w:eastAsiaTheme="majorEastAsia" w:cstheme="minorBidi"/>
              <w:b/>
              <w:sz w:val="24"/>
            </w:rPr>
          </w:pPr>
          <w:r>
            <w:fldChar w:fldCharType="begin"/>
          </w:r>
          <w:r>
            <w:instrText xml:space="preserve"> HYPERLINK \l "_Toc176511712" </w:instrText>
          </w:r>
          <w:r>
            <w:fldChar w:fldCharType="separate"/>
          </w:r>
          <w:r>
            <w:rPr>
              <w:rStyle w:val="18"/>
              <w:rFonts w:hint="eastAsia" w:asciiTheme="majorEastAsia" w:hAnsiTheme="majorEastAsia" w:eastAsiaTheme="majorEastAsia"/>
              <w:b/>
              <w:sz w:val="24"/>
            </w:rPr>
            <w:t>二、机构设置</w:t>
          </w:r>
          <w:r>
            <w:rPr>
              <w:rFonts w:hint="eastAsia" w:asciiTheme="majorEastAsia" w:hAnsiTheme="majorEastAsia" w:eastAsiaTheme="majorEastAsia"/>
              <w:b/>
              <w:sz w:val="24"/>
            </w:rPr>
            <w:tab/>
          </w:r>
          <w:r>
            <w:rPr>
              <w:rFonts w:hint="eastAsia" w:ascii="仿宋_GB2312" w:eastAsia="仿宋_GB2312" w:hAnsiTheme="majorEastAsia"/>
              <w:sz w:val="24"/>
            </w:rPr>
            <w:fldChar w:fldCharType="begin"/>
          </w:r>
          <w:r>
            <w:rPr>
              <w:rFonts w:hint="eastAsia" w:ascii="仿宋_GB2312" w:eastAsia="仿宋_GB2312" w:hAnsiTheme="majorEastAsia"/>
              <w:sz w:val="24"/>
            </w:rPr>
            <w:instrText xml:space="preserve"> PAGEREF _Toc176511712 \h </w:instrText>
          </w:r>
          <w:r>
            <w:rPr>
              <w:rFonts w:hint="eastAsia" w:ascii="仿宋_GB2312" w:eastAsia="仿宋_GB2312" w:hAnsiTheme="majorEastAsia"/>
              <w:sz w:val="24"/>
            </w:rPr>
            <w:fldChar w:fldCharType="separate"/>
          </w:r>
          <w:r>
            <w:rPr>
              <w:rFonts w:ascii="仿宋_GB2312" w:eastAsia="仿宋_GB2312" w:hAnsiTheme="majorEastAsia"/>
              <w:sz w:val="24"/>
            </w:rPr>
            <w:t>1</w:t>
          </w:r>
          <w:r>
            <w:rPr>
              <w:rFonts w:hint="eastAsia" w:ascii="仿宋_GB2312" w:eastAsia="仿宋_GB2312" w:hAnsiTheme="majorEastAsia"/>
              <w:sz w:val="24"/>
            </w:rPr>
            <w:fldChar w:fldCharType="end"/>
          </w:r>
          <w:r>
            <w:rPr>
              <w:rFonts w:hint="eastAsia" w:ascii="仿宋_GB2312" w:eastAsia="仿宋_GB2312" w:hAnsiTheme="majorEastAsia"/>
              <w:sz w:val="24"/>
            </w:rPr>
            <w:fldChar w:fldCharType="end"/>
          </w:r>
        </w:p>
        <w:p>
          <w:pPr>
            <w:pStyle w:val="12"/>
            <w:rPr>
              <w:rFonts w:ascii="仿宋_GB2312" w:eastAsia="仿宋_GB2312" w:hAnsiTheme="minorHAnsi" w:cstheme="minorBidi"/>
              <w:b/>
              <w:sz w:val="24"/>
              <w:szCs w:val="24"/>
            </w:rPr>
          </w:pPr>
          <w:r>
            <w:fldChar w:fldCharType="begin"/>
          </w:r>
          <w:r>
            <w:instrText xml:space="preserve"> HYPERLINK \l "_Toc176511713" </w:instrText>
          </w:r>
          <w:r>
            <w:fldChar w:fldCharType="separate"/>
          </w:r>
          <w:r>
            <w:rPr>
              <w:rStyle w:val="18"/>
              <w:rFonts w:hint="eastAsia" w:ascii="仿宋_GB2312" w:eastAsia="仿宋_GB2312"/>
              <w:b/>
            </w:rPr>
            <w:t>第二部分 2023年度单位决算情况说明</w:t>
          </w:r>
          <w:r>
            <w:rPr>
              <w:rFonts w:hint="eastAsia" w:ascii="仿宋_GB2312" w:eastAsia="仿宋_GB2312"/>
              <w:b/>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_Toc176511713 \h </w:instrText>
          </w:r>
          <w:r>
            <w:rPr>
              <w:rFonts w:hint="eastAsia" w:ascii="仿宋_GB2312" w:eastAsia="仿宋_GB2312"/>
              <w:sz w:val="24"/>
              <w:szCs w:val="24"/>
            </w:rPr>
            <w:fldChar w:fldCharType="separate"/>
          </w:r>
          <w:r>
            <w:rPr>
              <w:rFonts w:ascii="仿宋_GB2312" w:eastAsia="仿宋_GB2312"/>
              <w:sz w:val="24"/>
              <w:szCs w:val="24"/>
            </w:rPr>
            <w:t>2</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3"/>
            <w:jc w:val="center"/>
            <w:rPr>
              <w:rFonts w:asciiTheme="majorEastAsia" w:hAnsiTheme="majorEastAsia" w:eastAsiaTheme="majorEastAsia" w:cstheme="minorBidi"/>
              <w:b/>
              <w:sz w:val="24"/>
            </w:rPr>
          </w:pPr>
          <w:r>
            <w:fldChar w:fldCharType="begin"/>
          </w:r>
          <w:r>
            <w:instrText xml:space="preserve"> HYPERLINK \l "_Toc176511714" </w:instrText>
          </w:r>
          <w:r>
            <w:fldChar w:fldCharType="separate"/>
          </w:r>
          <w:r>
            <w:rPr>
              <w:rStyle w:val="18"/>
              <w:rFonts w:hint="eastAsia" w:asciiTheme="majorEastAsia" w:hAnsiTheme="majorEastAsia" w:eastAsiaTheme="majorEastAsia"/>
              <w:b/>
              <w:sz w:val="24"/>
            </w:rPr>
            <w:t>一、收入支出决算总体情况说明</w:t>
          </w:r>
          <w:r>
            <w:rPr>
              <w:rFonts w:hint="eastAsia" w:asciiTheme="majorEastAsia" w:hAnsiTheme="majorEastAsia" w:eastAsiaTheme="majorEastAsia"/>
              <w:b/>
              <w:sz w:val="24"/>
            </w:rPr>
            <w:tab/>
          </w:r>
          <w:r>
            <w:rPr>
              <w:rFonts w:hint="eastAsia" w:ascii="仿宋_GB2312" w:eastAsia="仿宋_GB2312" w:hAnsiTheme="majorEastAsia"/>
              <w:sz w:val="24"/>
            </w:rPr>
            <w:fldChar w:fldCharType="begin"/>
          </w:r>
          <w:r>
            <w:rPr>
              <w:rFonts w:hint="eastAsia" w:ascii="仿宋_GB2312" w:eastAsia="仿宋_GB2312" w:hAnsiTheme="majorEastAsia"/>
              <w:sz w:val="24"/>
            </w:rPr>
            <w:instrText xml:space="preserve"> PAGEREF _Toc176511714 \h </w:instrText>
          </w:r>
          <w:r>
            <w:rPr>
              <w:rFonts w:hint="eastAsia" w:ascii="仿宋_GB2312" w:eastAsia="仿宋_GB2312" w:hAnsiTheme="majorEastAsia"/>
              <w:sz w:val="24"/>
            </w:rPr>
            <w:fldChar w:fldCharType="separate"/>
          </w:r>
          <w:r>
            <w:rPr>
              <w:rFonts w:ascii="仿宋_GB2312" w:eastAsia="仿宋_GB2312" w:hAnsiTheme="majorEastAsia"/>
              <w:sz w:val="24"/>
            </w:rPr>
            <w:t>2</w:t>
          </w:r>
          <w:r>
            <w:rPr>
              <w:rFonts w:hint="eastAsia" w:ascii="仿宋_GB2312" w:eastAsia="仿宋_GB2312" w:hAnsiTheme="majorEastAsia"/>
              <w:sz w:val="24"/>
            </w:rPr>
            <w:fldChar w:fldCharType="end"/>
          </w:r>
          <w:r>
            <w:rPr>
              <w:rFonts w:hint="eastAsia" w:ascii="仿宋_GB2312" w:eastAsia="仿宋_GB2312" w:hAnsiTheme="majorEastAsia"/>
              <w:sz w:val="24"/>
            </w:rPr>
            <w:fldChar w:fldCharType="end"/>
          </w:r>
        </w:p>
        <w:p>
          <w:pPr>
            <w:pStyle w:val="13"/>
            <w:jc w:val="center"/>
            <w:rPr>
              <w:rFonts w:asciiTheme="majorEastAsia" w:hAnsiTheme="majorEastAsia" w:eastAsiaTheme="majorEastAsia" w:cstheme="minorBidi"/>
              <w:b/>
              <w:sz w:val="24"/>
            </w:rPr>
          </w:pPr>
          <w:r>
            <w:fldChar w:fldCharType="begin"/>
          </w:r>
          <w:r>
            <w:instrText xml:space="preserve"> HYPERLINK \l "_Toc176511715" </w:instrText>
          </w:r>
          <w:r>
            <w:fldChar w:fldCharType="separate"/>
          </w:r>
          <w:r>
            <w:rPr>
              <w:rStyle w:val="18"/>
              <w:rFonts w:hint="eastAsia" w:asciiTheme="majorEastAsia" w:hAnsiTheme="majorEastAsia" w:eastAsiaTheme="majorEastAsia"/>
              <w:b/>
              <w:sz w:val="24"/>
            </w:rPr>
            <w:t>二、收入决算情况说明</w:t>
          </w:r>
          <w:r>
            <w:rPr>
              <w:rFonts w:hint="eastAsia" w:asciiTheme="majorEastAsia" w:hAnsiTheme="majorEastAsia" w:eastAsiaTheme="majorEastAsia"/>
              <w:b/>
              <w:sz w:val="24"/>
            </w:rPr>
            <w:tab/>
          </w:r>
          <w:r>
            <w:rPr>
              <w:rFonts w:hint="eastAsia" w:ascii="仿宋_GB2312" w:eastAsia="仿宋_GB2312" w:hAnsiTheme="majorEastAsia"/>
              <w:sz w:val="24"/>
            </w:rPr>
            <w:fldChar w:fldCharType="begin"/>
          </w:r>
          <w:r>
            <w:rPr>
              <w:rFonts w:hint="eastAsia" w:ascii="仿宋_GB2312" w:eastAsia="仿宋_GB2312" w:hAnsiTheme="majorEastAsia"/>
              <w:sz w:val="24"/>
            </w:rPr>
            <w:instrText xml:space="preserve"> PAGEREF _Toc176511715 \h </w:instrText>
          </w:r>
          <w:r>
            <w:rPr>
              <w:rFonts w:hint="eastAsia" w:ascii="仿宋_GB2312" w:eastAsia="仿宋_GB2312" w:hAnsiTheme="majorEastAsia"/>
              <w:sz w:val="24"/>
            </w:rPr>
            <w:fldChar w:fldCharType="separate"/>
          </w:r>
          <w:r>
            <w:rPr>
              <w:rFonts w:ascii="仿宋_GB2312" w:eastAsia="仿宋_GB2312" w:hAnsiTheme="majorEastAsia"/>
              <w:sz w:val="24"/>
            </w:rPr>
            <w:t>2</w:t>
          </w:r>
          <w:r>
            <w:rPr>
              <w:rFonts w:hint="eastAsia" w:ascii="仿宋_GB2312" w:eastAsia="仿宋_GB2312" w:hAnsiTheme="majorEastAsia"/>
              <w:sz w:val="24"/>
            </w:rPr>
            <w:fldChar w:fldCharType="end"/>
          </w:r>
          <w:r>
            <w:rPr>
              <w:rFonts w:hint="eastAsia" w:ascii="仿宋_GB2312" w:eastAsia="仿宋_GB2312" w:hAnsiTheme="majorEastAsia"/>
              <w:sz w:val="24"/>
            </w:rPr>
            <w:fldChar w:fldCharType="end"/>
          </w:r>
        </w:p>
        <w:p>
          <w:pPr>
            <w:pStyle w:val="13"/>
            <w:jc w:val="center"/>
            <w:rPr>
              <w:rFonts w:asciiTheme="majorEastAsia" w:hAnsiTheme="majorEastAsia" w:eastAsiaTheme="majorEastAsia" w:cstheme="minorBidi"/>
              <w:b/>
              <w:sz w:val="24"/>
            </w:rPr>
          </w:pPr>
          <w:r>
            <w:fldChar w:fldCharType="begin"/>
          </w:r>
          <w:r>
            <w:instrText xml:space="preserve"> HYPERLINK \l "_Toc176511717" </w:instrText>
          </w:r>
          <w:r>
            <w:fldChar w:fldCharType="separate"/>
          </w:r>
          <w:r>
            <w:rPr>
              <w:rStyle w:val="18"/>
              <w:rFonts w:hint="eastAsia" w:asciiTheme="majorEastAsia" w:hAnsiTheme="majorEastAsia" w:eastAsiaTheme="majorEastAsia"/>
              <w:b/>
              <w:sz w:val="24"/>
            </w:rPr>
            <w:t>三、支出决算情况说明</w:t>
          </w:r>
          <w:r>
            <w:rPr>
              <w:rFonts w:hint="eastAsia" w:asciiTheme="majorEastAsia" w:hAnsiTheme="majorEastAsia" w:eastAsiaTheme="majorEastAsia"/>
              <w:b/>
              <w:sz w:val="24"/>
            </w:rPr>
            <w:tab/>
          </w:r>
          <w:r>
            <w:rPr>
              <w:rFonts w:hint="eastAsia" w:ascii="仿宋_GB2312" w:eastAsia="仿宋_GB2312" w:hAnsiTheme="majorEastAsia"/>
              <w:sz w:val="24"/>
            </w:rPr>
            <w:fldChar w:fldCharType="begin"/>
          </w:r>
          <w:r>
            <w:rPr>
              <w:rFonts w:hint="eastAsia" w:ascii="仿宋_GB2312" w:eastAsia="仿宋_GB2312" w:hAnsiTheme="majorEastAsia"/>
              <w:sz w:val="24"/>
            </w:rPr>
            <w:instrText xml:space="preserve"> PAGEREF _Toc176511717 \h </w:instrText>
          </w:r>
          <w:r>
            <w:rPr>
              <w:rFonts w:hint="eastAsia" w:ascii="仿宋_GB2312" w:eastAsia="仿宋_GB2312" w:hAnsiTheme="majorEastAsia"/>
              <w:sz w:val="24"/>
            </w:rPr>
            <w:fldChar w:fldCharType="separate"/>
          </w:r>
          <w:r>
            <w:rPr>
              <w:rFonts w:ascii="仿宋_GB2312" w:eastAsia="仿宋_GB2312" w:hAnsiTheme="majorEastAsia"/>
              <w:sz w:val="24"/>
            </w:rPr>
            <w:t>3</w:t>
          </w:r>
          <w:r>
            <w:rPr>
              <w:rFonts w:hint="eastAsia" w:ascii="仿宋_GB2312" w:eastAsia="仿宋_GB2312" w:hAnsiTheme="majorEastAsia"/>
              <w:sz w:val="24"/>
            </w:rPr>
            <w:fldChar w:fldCharType="end"/>
          </w:r>
          <w:r>
            <w:rPr>
              <w:rFonts w:hint="eastAsia" w:ascii="仿宋_GB2312" w:eastAsia="仿宋_GB2312" w:hAnsiTheme="majorEastAsia"/>
              <w:sz w:val="24"/>
            </w:rPr>
            <w:fldChar w:fldCharType="end"/>
          </w:r>
        </w:p>
        <w:p>
          <w:pPr>
            <w:pStyle w:val="13"/>
            <w:jc w:val="center"/>
            <w:rPr>
              <w:rFonts w:asciiTheme="majorEastAsia" w:hAnsiTheme="majorEastAsia" w:eastAsiaTheme="majorEastAsia" w:cstheme="minorBidi"/>
              <w:b/>
              <w:sz w:val="24"/>
            </w:rPr>
          </w:pPr>
          <w:r>
            <w:fldChar w:fldCharType="begin"/>
          </w:r>
          <w:r>
            <w:instrText xml:space="preserve"> HYPERLINK \l "_Toc176511719" </w:instrText>
          </w:r>
          <w:r>
            <w:fldChar w:fldCharType="separate"/>
          </w:r>
          <w:r>
            <w:rPr>
              <w:rStyle w:val="18"/>
              <w:rFonts w:hint="eastAsia" w:asciiTheme="majorEastAsia" w:hAnsiTheme="majorEastAsia" w:eastAsiaTheme="majorEastAsia"/>
              <w:b/>
              <w:sz w:val="24"/>
            </w:rPr>
            <w:t>四、财</w:t>
          </w:r>
          <w:r>
            <w:rPr>
              <w:rStyle w:val="18"/>
              <w:rFonts w:hint="eastAsia" w:asciiTheme="majorEastAsia" w:hAnsiTheme="majorEastAsia" w:eastAsiaTheme="majorEastAsia" w:cstheme="majorBidi"/>
              <w:b/>
              <w:bCs/>
              <w:sz w:val="24"/>
            </w:rPr>
            <w:t>政拨款收入支出决算总体情况说明</w:t>
          </w:r>
          <w:r>
            <w:rPr>
              <w:rFonts w:hint="eastAsia" w:asciiTheme="majorEastAsia" w:hAnsiTheme="majorEastAsia" w:eastAsiaTheme="majorEastAsia"/>
              <w:b/>
              <w:sz w:val="24"/>
            </w:rPr>
            <w:tab/>
          </w:r>
          <w:r>
            <w:rPr>
              <w:rFonts w:hint="eastAsia" w:ascii="仿宋_GB2312" w:eastAsia="仿宋_GB2312" w:hAnsiTheme="majorEastAsia"/>
              <w:sz w:val="24"/>
            </w:rPr>
            <w:fldChar w:fldCharType="begin"/>
          </w:r>
          <w:r>
            <w:rPr>
              <w:rFonts w:hint="eastAsia" w:ascii="仿宋_GB2312" w:eastAsia="仿宋_GB2312" w:hAnsiTheme="majorEastAsia"/>
              <w:sz w:val="24"/>
            </w:rPr>
            <w:instrText xml:space="preserve"> PAGEREF _Toc176511719 \h </w:instrText>
          </w:r>
          <w:r>
            <w:rPr>
              <w:rFonts w:hint="eastAsia" w:ascii="仿宋_GB2312" w:eastAsia="仿宋_GB2312" w:hAnsiTheme="majorEastAsia"/>
              <w:sz w:val="24"/>
            </w:rPr>
            <w:fldChar w:fldCharType="separate"/>
          </w:r>
          <w:r>
            <w:rPr>
              <w:rFonts w:ascii="仿宋_GB2312" w:eastAsia="仿宋_GB2312" w:hAnsiTheme="majorEastAsia"/>
              <w:sz w:val="24"/>
            </w:rPr>
            <w:t>4</w:t>
          </w:r>
          <w:r>
            <w:rPr>
              <w:rFonts w:hint="eastAsia" w:ascii="仿宋_GB2312" w:eastAsia="仿宋_GB2312" w:hAnsiTheme="majorEastAsia"/>
              <w:sz w:val="24"/>
            </w:rPr>
            <w:fldChar w:fldCharType="end"/>
          </w:r>
          <w:r>
            <w:rPr>
              <w:rFonts w:hint="eastAsia" w:ascii="仿宋_GB2312" w:eastAsia="仿宋_GB2312" w:hAnsiTheme="majorEastAsia"/>
              <w:sz w:val="24"/>
            </w:rPr>
            <w:fldChar w:fldCharType="end"/>
          </w:r>
        </w:p>
        <w:p>
          <w:pPr>
            <w:pStyle w:val="13"/>
            <w:jc w:val="center"/>
            <w:rPr>
              <w:rFonts w:asciiTheme="majorEastAsia" w:hAnsiTheme="majorEastAsia" w:eastAsiaTheme="majorEastAsia" w:cstheme="minorBidi"/>
              <w:b/>
              <w:sz w:val="24"/>
            </w:rPr>
          </w:pPr>
          <w:r>
            <w:fldChar w:fldCharType="begin"/>
          </w:r>
          <w:r>
            <w:instrText xml:space="preserve"> HYPERLINK \l "_Toc176511720" </w:instrText>
          </w:r>
          <w:r>
            <w:fldChar w:fldCharType="separate"/>
          </w:r>
          <w:r>
            <w:rPr>
              <w:rStyle w:val="18"/>
              <w:rFonts w:hint="eastAsia" w:asciiTheme="majorEastAsia" w:hAnsiTheme="majorEastAsia" w:eastAsiaTheme="majorEastAsia"/>
              <w:b/>
              <w:sz w:val="24"/>
            </w:rPr>
            <w:t>五、一</w:t>
          </w:r>
          <w:r>
            <w:rPr>
              <w:rStyle w:val="18"/>
              <w:rFonts w:hint="eastAsia" w:asciiTheme="majorEastAsia" w:hAnsiTheme="majorEastAsia" w:eastAsiaTheme="majorEastAsia" w:cstheme="majorBidi"/>
              <w:b/>
              <w:bCs/>
              <w:sz w:val="24"/>
            </w:rPr>
            <w:t>般公共预算财政拨款支出决算情况说明</w:t>
          </w:r>
          <w:r>
            <w:rPr>
              <w:rFonts w:hint="eastAsia" w:asciiTheme="majorEastAsia" w:hAnsiTheme="majorEastAsia" w:eastAsiaTheme="majorEastAsia"/>
              <w:b/>
              <w:sz w:val="24"/>
            </w:rPr>
            <w:tab/>
          </w:r>
          <w:r>
            <w:rPr>
              <w:rFonts w:hint="eastAsia" w:ascii="仿宋_GB2312" w:eastAsia="仿宋_GB2312" w:hAnsiTheme="majorEastAsia"/>
              <w:sz w:val="24"/>
            </w:rPr>
            <w:fldChar w:fldCharType="begin"/>
          </w:r>
          <w:r>
            <w:rPr>
              <w:rFonts w:hint="eastAsia" w:ascii="仿宋_GB2312" w:eastAsia="仿宋_GB2312" w:hAnsiTheme="majorEastAsia"/>
              <w:sz w:val="24"/>
            </w:rPr>
            <w:instrText xml:space="preserve"> PAGEREF _Toc176511720 \h </w:instrText>
          </w:r>
          <w:r>
            <w:rPr>
              <w:rFonts w:hint="eastAsia" w:ascii="仿宋_GB2312" w:eastAsia="仿宋_GB2312" w:hAnsiTheme="majorEastAsia"/>
              <w:sz w:val="24"/>
            </w:rPr>
            <w:fldChar w:fldCharType="separate"/>
          </w:r>
          <w:r>
            <w:rPr>
              <w:rFonts w:ascii="仿宋_GB2312" w:eastAsia="仿宋_GB2312" w:hAnsiTheme="majorEastAsia"/>
              <w:sz w:val="24"/>
            </w:rPr>
            <w:t>4</w:t>
          </w:r>
          <w:r>
            <w:rPr>
              <w:rFonts w:hint="eastAsia" w:ascii="仿宋_GB2312" w:eastAsia="仿宋_GB2312" w:hAnsiTheme="majorEastAsia"/>
              <w:sz w:val="24"/>
            </w:rPr>
            <w:fldChar w:fldCharType="end"/>
          </w:r>
          <w:r>
            <w:rPr>
              <w:rFonts w:hint="eastAsia" w:ascii="仿宋_GB2312" w:eastAsia="仿宋_GB2312" w:hAnsiTheme="majorEastAsia"/>
              <w:sz w:val="24"/>
            </w:rPr>
            <w:fldChar w:fldCharType="end"/>
          </w:r>
        </w:p>
        <w:p>
          <w:pPr>
            <w:pStyle w:val="8"/>
            <w:jc w:val="center"/>
            <w:rPr>
              <w:rFonts w:ascii="仿宋_GB2312" w:eastAsia="仿宋_GB2312" w:hAnsiTheme="minorHAnsi" w:cstheme="minorBidi"/>
              <w:sz w:val="24"/>
            </w:rPr>
          </w:pPr>
          <w:r>
            <w:fldChar w:fldCharType="begin"/>
          </w:r>
          <w:r>
            <w:instrText xml:space="preserve"> HYPERLINK \l "_Toc176511721" </w:instrText>
          </w:r>
          <w:r>
            <w:fldChar w:fldCharType="separate"/>
          </w:r>
          <w:r>
            <w:rPr>
              <w:rStyle w:val="18"/>
              <w:rFonts w:hint="eastAsia" w:ascii="仿宋_GB2312" w:hAnsi="仿宋" w:eastAsia="仿宋_GB2312"/>
              <w:sz w:val="24"/>
            </w:rPr>
            <w:t>（一）一般公共预算财政拨款支出决算总体情况</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_Toc176511721 \h </w:instrText>
          </w:r>
          <w:r>
            <w:rPr>
              <w:rFonts w:hint="eastAsia" w:ascii="仿宋_GB2312" w:eastAsia="仿宋_GB2312"/>
              <w:sz w:val="24"/>
            </w:rPr>
            <w:fldChar w:fldCharType="separate"/>
          </w:r>
          <w:r>
            <w:rPr>
              <w:rFonts w:ascii="仿宋_GB2312" w:eastAsia="仿宋_GB2312"/>
              <w:sz w:val="24"/>
            </w:rPr>
            <w:t>4</w:t>
          </w:r>
          <w:r>
            <w:rPr>
              <w:rFonts w:hint="eastAsia" w:ascii="仿宋_GB2312" w:eastAsia="仿宋_GB2312"/>
              <w:sz w:val="24"/>
            </w:rPr>
            <w:fldChar w:fldCharType="end"/>
          </w:r>
          <w:r>
            <w:rPr>
              <w:rFonts w:hint="eastAsia" w:ascii="仿宋_GB2312" w:eastAsia="仿宋_GB2312"/>
              <w:sz w:val="24"/>
            </w:rPr>
            <w:fldChar w:fldCharType="end"/>
          </w:r>
        </w:p>
        <w:p>
          <w:pPr>
            <w:pStyle w:val="8"/>
            <w:jc w:val="center"/>
            <w:rPr>
              <w:rFonts w:ascii="仿宋_GB2312" w:eastAsia="仿宋_GB2312" w:hAnsiTheme="minorHAnsi" w:cstheme="minorBidi"/>
              <w:sz w:val="24"/>
            </w:rPr>
          </w:pPr>
          <w:r>
            <w:fldChar w:fldCharType="begin"/>
          </w:r>
          <w:r>
            <w:instrText xml:space="preserve"> HYPERLINK \l "_Toc176511722" </w:instrText>
          </w:r>
          <w:r>
            <w:fldChar w:fldCharType="separate"/>
          </w:r>
          <w:r>
            <w:rPr>
              <w:rStyle w:val="18"/>
              <w:rFonts w:hint="eastAsia" w:ascii="仿宋_GB2312" w:hAnsi="仿宋" w:eastAsia="仿宋_GB2312"/>
              <w:sz w:val="24"/>
            </w:rPr>
            <w:t>（二）一般公共预算财政拨款支出决算结构情况</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_Toc176511722 \h </w:instrText>
          </w:r>
          <w:r>
            <w:rPr>
              <w:rFonts w:hint="eastAsia" w:ascii="仿宋_GB2312" w:eastAsia="仿宋_GB2312"/>
              <w:sz w:val="24"/>
            </w:rPr>
            <w:fldChar w:fldCharType="separate"/>
          </w:r>
          <w:r>
            <w:rPr>
              <w:rFonts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8"/>
            <w:jc w:val="center"/>
            <w:rPr>
              <w:rFonts w:ascii="仿宋_GB2312" w:eastAsia="仿宋_GB2312" w:hAnsiTheme="minorHAnsi" w:cstheme="minorBidi"/>
              <w:sz w:val="24"/>
            </w:rPr>
          </w:pPr>
          <w:r>
            <w:fldChar w:fldCharType="begin"/>
          </w:r>
          <w:r>
            <w:instrText xml:space="preserve"> HYPERLINK \l "_Toc176511723" </w:instrText>
          </w:r>
          <w:r>
            <w:fldChar w:fldCharType="separate"/>
          </w:r>
          <w:r>
            <w:rPr>
              <w:rStyle w:val="18"/>
              <w:rFonts w:hint="eastAsia" w:ascii="仿宋_GB2312" w:hAnsi="仿宋" w:eastAsia="仿宋_GB2312"/>
              <w:sz w:val="24"/>
            </w:rPr>
            <w:t>（三）一般公共预算财政拨款支出决算具体情况</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_Toc176511723 \h </w:instrText>
          </w:r>
          <w:r>
            <w:rPr>
              <w:rFonts w:hint="eastAsia" w:ascii="仿宋_GB2312" w:eastAsia="仿宋_GB2312"/>
              <w:sz w:val="24"/>
            </w:rPr>
            <w:fldChar w:fldCharType="separate"/>
          </w:r>
          <w:r>
            <w:rPr>
              <w:rFonts w:ascii="仿宋_GB2312" w:eastAsia="仿宋_GB2312"/>
              <w:sz w:val="24"/>
            </w:rPr>
            <w:t>6</w:t>
          </w:r>
          <w:r>
            <w:rPr>
              <w:rFonts w:hint="eastAsia" w:ascii="仿宋_GB2312" w:eastAsia="仿宋_GB2312"/>
              <w:sz w:val="24"/>
            </w:rPr>
            <w:fldChar w:fldCharType="end"/>
          </w:r>
          <w:r>
            <w:rPr>
              <w:rFonts w:hint="eastAsia" w:ascii="仿宋_GB2312" w:eastAsia="仿宋_GB2312"/>
              <w:sz w:val="24"/>
            </w:rPr>
            <w:fldChar w:fldCharType="end"/>
          </w:r>
        </w:p>
        <w:p>
          <w:pPr>
            <w:pStyle w:val="13"/>
            <w:jc w:val="center"/>
            <w:rPr>
              <w:rFonts w:asciiTheme="majorEastAsia" w:hAnsiTheme="majorEastAsia" w:eastAsiaTheme="majorEastAsia" w:cstheme="minorBidi"/>
              <w:b/>
              <w:sz w:val="24"/>
            </w:rPr>
          </w:pPr>
          <w:r>
            <w:fldChar w:fldCharType="begin"/>
          </w:r>
          <w:r>
            <w:instrText xml:space="preserve"> HYPERLINK \l "_Toc176511725" </w:instrText>
          </w:r>
          <w:r>
            <w:fldChar w:fldCharType="separate"/>
          </w:r>
          <w:r>
            <w:rPr>
              <w:rStyle w:val="18"/>
              <w:rFonts w:hint="eastAsia" w:asciiTheme="majorEastAsia" w:hAnsiTheme="majorEastAsia" w:eastAsiaTheme="majorEastAsia"/>
              <w:b/>
              <w:sz w:val="24"/>
            </w:rPr>
            <w:t>六、一</w:t>
          </w:r>
          <w:r>
            <w:rPr>
              <w:rStyle w:val="18"/>
              <w:rFonts w:hint="eastAsia" w:asciiTheme="majorEastAsia" w:hAnsiTheme="majorEastAsia" w:eastAsiaTheme="majorEastAsia" w:cstheme="majorBidi"/>
              <w:b/>
              <w:bCs/>
              <w:sz w:val="24"/>
            </w:rPr>
            <w:t>般公共预算财政拨款基本支出决算情况说明</w:t>
          </w:r>
          <w:r>
            <w:rPr>
              <w:rFonts w:hint="eastAsia" w:asciiTheme="majorEastAsia" w:hAnsiTheme="majorEastAsia" w:eastAsiaTheme="majorEastAsia"/>
              <w:b/>
              <w:sz w:val="24"/>
            </w:rPr>
            <w:tab/>
          </w:r>
          <w:r>
            <w:rPr>
              <w:rFonts w:hint="eastAsia" w:ascii="仿宋_GB2312" w:eastAsia="仿宋_GB2312" w:hAnsiTheme="majorEastAsia"/>
              <w:sz w:val="24"/>
            </w:rPr>
            <w:fldChar w:fldCharType="begin"/>
          </w:r>
          <w:r>
            <w:rPr>
              <w:rFonts w:hint="eastAsia" w:ascii="仿宋_GB2312" w:eastAsia="仿宋_GB2312" w:hAnsiTheme="majorEastAsia"/>
              <w:sz w:val="24"/>
            </w:rPr>
            <w:instrText xml:space="preserve"> PAGEREF _Toc176511725 \h </w:instrText>
          </w:r>
          <w:r>
            <w:rPr>
              <w:rFonts w:hint="eastAsia" w:ascii="仿宋_GB2312" w:eastAsia="仿宋_GB2312" w:hAnsiTheme="majorEastAsia"/>
              <w:sz w:val="24"/>
            </w:rPr>
            <w:fldChar w:fldCharType="separate"/>
          </w:r>
          <w:r>
            <w:rPr>
              <w:rFonts w:ascii="仿宋_GB2312" w:eastAsia="仿宋_GB2312" w:hAnsiTheme="majorEastAsia"/>
              <w:sz w:val="24"/>
            </w:rPr>
            <w:t>7</w:t>
          </w:r>
          <w:r>
            <w:rPr>
              <w:rFonts w:hint="eastAsia" w:ascii="仿宋_GB2312" w:eastAsia="仿宋_GB2312" w:hAnsiTheme="majorEastAsia"/>
              <w:sz w:val="24"/>
            </w:rPr>
            <w:fldChar w:fldCharType="end"/>
          </w:r>
          <w:r>
            <w:rPr>
              <w:rFonts w:hint="eastAsia" w:ascii="仿宋_GB2312" w:eastAsia="仿宋_GB2312" w:hAnsiTheme="majorEastAsia"/>
              <w:sz w:val="24"/>
            </w:rPr>
            <w:fldChar w:fldCharType="end"/>
          </w:r>
        </w:p>
        <w:p>
          <w:pPr>
            <w:pStyle w:val="13"/>
            <w:jc w:val="center"/>
            <w:rPr>
              <w:rFonts w:asciiTheme="majorEastAsia" w:hAnsiTheme="majorEastAsia" w:eastAsiaTheme="majorEastAsia" w:cstheme="minorBidi"/>
              <w:b/>
              <w:sz w:val="24"/>
            </w:rPr>
          </w:pPr>
          <w:r>
            <w:fldChar w:fldCharType="begin"/>
          </w:r>
          <w:r>
            <w:instrText xml:space="preserve"> HYPERLINK \l "_Toc176511726" </w:instrText>
          </w:r>
          <w:r>
            <w:fldChar w:fldCharType="separate"/>
          </w:r>
          <w:r>
            <w:rPr>
              <w:rStyle w:val="18"/>
              <w:rFonts w:hint="eastAsia" w:asciiTheme="majorEastAsia" w:hAnsiTheme="majorEastAsia" w:eastAsiaTheme="majorEastAsia"/>
              <w:b/>
              <w:sz w:val="24"/>
            </w:rPr>
            <w:t>七、</w:t>
          </w:r>
          <w:r>
            <w:rPr>
              <w:rStyle w:val="18"/>
              <w:rFonts w:hint="eastAsia" w:asciiTheme="majorEastAsia" w:hAnsiTheme="majorEastAsia" w:eastAsiaTheme="majorEastAsia" w:cstheme="majorBidi"/>
              <w:b/>
              <w:bCs/>
              <w:sz w:val="24"/>
            </w:rPr>
            <w:t>财政拨款“三公”经费支出决算情况说明</w:t>
          </w:r>
          <w:r>
            <w:rPr>
              <w:rFonts w:hint="eastAsia" w:asciiTheme="majorEastAsia" w:hAnsiTheme="majorEastAsia" w:eastAsiaTheme="majorEastAsia"/>
              <w:b/>
              <w:sz w:val="24"/>
            </w:rPr>
            <w:tab/>
          </w:r>
          <w:r>
            <w:rPr>
              <w:rFonts w:hint="eastAsia" w:ascii="仿宋_GB2312" w:eastAsia="仿宋_GB2312" w:hAnsiTheme="majorEastAsia"/>
              <w:sz w:val="24"/>
            </w:rPr>
            <w:fldChar w:fldCharType="begin"/>
          </w:r>
          <w:r>
            <w:rPr>
              <w:rFonts w:hint="eastAsia" w:ascii="仿宋_GB2312" w:eastAsia="仿宋_GB2312" w:hAnsiTheme="majorEastAsia"/>
              <w:sz w:val="24"/>
            </w:rPr>
            <w:instrText xml:space="preserve"> PAGEREF _Toc176511726 \h </w:instrText>
          </w:r>
          <w:r>
            <w:rPr>
              <w:rFonts w:hint="eastAsia" w:ascii="仿宋_GB2312" w:eastAsia="仿宋_GB2312" w:hAnsiTheme="majorEastAsia"/>
              <w:sz w:val="24"/>
            </w:rPr>
            <w:fldChar w:fldCharType="separate"/>
          </w:r>
          <w:r>
            <w:rPr>
              <w:rFonts w:ascii="仿宋_GB2312" w:eastAsia="仿宋_GB2312" w:hAnsiTheme="majorEastAsia"/>
              <w:sz w:val="24"/>
            </w:rPr>
            <w:t>8</w:t>
          </w:r>
          <w:r>
            <w:rPr>
              <w:rFonts w:hint="eastAsia" w:ascii="仿宋_GB2312" w:eastAsia="仿宋_GB2312" w:hAnsiTheme="majorEastAsia"/>
              <w:sz w:val="24"/>
            </w:rPr>
            <w:fldChar w:fldCharType="end"/>
          </w:r>
          <w:r>
            <w:rPr>
              <w:rFonts w:hint="eastAsia" w:ascii="仿宋_GB2312" w:eastAsia="仿宋_GB2312" w:hAnsiTheme="majorEastAsia"/>
              <w:sz w:val="24"/>
            </w:rPr>
            <w:fldChar w:fldCharType="end"/>
          </w:r>
        </w:p>
        <w:p>
          <w:pPr>
            <w:pStyle w:val="8"/>
            <w:jc w:val="center"/>
            <w:rPr>
              <w:rFonts w:ascii="仿宋_GB2312" w:eastAsia="仿宋_GB2312" w:hAnsiTheme="minorHAnsi" w:cstheme="minorBidi"/>
              <w:sz w:val="24"/>
            </w:rPr>
          </w:pPr>
          <w:r>
            <w:fldChar w:fldCharType="begin"/>
          </w:r>
          <w:r>
            <w:instrText xml:space="preserve"> HYPERLINK \l "_Toc176511727" </w:instrText>
          </w:r>
          <w:r>
            <w:fldChar w:fldCharType="separate"/>
          </w:r>
          <w:r>
            <w:rPr>
              <w:rStyle w:val="18"/>
              <w:rFonts w:hint="eastAsia" w:ascii="仿宋_GB2312" w:hAnsi="仿宋" w:eastAsia="仿宋_GB2312"/>
              <w:sz w:val="24"/>
            </w:rPr>
            <w:t>（一）“三公”经费财政拨款支出决算总体情况说明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_Toc176511727 \h </w:instrText>
          </w:r>
          <w:r>
            <w:rPr>
              <w:rFonts w:hint="eastAsia" w:ascii="仿宋_GB2312" w:eastAsia="仿宋_GB2312"/>
              <w:sz w:val="24"/>
            </w:rPr>
            <w:fldChar w:fldCharType="separate"/>
          </w:r>
          <w:r>
            <w:rPr>
              <w:rFonts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8"/>
            <w:jc w:val="center"/>
            <w:rPr>
              <w:rFonts w:ascii="仿宋_GB2312" w:eastAsia="仿宋_GB2312" w:hAnsiTheme="minorHAnsi" w:cstheme="minorBidi"/>
              <w:sz w:val="24"/>
            </w:rPr>
          </w:pPr>
          <w:r>
            <w:fldChar w:fldCharType="begin"/>
          </w:r>
          <w:r>
            <w:instrText xml:space="preserve"> HYPERLINK \l "_Toc176511728" </w:instrText>
          </w:r>
          <w:r>
            <w:fldChar w:fldCharType="separate"/>
          </w:r>
          <w:r>
            <w:rPr>
              <w:rStyle w:val="18"/>
              <w:rFonts w:hint="eastAsia" w:ascii="仿宋_GB2312" w:hAnsi="仿宋" w:eastAsia="仿宋_GB2312"/>
              <w:sz w:val="24"/>
            </w:rPr>
            <w:t>（二）“三公”经费财政拨款支出决算具体情况说明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_Toc176511728 \h </w:instrText>
          </w:r>
          <w:r>
            <w:rPr>
              <w:rFonts w:hint="eastAsia" w:ascii="仿宋_GB2312" w:eastAsia="仿宋_GB2312"/>
              <w:sz w:val="24"/>
            </w:rPr>
            <w:fldChar w:fldCharType="separate"/>
          </w:r>
          <w:r>
            <w:rPr>
              <w:rFonts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13"/>
            <w:jc w:val="center"/>
            <w:rPr>
              <w:rFonts w:asciiTheme="majorEastAsia" w:hAnsiTheme="majorEastAsia" w:eastAsiaTheme="majorEastAsia" w:cstheme="minorBidi"/>
              <w:b/>
              <w:sz w:val="24"/>
            </w:rPr>
          </w:pPr>
          <w:r>
            <w:fldChar w:fldCharType="begin"/>
          </w:r>
          <w:r>
            <w:instrText xml:space="preserve"> HYPERLINK \l "_Toc176511729" </w:instrText>
          </w:r>
          <w:r>
            <w:fldChar w:fldCharType="separate"/>
          </w:r>
          <w:r>
            <w:rPr>
              <w:rStyle w:val="18"/>
              <w:rFonts w:hint="eastAsia" w:asciiTheme="majorEastAsia" w:hAnsiTheme="majorEastAsia" w:eastAsiaTheme="majorEastAsia"/>
              <w:b/>
              <w:sz w:val="24"/>
            </w:rPr>
            <w:t>八、</w:t>
          </w:r>
          <w:r>
            <w:rPr>
              <w:rStyle w:val="18"/>
              <w:rFonts w:hint="eastAsia" w:asciiTheme="majorEastAsia" w:hAnsiTheme="majorEastAsia" w:eastAsiaTheme="majorEastAsia" w:cstheme="majorBidi"/>
              <w:b/>
              <w:bCs/>
              <w:sz w:val="24"/>
            </w:rPr>
            <w:t>政府性基金预算支出决算情况说明</w:t>
          </w:r>
          <w:r>
            <w:rPr>
              <w:rFonts w:hint="eastAsia" w:asciiTheme="majorEastAsia" w:hAnsiTheme="majorEastAsia" w:eastAsiaTheme="majorEastAsia"/>
              <w:b/>
              <w:sz w:val="24"/>
            </w:rPr>
            <w:tab/>
          </w:r>
          <w:r>
            <w:rPr>
              <w:rFonts w:hint="eastAsia" w:ascii="仿宋_GB2312" w:eastAsia="仿宋_GB2312" w:hAnsiTheme="majorEastAsia"/>
              <w:sz w:val="24"/>
            </w:rPr>
            <w:fldChar w:fldCharType="begin"/>
          </w:r>
          <w:r>
            <w:rPr>
              <w:rFonts w:hint="eastAsia" w:ascii="仿宋_GB2312" w:eastAsia="仿宋_GB2312" w:hAnsiTheme="majorEastAsia"/>
              <w:sz w:val="24"/>
            </w:rPr>
            <w:instrText xml:space="preserve"> PAGEREF _Toc176511729 \h </w:instrText>
          </w:r>
          <w:r>
            <w:rPr>
              <w:rFonts w:hint="eastAsia" w:ascii="仿宋_GB2312" w:eastAsia="仿宋_GB2312" w:hAnsiTheme="majorEastAsia"/>
              <w:sz w:val="24"/>
            </w:rPr>
            <w:fldChar w:fldCharType="separate"/>
          </w:r>
          <w:r>
            <w:rPr>
              <w:rFonts w:ascii="仿宋_GB2312" w:eastAsia="仿宋_GB2312" w:hAnsiTheme="majorEastAsia"/>
              <w:sz w:val="24"/>
            </w:rPr>
            <w:t>10</w:t>
          </w:r>
          <w:r>
            <w:rPr>
              <w:rFonts w:hint="eastAsia" w:ascii="仿宋_GB2312" w:eastAsia="仿宋_GB2312" w:hAnsiTheme="majorEastAsia"/>
              <w:sz w:val="24"/>
            </w:rPr>
            <w:fldChar w:fldCharType="end"/>
          </w:r>
          <w:r>
            <w:rPr>
              <w:rFonts w:hint="eastAsia" w:ascii="仿宋_GB2312" w:eastAsia="仿宋_GB2312" w:hAnsiTheme="majorEastAsia"/>
              <w:sz w:val="24"/>
            </w:rPr>
            <w:fldChar w:fldCharType="end"/>
          </w:r>
        </w:p>
        <w:p>
          <w:pPr>
            <w:pStyle w:val="13"/>
            <w:jc w:val="center"/>
            <w:rPr>
              <w:rFonts w:asciiTheme="majorEastAsia" w:hAnsiTheme="majorEastAsia" w:eastAsiaTheme="majorEastAsia" w:cstheme="minorBidi"/>
              <w:b/>
              <w:sz w:val="24"/>
            </w:rPr>
          </w:pPr>
          <w:r>
            <w:fldChar w:fldCharType="begin"/>
          </w:r>
          <w:r>
            <w:instrText xml:space="preserve"> HYPERLINK \l "_Toc176511730" </w:instrText>
          </w:r>
          <w:r>
            <w:fldChar w:fldCharType="separate"/>
          </w:r>
          <w:r>
            <w:rPr>
              <w:rStyle w:val="18"/>
              <w:rFonts w:hint="eastAsia" w:asciiTheme="majorEastAsia" w:hAnsiTheme="majorEastAsia" w:eastAsiaTheme="majorEastAsia" w:cstheme="majorBidi"/>
              <w:b/>
              <w:bCs/>
              <w:sz w:val="24"/>
            </w:rPr>
            <w:t>九、 国有资本经营预算支出决算情况说明</w:t>
          </w:r>
          <w:r>
            <w:rPr>
              <w:rFonts w:hint="eastAsia" w:asciiTheme="majorEastAsia" w:hAnsiTheme="majorEastAsia" w:eastAsiaTheme="majorEastAsia"/>
              <w:b/>
              <w:sz w:val="24"/>
            </w:rPr>
            <w:tab/>
          </w:r>
          <w:r>
            <w:rPr>
              <w:rFonts w:hint="eastAsia" w:ascii="仿宋_GB2312" w:eastAsia="仿宋_GB2312" w:hAnsiTheme="majorEastAsia"/>
              <w:sz w:val="24"/>
            </w:rPr>
            <w:fldChar w:fldCharType="begin"/>
          </w:r>
          <w:r>
            <w:rPr>
              <w:rFonts w:hint="eastAsia" w:ascii="仿宋_GB2312" w:eastAsia="仿宋_GB2312" w:hAnsiTheme="majorEastAsia"/>
              <w:sz w:val="24"/>
            </w:rPr>
            <w:instrText xml:space="preserve"> PAGEREF _Toc176511730 \h </w:instrText>
          </w:r>
          <w:r>
            <w:rPr>
              <w:rFonts w:hint="eastAsia" w:ascii="仿宋_GB2312" w:eastAsia="仿宋_GB2312" w:hAnsiTheme="majorEastAsia"/>
              <w:sz w:val="24"/>
            </w:rPr>
            <w:fldChar w:fldCharType="separate"/>
          </w:r>
          <w:r>
            <w:rPr>
              <w:rFonts w:ascii="仿宋_GB2312" w:eastAsia="仿宋_GB2312" w:hAnsiTheme="majorEastAsia"/>
              <w:sz w:val="24"/>
            </w:rPr>
            <w:t>10</w:t>
          </w:r>
          <w:r>
            <w:rPr>
              <w:rFonts w:hint="eastAsia" w:ascii="仿宋_GB2312" w:eastAsia="仿宋_GB2312" w:hAnsiTheme="majorEastAsia"/>
              <w:sz w:val="24"/>
            </w:rPr>
            <w:fldChar w:fldCharType="end"/>
          </w:r>
          <w:r>
            <w:rPr>
              <w:rFonts w:hint="eastAsia" w:ascii="仿宋_GB2312" w:eastAsia="仿宋_GB2312" w:hAnsiTheme="majorEastAsia"/>
              <w:sz w:val="24"/>
            </w:rPr>
            <w:fldChar w:fldCharType="end"/>
          </w:r>
        </w:p>
        <w:p>
          <w:pPr>
            <w:pStyle w:val="13"/>
            <w:jc w:val="center"/>
            <w:rPr>
              <w:rFonts w:asciiTheme="majorEastAsia" w:hAnsiTheme="majorEastAsia" w:eastAsiaTheme="majorEastAsia" w:cstheme="minorBidi"/>
              <w:b/>
              <w:sz w:val="24"/>
            </w:rPr>
          </w:pPr>
          <w:r>
            <w:fldChar w:fldCharType="begin"/>
          </w:r>
          <w:r>
            <w:instrText xml:space="preserve"> HYPERLINK \l "_Toc176511731" </w:instrText>
          </w:r>
          <w:r>
            <w:fldChar w:fldCharType="separate"/>
          </w:r>
          <w:r>
            <w:rPr>
              <w:rStyle w:val="18"/>
              <w:rFonts w:hint="eastAsia" w:asciiTheme="majorEastAsia" w:hAnsiTheme="majorEastAsia" w:eastAsiaTheme="majorEastAsia" w:cstheme="majorBidi"/>
              <w:b/>
              <w:bCs/>
              <w:sz w:val="24"/>
            </w:rPr>
            <w:t>十、 其他重要事项的情况说明</w:t>
          </w:r>
          <w:r>
            <w:rPr>
              <w:rFonts w:hint="eastAsia" w:asciiTheme="majorEastAsia" w:hAnsiTheme="majorEastAsia" w:eastAsiaTheme="majorEastAsia"/>
              <w:b/>
              <w:sz w:val="24"/>
            </w:rPr>
            <w:tab/>
          </w:r>
          <w:r>
            <w:rPr>
              <w:rFonts w:hint="eastAsia" w:ascii="仿宋_GB2312" w:eastAsia="仿宋_GB2312" w:hAnsiTheme="majorEastAsia"/>
              <w:sz w:val="24"/>
            </w:rPr>
            <w:fldChar w:fldCharType="begin"/>
          </w:r>
          <w:r>
            <w:rPr>
              <w:rFonts w:hint="eastAsia" w:ascii="仿宋_GB2312" w:eastAsia="仿宋_GB2312" w:hAnsiTheme="majorEastAsia"/>
              <w:sz w:val="24"/>
            </w:rPr>
            <w:instrText xml:space="preserve"> PAGEREF _Toc176511731 \h </w:instrText>
          </w:r>
          <w:r>
            <w:rPr>
              <w:rFonts w:hint="eastAsia" w:ascii="仿宋_GB2312" w:eastAsia="仿宋_GB2312" w:hAnsiTheme="majorEastAsia"/>
              <w:sz w:val="24"/>
            </w:rPr>
            <w:fldChar w:fldCharType="separate"/>
          </w:r>
          <w:r>
            <w:rPr>
              <w:rFonts w:ascii="仿宋_GB2312" w:eastAsia="仿宋_GB2312" w:hAnsiTheme="majorEastAsia"/>
              <w:sz w:val="24"/>
            </w:rPr>
            <w:t>10</w:t>
          </w:r>
          <w:r>
            <w:rPr>
              <w:rFonts w:hint="eastAsia" w:ascii="仿宋_GB2312" w:eastAsia="仿宋_GB2312" w:hAnsiTheme="majorEastAsia"/>
              <w:sz w:val="24"/>
            </w:rPr>
            <w:fldChar w:fldCharType="end"/>
          </w:r>
          <w:r>
            <w:rPr>
              <w:rFonts w:hint="eastAsia" w:ascii="仿宋_GB2312" w:eastAsia="仿宋_GB2312" w:hAnsiTheme="majorEastAsia"/>
              <w:sz w:val="24"/>
            </w:rPr>
            <w:fldChar w:fldCharType="end"/>
          </w:r>
        </w:p>
        <w:p>
          <w:pPr>
            <w:pStyle w:val="8"/>
            <w:jc w:val="center"/>
            <w:rPr>
              <w:rFonts w:hint="eastAsia" w:ascii="仿宋_GB2312" w:eastAsia="仿宋_GB2312" w:hAnsiTheme="minorEastAsia" w:cstheme="minorBidi"/>
              <w:sz w:val="24"/>
            </w:rPr>
          </w:pPr>
          <w:r>
            <w:fldChar w:fldCharType="begin"/>
          </w:r>
          <w:r>
            <w:instrText xml:space="preserve"> HYPERLINK \l "_Toc176511732" </w:instrText>
          </w:r>
          <w:r>
            <w:fldChar w:fldCharType="separate"/>
          </w:r>
          <w:r>
            <w:rPr>
              <w:rStyle w:val="18"/>
              <w:rFonts w:hint="eastAsia" w:ascii="仿宋_GB2312" w:eastAsia="仿宋_GB2312" w:hAnsiTheme="minorEastAsia"/>
              <w:sz w:val="24"/>
            </w:rPr>
            <w:t>（一）机关运行经费支出情况</w:t>
          </w:r>
          <w:r>
            <w:rPr>
              <w:rFonts w:hint="eastAsia" w:ascii="仿宋_GB2312" w:eastAsia="仿宋_GB2312" w:hAnsiTheme="minorEastAsia"/>
              <w:sz w:val="24"/>
            </w:rPr>
            <w:tab/>
          </w:r>
          <w:r>
            <w:rPr>
              <w:rFonts w:hint="eastAsia" w:ascii="仿宋_GB2312" w:eastAsia="仿宋_GB2312" w:hAnsiTheme="minorEastAsia"/>
              <w:sz w:val="24"/>
            </w:rPr>
            <w:fldChar w:fldCharType="begin"/>
          </w:r>
          <w:r>
            <w:rPr>
              <w:rFonts w:hint="eastAsia" w:ascii="仿宋_GB2312" w:eastAsia="仿宋_GB2312" w:hAnsiTheme="minorEastAsia"/>
              <w:sz w:val="24"/>
            </w:rPr>
            <w:instrText xml:space="preserve"> PAGEREF _Toc176511732 \h </w:instrText>
          </w:r>
          <w:r>
            <w:rPr>
              <w:rFonts w:hint="eastAsia" w:ascii="仿宋_GB2312" w:eastAsia="仿宋_GB2312" w:hAnsiTheme="minorEastAsia"/>
              <w:sz w:val="24"/>
            </w:rPr>
            <w:fldChar w:fldCharType="separate"/>
          </w:r>
          <w:r>
            <w:rPr>
              <w:rFonts w:hint="eastAsia" w:ascii="仿宋_GB2312" w:eastAsia="仿宋_GB2312" w:hAnsiTheme="minorEastAsia"/>
              <w:sz w:val="24"/>
            </w:rPr>
            <w:t>10</w:t>
          </w:r>
          <w:r>
            <w:rPr>
              <w:rFonts w:hint="eastAsia" w:ascii="仿宋_GB2312" w:eastAsia="仿宋_GB2312" w:hAnsiTheme="minorEastAsia"/>
              <w:sz w:val="24"/>
            </w:rPr>
            <w:fldChar w:fldCharType="end"/>
          </w:r>
          <w:r>
            <w:rPr>
              <w:rFonts w:hint="eastAsia" w:ascii="仿宋_GB2312" w:eastAsia="仿宋_GB2312" w:hAnsiTheme="minorEastAsia"/>
              <w:sz w:val="24"/>
            </w:rPr>
            <w:fldChar w:fldCharType="end"/>
          </w:r>
        </w:p>
        <w:p>
          <w:pPr>
            <w:pStyle w:val="8"/>
            <w:jc w:val="center"/>
            <w:rPr>
              <w:rFonts w:hint="eastAsia" w:ascii="仿宋_GB2312" w:eastAsia="仿宋_GB2312" w:hAnsiTheme="minorEastAsia" w:cstheme="minorBidi"/>
              <w:sz w:val="24"/>
            </w:rPr>
          </w:pPr>
          <w:r>
            <w:fldChar w:fldCharType="begin"/>
          </w:r>
          <w:r>
            <w:instrText xml:space="preserve"> HYPERLINK \l "_Toc176511733" </w:instrText>
          </w:r>
          <w:r>
            <w:fldChar w:fldCharType="separate"/>
          </w:r>
          <w:r>
            <w:rPr>
              <w:rStyle w:val="18"/>
              <w:rFonts w:hint="eastAsia" w:ascii="仿宋_GB2312" w:eastAsia="仿宋_GB2312" w:hAnsiTheme="minorEastAsia"/>
              <w:sz w:val="24"/>
            </w:rPr>
            <w:t>（二）政府采购支出情况</w:t>
          </w:r>
          <w:r>
            <w:rPr>
              <w:rFonts w:hint="eastAsia" w:ascii="仿宋_GB2312" w:eastAsia="仿宋_GB2312" w:hAnsiTheme="minorEastAsia"/>
              <w:sz w:val="24"/>
            </w:rPr>
            <w:tab/>
          </w:r>
          <w:r>
            <w:rPr>
              <w:rFonts w:hint="eastAsia" w:ascii="仿宋_GB2312" w:eastAsia="仿宋_GB2312" w:hAnsiTheme="minorEastAsia"/>
              <w:sz w:val="24"/>
            </w:rPr>
            <w:fldChar w:fldCharType="begin"/>
          </w:r>
          <w:r>
            <w:rPr>
              <w:rFonts w:hint="eastAsia" w:ascii="仿宋_GB2312" w:eastAsia="仿宋_GB2312" w:hAnsiTheme="minorEastAsia"/>
              <w:sz w:val="24"/>
            </w:rPr>
            <w:instrText xml:space="preserve"> PAGEREF _Toc176511733 \h </w:instrText>
          </w:r>
          <w:r>
            <w:rPr>
              <w:rFonts w:hint="eastAsia" w:ascii="仿宋_GB2312" w:eastAsia="仿宋_GB2312" w:hAnsiTheme="minorEastAsia"/>
              <w:sz w:val="24"/>
            </w:rPr>
            <w:fldChar w:fldCharType="separate"/>
          </w:r>
          <w:r>
            <w:rPr>
              <w:rFonts w:hint="eastAsia" w:ascii="仿宋_GB2312" w:eastAsia="仿宋_GB2312" w:hAnsiTheme="minorEastAsia"/>
              <w:sz w:val="24"/>
            </w:rPr>
            <w:t>11</w:t>
          </w:r>
          <w:r>
            <w:rPr>
              <w:rFonts w:hint="eastAsia" w:ascii="仿宋_GB2312" w:eastAsia="仿宋_GB2312" w:hAnsiTheme="minorEastAsia"/>
              <w:sz w:val="24"/>
            </w:rPr>
            <w:fldChar w:fldCharType="end"/>
          </w:r>
          <w:r>
            <w:rPr>
              <w:rFonts w:hint="eastAsia" w:ascii="仿宋_GB2312" w:eastAsia="仿宋_GB2312" w:hAnsiTheme="minorEastAsia"/>
              <w:sz w:val="24"/>
            </w:rPr>
            <w:fldChar w:fldCharType="end"/>
          </w:r>
        </w:p>
        <w:p>
          <w:pPr>
            <w:pStyle w:val="8"/>
            <w:jc w:val="center"/>
            <w:rPr>
              <w:rFonts w:hint="eastAsia" w:ascii="仿宋_GB2312" w:eastAsia="仿宋_GB2312" w:hAnsiTheme="minorEastAsia" w:cstheme="minorBidi"/>
              <w:sz w:val="24"/>
            </w:rPr>
          </w:pPr>
          <w:r>
            <w:fldChar w:fldCharType="begin"/>
          </w:r>
          <w:r>
            <w:instrText xml:space="preserve"> HYPERLINK \l "_Toc176511734" </w:instrText>
          </w:r>
          <w:r>
            <w:fldChar w:fldCharType="separate"/>
          </w:r>
          <w:r>
            <w:rPr>
              <w:rStyle w:val="18"/>
              <w:rFonts w:hint="eastAsia" w:ascii="仿宋_GB2312" w:eastAsia="仿宋_GB2312" w:hAnsiTheme="minorEastAsia"/>
              <w:sz w:val="24"/>
            </w:rPr>
            <w:t>（三）国有资产占有使用情况</w:t>
          </w:r>
          <w:r>
            <w:rPr>
              <w:rFonts w:hint="eastAsia" w:ascii="仿宋_GB2312" w:eastAsia="仿宋_GB2312" w:hAnsiTheme="minorEastAsia"/>
              <w:sz w:val="24"/>
            </w:rPr>
            <w:tab/>
          </w:r>
          <w:r>
            <w:rPr>
              <w:rFonts w:hint="eastAsia" w:ascii="仿宋_GB2312" w:eastAsia="仿宋_GB2312" w:hAnsiTheme="minorEastAsia"/>
              <w:sz w:val="24"/>
            </w:rPr>
            <w:fldChar w:fldCharType="begin"/>
          </w:r>
          <w:r>
            <w:rPr>
              <w:rFonts w:hint="eastAsia" w:ascii="仿宋_GB2312" w:eastAsia="仿宋_GB2312" w:hAnsiTheme="minorEastAsia"/>
              <w:sz w:val="24"/>
            </w:rPr>
            <w:instrText xml:space="preserve"> PAGEREF _Toc176511734 \h </w:instrText>
          </w:r>
          <w:r>
            <w:rPr>
              <w:rFonts w:hint="eastAsia" w:ascii="仿宋_GB2312" w:eastAsia="仿宋_GB2312" w:hAnsiTheme="minorEastAsia"/>
              <w:sz w:val="24"/>
            </w:rPr>
            <w:fldChar w:fldCharType="separate"/>
          </w:r>
          <w:r>
            <w:rPr>
              <w:rFonts w:hint="eastAsia" w:ascii="仿宋_GB2312" w:eastAsia="仿宋_GB2312" w:hAnsiTheme="minorEastAsia"/>
              <w:sz w:val="24"/>
            </w:rPr>
            <w:t>11</w:t>
          </w:r>
          <w:r>
            <w:rPr>
              <w:rFonts w:hint="eastAsia" w:ascii="仿宋_GB2312" w:eastAsia="仿宋_GB2312" w:hAnsiTheme="minorEastAsia"/>
              <w:sz w:val="24"/>
            </w:rPr>
            <w:fldChar w:fldCharType="end"/>
          </w:r>
          <w:r>
            <w:rPr>
              <w:rFonts w:hint="eastAsia" w:ascii="仿宋_GB2312" w:eastAsia="仿宋_GB2312" w:hAnsiTheme="minorEastAsia"/>
              <w:sz w:val="24"/>
            </w:rPr>
            <w:fldChar w:fldCharType="end"/>
          </w:r>
        </w:p>
        <w:p>
          <w:pPr>
            <w:pStyle w:val="8"/>
            <w:jc w:val="center"/>
            <w:rPr>
              <w:rFonts w:hint="eastAsia" w:ascii="仿宋_GB2312" w:eastAsia="仿宋_GB2312" w:hAnsiTheme="minorEastAsia" w:cstheme="minorBidi"/>
              <w:sz w:val="24"/>
            </w:rPr>
          </w:pPr>
          <w:r>
            <w:fldChar w:fldCharType="begin"/>
          </w:r>
          <w:r>
            <w:instrText xml:space="preserve"> HYPERLINK \l "_Toc176511735" </w:instrText>
          </w:r>
          <w:r>
            <w:fldChar w:fldCharType="separate"/>
          </w:r>
          <w:r>
            <w:rPr>
              <w:rStyle w:val="18"/>
              <w:rFonts w:hint="eastAsia" w:ascii="仿宋_GB2312" w:eastAsia="仿宋_GB2312" w:hAnsiTheme="minorEastAsia"/>
              <w:sz w:val="24"/>
            </w:rPr>
            <w:t>（四）预算绩效管理情况</w:t>
          </w:r>
          <w:r>
            <w:rPr>
              <w:rFonts w:hint="eastAsia" w:ascii="仿宋_GB2312" w:eastAsia="仿宋_GB2312" w:hAnsiTheme="minorEastAsia"/>
              <w:sz w:val="24"/>
            </w:rPr>
            <w:tab/>
          </w:r>
          <w:r>
            <w:rPr>
              <w:rFonts w:hint="eastAsia" w:ascii="仿宋_GB2312" w:eastAsia="仿宋_GB2312" w:hAnsiTheme="minorEastAsia"/>
              <w:sz w:val="24"/>
            </w:rPr>
            <w:fldChar w:fldCharType="begin"/>
          </w:r>
          <w:r>
            <w:rPr>
              <w:rFonts w:hint="eastAsia" w:ascii="仿宋_GB2312" w:eastAsia="仿宋_GB2312" w:hAnsiTheme="minorEastAsia"/>
              <w:sz w:val="24"/>
            </w:rPr>
            <w:instrText xml:space="preserve"> PAGEREF _Toc176511735 \h </w:instrText>
          </w:r>
          <w:r>
            <w:rPr>
              <w:rFonts w:hint="eastAsia" w:ascii="仿宋_GB2312" w:eastAsia="仿宋_GB2312" w:hAnsiTheme="minorEastAsia"/>
              <w:sz w:val="24"/>
            </w:rPr>
            <w:fldChar w:fldCharType="separate"/>
          </w:r>
          <w:r>
            <w:rPr>
              <w:rFonts w:hint="eastAsia" w:ascii="仿宋_GB2312" w:eastAsia="仿宋_GB2312" w:hAnsiTheme="minorEastAsia"/>
              <w:sz w:val="24"/>
            </w:rPr>
            <w:t>11</w:t>
          </w:r>
          <w:r>
            <w:rPr>
              <w:rFonts w:hint="eastAsia" w:ascii="仿宋_GB2312" w:eastAsia="仿宋_GB2312" w:hAnsiTheme="minorEastAsia"/>
              <w:sz w:val="24"/>
            </w:rPr>
            <w:fldChar w:fldCharType="end"/>
          </w:r>
          <w:r>
            <w:rPr>
              <w:rFonts w:hint="eastAsia" w:ascii="仿宋_GB2312" w:eastAsia="仿宋_GB2312" w:hAnsiTheme="minorEastAsia"/>
              <w:sz w:val="24"/>
            </w:rPr>
            <w:fldChar w:fldCharType="end"/>
          </w:r>
        </w:p>
        <w:p>
          <w:pPr>
            <w:pStyle w:val="12"/>
            <w:rPr>
              <w:rStyle w:val="18"/>
              <w:rFonts w:ascii="仿宋_GB2312" w:eastAsia="仿宋_GB2312"/>
              <w:b/>
            </w:rPr>
          </w:pPr>
          <w:r>
            <w:fldChar w:fldCharType="begin"/>
          </w:r>
          <w:r>
            <w:instrText xml:space="preserve"> HYPERLINK \l "_Toc176511736" </w:instrText>
          </w:r>
          <w:r>
            <w:fldChar w:fldCharType="separate"/>
          </w:r>
          <w:r>
            <w:rPr>
              <w:rStyle w:val="18"/>
              <w:rFonts w:hint="eastAsia" w:ascii="仿宋_GB2312" w:eastAsia="仿宋_GB2312"/>
              <w:b/>
            </w:rPr>
            <w:t>第三部分 名词解释</w:t>
          </w:r>
          <w:r>
            <w:rPr>
              <w:rFonts w:hint="eastAsia" w:ascii="仿宋_GB2312" w:eastAsia="仿宋_GB2312"/>
              <w:b/>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_Toc176511736 \h </w:instrText>
          </w:r>
          <w:r>
            <w:rPr>
              <w:rFonts w:hint="eastAsia" w:ascii="仿宋_GB2312" w:eastAsia="仿宋_GB2312"/>
              <w:sz w:val="24"/>
              <w:szCs w:val="24"/>
            </w:rPr>
            <w:fldChar w:fldCharType="separate"/>
          </w:r>
          <w:r>
            <w:rPr>
              <w:rFonts w:ascii="仿宋_GB2312" w:eastAsia="仿宋_GB2312"/>
              <w:sz w:val="24"/>
              <w:szCs w:val="24"/>
            </w:rPr>
            <w:t>12</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2"/>
            <w:rPr>
              <w:rFonts w:ascii="仿宋_GB2312" w:eastAsia="仿宋_GB2312" w:hAnsiTheme="minorHAnsi" w:cstheme="minorBidi"/>
              <w:b/>
            </w:rPr>
          </w:pPr>
          <w:r>
            <w:fldChar w:fldCharType="begin"/>
          </w:r>
          <w:r>
            <w:instrText xml:space="preserve"> HYPERLINK \l "_Toc176511749" </w:instrText>
          </w:r>
          <w:r>
            <w:fldChar w:fldCharType="separate"/>
          </w:r>
          <w:r>
            <w:rPr>
              <w:rStyle w:val="18"/>
              <w:rFonts w:hint="eastAsia" w:ascii="仿宋_GB2312" w:eastAsia="仿宋_GB2312"/>
              <w:b/>
            </w:rPr>
            <w:t>第四部分 附件</w:t>
          </w:r>
          <w:r>
            <w:rPr>
              <w:rFonts w:hint="eastAsia" w:ascii="仿宋_GB2312" w:eastAsia="仿宋_GB2312"/>
              <w:b/>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_Toc176511749 \h </w:instrText>
          </w:r>
          <w:r>
            <w:rPr>
              <w:rFonts w:hint="eastAsia" w:ascii="仿宋_GB2312" w:eastAsia="仿宋_GB2312"/>
              <w:sz w:val="24"/>
              <w:szCs w:val="24"/>
            </w:rPr>
            <w:fldChar w:fldCharType="separate"/>
          </w:r>
          <w:r>
            <w:rPr>
              <w:rFonts w:ascii="仿宋_GB2312" w:eastAsia="仿宋_GB2312"/>
              <w:sz w:val="24"/>
              <w:szCs w:val="24"/>
            </w:rPr>
            <w:t>15</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2"/>
            <w:rPr>
              <w:rStyle w:val="18"/>
              <w:rFonts w:ascii="仿宋_GB2312" w:eastAsia="仿宋_GB2312"/>
              <w:b/>
            </w:rPr>
          </w:pPr>
          <w:r>
            <w:fldChar w:fldCharType="begin"/>
          </w:r>
          <w:r>
            <w:instrText xml:space="preserve"> HYPERLINK \l "_Toc176511751" </w:instrText>
          </w:r>
          <w:r>
            <w:fldChar w:fldCharType="separate"/>
          </w:r>
          <w:r>
            <w:rPr>
              <w:rStyle w:val="18"/>
              <w:rFonts w:hint="eastAsia" w:ascii="仿宋_GB2312" w:eastAsia="仿宋_GB2312"/>
              <w:b/>
            </w:rPr>
            <w:t>第五部分 附表</w:t>
          </w:r>
          <w:r>
            <w:rPr>
              <w:rFonts w:hint="eastAsia" w:ascii="仿宋_GB2312" w:eastAsia="仿宋_GB2312"/>
              <w:b/>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_Toc176511751 \h </w:instrText>
          </w:r>
          <w:r>
            <w:rPr>
              <w:rFonts w:hint="eastAsia" w:ascii="仿宋_GB2312" w:eastAsia="仿宋_GB2312"/>
              <w:sz w:val="24"/>
              <w:szCs w:val="24"/>
            </w:rPr>
            <w:fldChar w:fldCharType="separate"/>
          </w:r>
          <w:r>
            <w:rPr>
              <w:rFonts w:ascii="仿宋_GB2312" w:eastAsia="仿宋_GB2312"/>
              <w:sz w:val="24"/>
              <w:szCs w:val="24"/>
            </w:rPr>
            <w:t>16</w:t>
          </w:r>
          <w:r>
            <w:rPr>
              <w:rFonts w:hint="eastAsia" w:ascii="仿宋_GB2312" w:eastAsia="仿宋_GB2312"/>
              <w:sz w:val="24"/>
              <w:szCs w:val="24"/>
            </w:rPr>
            <w:fldChar w:fldCharType="end"/>
          </w:r>
          <w:r>
            <w:rPr>
              <w:rFonts w:hint="eastAsia" w:ascii="仿宋_GB2312" w:eastAsia="仿宋_GB2312"/>
              <w:sz w:val="24"/>
              <w:szCs w:val="24"/>
            </w:rPr>
            <w:fldChar w:fldCharType="end"/>
          </w:r>
        </w:p>
        <w:p>
          <w:pPr>
            <w:rPr>
              <w:rFonts w:ascii="仿宋_GB2312" w:eastAsia="仿宋_GB2312"/>
              <w:sz w:val="24"/>
            </w:rPr>
          </w:pPr>
          <w:r>
            <w:rPr>
              <w:rFonts w:hint="eastAsia" w:ascii="仿宋_GB2312" w:eastAsia="仿宋_GB2312"/>
              <w:sz w:val="24"/>
            </w:rPr>
            <w:t>一、收</w:t>
          </w:r>
          <w:r>
            <w:rPr>
              <w:rFonts w:hint="eastAsia" w:ascii="仿宋_GB2312" w:eastAsia="仿宋_GB2312"/>
              <w:bCs/>
              <w:sz w:val="24"/>
            </w:rPr>
            <w:t>入支出决算总表</w:t>
          </w:r>
        </w:p>
        <w:p>
          <w:pPr>
            <w:rPr>
              <w:rFonts w:ascii="仿宋_GB2312" w:eastAsia="仿宋_GB2312"/>
              <w:sz w:val="24"/>
            </w:rPr>
          </w:pPr>
          <w:r>
            <w:rPr>
              <w:rFonts w:hint="eastAsia" w:ascii="仿宋_GB2312" w:eastAsia="仿宋_GB2312"/>
              <w:sz w:val="24"/>
            </w:rPr>
            <w:t>二、收</w:t>
          </w:r>
          <w:r>
            <w:rPr>
              <w:rFonts w:hint="eastAsia" w:ascii="仿宋_GB2312" w:eastAsia="仿宋_GB2312"/>
              <w:bCs/>
              <w:sz w:val="24"/>
            </w:rPr>
            <w:t>入决算表</w:t>
          </w:r>
        </w:p>
        <w:p>
          <w:pPr>
            <w:rPr>
              <w:rFonts w:ascii="仿宋_GB2312" w:eastAsia="仿宋_GB2312"/>
              <w:sz w:val="24"/>
            </w:rPr>
          </w:pPr>
          <w:r>
            <w:rPr>
              <w:rFonts w:hint="eastAsia" w:ascii="仿宋_GB2312" w:eastAsia="仿宋_GB2312"/>
              <w:bCs/>
              <w:sz w:val="24"/>
            </w:rPr>
            <w:t>三、</w:t>
          </w:r>
          <w:r>
            <w:rPr>
              <w:rFonts w:hint="eastAsia" w:ascii="仿宋_GB2312" w:eastAsia="仿宋_GB2312"/>
              <w:sz w:val="24"/>
            </w:rPr>
            <w:t>支</w:t>
          </w:r>
          <w:r>
            <w:rPr>
              <w:rFonts w:hint="eastAsia" w:ascii="仿宋_GB2312" w:eastAsia="仿宋_GB2312"/>
              <w:bCs/>
              <w:sz w:val="24"/>
            </w:rPr>
            <w:t>出决算表</w:t>
          </w:r>
        </w:p>
        <w:p>
          <w:pPr>
            <w:rPr>
              <w:rFonts w:ascii="仿宋_GB2312" w:eastAsia="仿宋_GB2312"/>
              <w:sz w:val="24"/>
            </w:rPr>
          </w:pPr>
          <w:r>
            <w:rPr>
              <w:rFonts w:hint="eastAsia" w:ascii="仿宋_GB2312" w:eastAsia="仿宋_GB2312"/>
              <w:bCs/>
              <w:sz w:val="24"/>
            </w:rPr>
            <w:t>四、</w:t>
          </w:r>
          <w:r>
            <w:rPr>
              <w:rFonts w:hint="eastAsia" w:ascii="仿宋_GB2312" w:eastAsia="仿宋_GB2312"/>
              <w:sz w:val="24"/>
            </w:rPr>
            <w:t>财</w:t>
          </w:r>
          <w:r>
            <w:rPr>
              <w:rFonts w:hint="eastAsia" w:ascii="仿宋_GB2312" w:eastAsia="仿宋_GB2312"/>
              <w:bCs/>
              <w:sz w:val="24"/>
            </w:rPr>
            <w:t>政拨款收入支出决算总表</w:t>
          </w:r>
        </w:p>
        <w:p>
          <w:pPr>
            <w:rPr>
              <w:rFonts w:ascii="仿宋_GB2312" w:eastAsia="仿宋_GB2312"/>
              <w:bCs/>
              <w:sz w:val="24"/>
            </w:rPr>
          </w:pPr>
          <w:r>
            <w:rPr>
              <w:rFonts w:hint="eastAsia" w:ascii="仿宋_GB2312" w:eastAsia="仿宋_GB2312"/>
              <w:bCs/>
              <w:sz w:val="24"/>
            </w:rPr>
            <w:t>五、</w:t>
          </w:r>
          <w:r>
            <w:rPr>
              <w:rFonts w:hint="eastAsia" w:ascii="仿宋_GB2312" w:eastAsia="仿宋_GB2312"/>
              <w:sz w:val="24"/>
            </w:rPr>
            <w:t>财</w:t>
          </w:r>
          <w:r>
            <w:rPr>
              <w:rFonts w:hint="eastAsia" w:ascii="仿宋_GB2312" w:eastAsia="仿宋_GB2312"/>
              <w:bCs/>
              <w:sz w:val="24"/>
            </w:rPr>
            <w:t>政拨款支出决算明细表</w:t>
          </w:r>
        </w:p>
        <w:p>
          <w:pPr>
            <w:rPr>
              <w:rFonts w:ascii="仿宋_GB2312" w:eastAsia="仿宋_GB2312"/>
              <w:sz w:val="24"/>
            </w:rPr>
          </w:pPr>
          <w:r>
            <w:rPr>
              <w:rFonts w:hint="eastAsia" w:ascii="仿宋_GB2312" w:eastAsia="仿宋_GB2312"/>
              <w:bCs/>
              <w:sz w:val="24"/>
            </w:rPr>
            <w:t>六、</w:t>
          </w:r>
          <w:r>
            <w:rPr>
              <w:rFonts w:hint="eastAsia" w:ascii="仿宋_GB2312" w:eastAsia="仿宋_GB2312"/>
              <w:sz w:val="24"/>
            </w:rPr>
            <w:t>一</w:t>
          </w:r>
          <w:r>
            <w:rPr>
              <w:rFonts w:hint="eastAsia" w:ascii="仿宋_GB2312" w:eastAsia="仿宋_GB2312"/>
              <w:bCs/>
              <w:sz w:val="24"/>
            </w:rPr>
            <w:t>般公共预算财政拨款支出决算表</w:t>
          </w:r>
        </w:p>
        <w:p>
          <w:pPr>
            <w:rPr>
              <w:rFonts w:ascii="仿宋_GB2312" w:eastAsia="仿宋_GB2312"/>
              <w:sz w:val="24"/>
            </w:rPr>
          </w:pPr>
          <w:r>
            <w:rPr>
              <w:rFonts w:hint="eastAsia" w:ascii="仿宋_GB2312" w:eastAsia="仿宋_GB2312"/>
              <w:bCs/>
              <w:sz w:val="24"/>
            </w:rPr>
            <w:t>七、</w:t>
          </w:r>
          <w:r>
            <w:rPr>
              <w:rFonts w:hint="eastAsia" w:ascii="仿宋_GB2312" w:eastAsia="仿宋_GB2312"/>
              <w:sz w:val="24"/>
            </w:rPr>
            <w:t>一</w:t>
          </w:r>
          <w:r>
            <w:rPr>
              <w:rFonts w:hint="eastAsia" w:ascii="仿宋_GB2312" w:eastAsia="仿宋_GB2312"/>
              <w:bCs/>
              <w:sz w:val="24"/>
            </w:rPr>
            <w:t>般公共预算财政拨款支出决算明细表</w:t>
          </w:r>
        </w:p>
        <w:p>
          <w:pPr>
            <w:rPr>
              <w:rFonts w:ascii="仿宋_GB2312" w:eastAsia="仿宋_GB2312"/>
              <w:sz w:val="24"/>
            </w:rPr>
          </w:pPr>
          <w:r>
            <w:rPr>
              <w:rFonts w:hint="eastAsia" w:ascii="仿宋_GB2312" w:eastAsia="仿宋_GB2312"/>
              <w:bCs/>
              <w:sz w:val="24"/>
            </w:rPr>
            <w:t>八、</w:t>
          </w:r>
          <w:r>
            <w:rPr>
              <w:rFonts w:hint="eastAsia" w:ascii="仿宋_GB2312" w:eastAsia="仿宋_GB2312"/>
              <w:sz w:val="24"/>
            </w:rPr>
            <w:t>一</w:t>
          </w:r>
          <w:r>
            <w:rPr>
              <w:rFonts w:hint="eastAsia" w:ascii="仿宋_GB2312" w:eastAsia="仿宋_GB2312"/>
              <w:bCs/>
              <w:sz w:val="24"/>
            </w:rPr>
            <w:t>般公共预算财政拨款基本支出决算表</w:t>
          </w:r>
        </w:p>
        <w:p>
          <w:pPr>
            <w:rPr>
              <w:rFonts w:ascii="仿宋_GB2312" w:eastAsia="仿宋_GB2312"/>
              <w:sz w:val="24"/>
            </w:rPr>
          </w:pPr>
          <w:r>
            <w:rPr>
              <w:rFonts w:hint="eastAsia" w:ascii="仿宋_GB2312" w:eastAsia="仿宋_GB2312"/>
              <w:bCs/>
              <w:sz w:val="24"/>
            </w:rPr>
            <w:t>九、</w:t>
          </w:r>
          <w:r>
            <w:rPr>
              <w:rFonts w:hint="eastAsia" w:ascii="仿宋_GB2312" w:eastAsia="仿宋_GB2312"/>
              <w:sz w:val="24"/>
            </w:rPr>
            <w:t>一</w:t>
          </w:r>
          <w:r>
            <w:rPr>
              <w:rFonts w:hint="eastAsia" w:ascii="仿宋_GB2312" w:eastAsia="仿宋_GB2312"/>
              <w:bCs/>
              <w:sz w:val="24"/>
            </w:rPr>
            <w:t>般公共预算财政拨款项目支出决算表</w:t>
          </w:r>
        </w:p>
        <w:p>
          <w:pPr>
            <w:rPr>
              <w:rFonts w:ascii="仿宋_GB2312" w:eastAsia="仿宋_GB2312"/>
              <w:sz w:val="24"/>
            </w:rPr>
          </w:pPr>
          <w:r>
            <w:rPr>
              <w:rFonts w:hint="eastAsia" w:ascii="仿宋_GB2312" w:eastAsia="仿宋_GB2312"/>
              <w:bCs/>
              <w:sz w:val="24"/>
            </w:rPr>
            <w:t>十、</w:t>
          </w:r>
          <w:r>
            <w:rPr>
              <w:rFonts w:hint="eastAsia" w:ascii="仿宋_GB2312" w:eastAsia="仿宋_GB2312"/>
              <w:sz w:val="24"/>
            </w:rPr>
            <w:t>政</w:t>
          </w:r>
          <w:r>
            <w:rPr>
              <w:rFonts w:hint="eastAsia" w:ascii="仿宋_GB2312" w:eastAsia="仿宋_GB2312"/>
              <w:bCs/>
              <w:sz w:val="24"/>
            </w:rPr>
            <w:t>府性基金预算财政拨款收入支出决算表</w:t>
          </w:r>
        </w:p>
        <w:p>
          <w:pPr>
            <w:rPr>
              <w:rFonts w:ascii="仿宋_GB2312" w:eastAsia="仿宋_GB2312"/>
              <w:sz w:val="24"/>
            </w:rPr>
          </w:pPr>
          <w:r>
            <w:rPr>
              <w:rFonts w:hint="eastAsia" w:ascii="仿宋_GB2312" w:eastAsia="仿宋_GB2312"/>
              <w:bCs/>
              <w:sz w:val="24"/>
            </w:rPr>
            <w:t>十一、</w:t>
          </w:r>
          <w:r>
            <w:rPr>
              <w:rFonts w:hint="eastAsia" w:ascii="仿宋_GB2312" w:eastAsia="仿宋_GB2312"/>
              <w:sz w:val="24"/>
            </w:rPr>
            <w:t>国</w:t>
          </w:r>
          <w:r>
            <w:rPr>
              <w:rFonts w:hint="eastAsia" w:ascii="仿宋_GB2312" w:eastAsia="仿宋_GB2312"/>
              <w:bCs/>
              <w:sz w:val="24"/>
            </w:rPr>
            <w:t>有资本经营预算财政拨款收入支出决算表</w:t>
          </w:r>
        </w:p>
        <w:p>
          <w:pPr>
            <w:rPr>
              <w:rFonts w:ascii="仿宋_GB2312" w:eastAsia="仿宋_GB2312"/>
              <w:sz w:val="24"/>
            </w:rPr>
          </w:pPr>
          <w:r>
            <w:rPr>
              <w:rFonts w:hint="eastAsia" w:ascii="仿宋_GB2312" w:eastAsia="仿宋_GB2312"/>
              <w:bCs/>
              <w:sz w:val="24"/>
            </w:rPr>
            <w:t>十二、国有资本经营预算财政拨款支出决算表</w:t>
          </w:r>
        </w:p>
        <w:p>
          <w:pPr>
            <w:rPr>
              <w:rFonts w:ascii="仿宋_GB2312" w:eastAsia="仿宋_GB2312"/>
              <w:sz w:val="24"/>
            </w:rPr>
          </w:pPr>
          <w:r>
            <w:rPr>
              <w:rFonts w:hint="eastAsia" w:ascii="仿宋_GB2312" w:eastAsia="仿宋_GB2312"/>
              <w:bCs/>
              <w:sz w:val="24"/>
            </w:rPr>
            <w:t>十三、财政拨款“三公”经费支出决算表</w:t>
          </w:r>
        </w:p>
        <w:p>
          <w:pPr>
            <w:rPr>
              <w:rFonts w:ascii="仿宋_GB2312" w:eastAsia="仿宋_GB2312"/>
              <w:sz w:val="24"/>
            </w:rPr>
          </w:pPr>
        </w:p>
        <w:p>
          <w:r>
            <w:rPr>
              <w:rFonts w:hint="eastAsia" w:ascii="仿宋_GB2312" w:eastAsia="仿宋_GB2312"/>
              <w:sz w:val="24"/>
            </w:rPr>
            <w:fldChar w:fldCharType="end"/>
          </w:r>
        </w:p>
      </w:sdtContent>
    </w:sdt>
    <w:p/>
    <w:p>
      <w:pPr>
        <w:jc w:val="center"/>
        <w:rPr>
          <w:rFonts w:ascii="黑体" w:hAnsi="黑体" w:eastAsia="黑体"/>
          <w:sz w:val="44"/>
          <w:szCs w:val="44"/>
        </w:rPr>
        <w:sectPr>
          <w:footerReference r:id="rId3" w:type="default"/>
          <w:pgSz w:w="11906" w:h="16838"/>
          <w:pgMar w:top="1440" w:right="1800" w:bottom="1440" w:left="1800" w:header="851" w:footer="992" w:gutter="0"/>
          <w:pgNumType w:start="1"/>
          <w:cols w:space="720" w:num="1"/>
          <w:docGrid w:type="lines" w:linePitch="312" w:charSpace="0"/>
        </w:sectPr>
      </w:pPr>
    </w:p>
    <w:p>
      <w:pPr>
        <w:pStyle w:val="3"/>
        <w:jc w:val="center"/>
      </w:pPr>
      <w:bookmarkStart w:id="2" w:name="_Toc176511710"/>
      <w:r>
        <w:rPr>
          <w:rFonts w:hint="eastAsia"/>
        </w:rPr>
        <w:t>第一部分 单位概况</w:t>
      </w:r>
      <w:bookmarkEnd w:id="2"/>
    </w:p>
    <w:p>
      <w:pPr>
        <w:pStyle w:val="4"/>
      </w:pPr>
      <w:r>
        <w:rPr>
          <w:rFonts w:hint="eastAsia"/>
        </w:rPr>
        <w:t xml:space="preserve">    </w:t>
      </w:r>
      <w:bookmarkStart w:id="3" w:name="_Toc176511711"/>
      <w:r>
        <w:rPr>
          <w:rFonts w:hint="eastAsia"/>
        </w:rPr>
        <w:t>一、主要职责</w:t>
      </w:r>
      <w:bookmarkEnd w:id="3"/>
    </w:p>
    <w:p>
      <w:pPr>
        <w:pStyle w:val="6"/>
        <w:spacing w:before="93"/>
        <w:rPr>
          <w:sz w:val="32"/>
          <w:szCs w:val="32"/>
        </w:rPr>
      </w:pPr>
      <w:r>
        <w:rPr>
          <w:rFonts w:hint="eastAsia"/>
          <w:sz w:val="32"/>
          <w:szCs w:val="32"/>
        </w:rPr>
        <w:t xml:space="preserve">    攀枝花市航务海事中心(原攀枝花市地方海事局)属参照公务员法管理事业单位。单位职责为：贯彻执行国家有关交通运输行业的方针、政策和法律、法规，贯彻执行省地方性法规、规章、交通运输行业规划、政策和规范性文件。组织拟订并监督实施水路行业发展战略、政策，会同有关部门组织编制综合运输体系规划；承担水路交通运输市场监管责任，组织实施并监督执行水路运输有关政策、技术标准和运营规范；承担运输船舶及相关水上设施检验、登记和防止污染、通讯导航、危险品运输的监督管理工作；负责船员管理相关工作；按规定负责港口规划和港口岸线管理工作。</w:t>
      </w:r>
    </w:p>
    <w:p>
      <w:pPr>
        <w:pStyle w:val="4"/>
      </w:pPr>
      <w:r>
        <w:rPr>
          <w:rFonts w:hint="eastAsia"/>
        </w:rPr>
        <w:t xml:space="preserve">    </w:t>
      </w:r>
      <w:bookmarkStart w:id="4" w:name="_Toc176511712"/>
      <w:r>
        <w:rPr>
          <w:rFonts w:hint="eastAsia"/>
        </w:rPr>
        <w:t>二、机构设置</w:t>
      </w:r>
      <w:bookmarkEnd w:id="4"/>
    </w:p>
    <w:p>
      <w:pPr>
        <w:rPr>
          <w:rFonts w:ascii="仿宋_GB2312" w:eastAsia="仿宋_GB2312"/>
          <w:kern w:val="10"/>
          <w:sz w:val="32"/>
          <w:szCs w:val="32"/>
        </w:rPr>
      </w:pPr>
      <w:r>
        <w:rPr>
          <w:rFonts w:hint="eastAsia" w:ascii="仿宋_GB2312" w:eastAsia="仿宋_GB2312"/>
          <w:kern w:val="10"/>
          <w:sz w:val="32"/>
          <w:szCs w:val="32"/>
        </w:rPr>
        <w:t xml:space="preserve">    我单位编制12名，内设三科一室：航务科、海事科、科教信息科、综合办公室。截止2023年年底实有在职人员10名,退休人员5名。</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widowControl/>
        <w:spacing w:line="440" w:lineRule="exact"/>
        <w:jc w:val="left"/>
        <w:rPr>
          <w:rFonts w:ascii="黑体" w:hAnsi="黑体" w:eastAsia="黑体"/>
          <w:sz w:val="44"/>
          <w:szCs w:val="44"/>
        </w:rPr>
      </w:pPr>
    </w:p>
    <w:p>
      <w:pPr>
        <w:pStyle w:val="3"/>
      </w:pPr>
      <w:bookmarkStart w:id="5" w:name="_Toc176511713"/>
      <w:r>
        <w:rPr>
          <w:rFonts w:hint="eastAsia"/>
        </w:rPr>
        <w:t>第二部分 2023年度单位决算情况说明</w:t>
      </w:r>
      <w:bookmarkEnd w:id="0"/>
      <w:bookmarkEnd w:id="1"/>
      <w:bookmarkEnd w:id="5"/>
    </w:p>
    <w:p>
      <w:pPr>
        <w:pStyle w:val="4"/>
      </w:pPr>
      <w:bookmarkStart w:id="6" w:name="_Toc15396603"/>
      <w:bookmarkStart w:id="7" w:name="_Toc176511714"/>
      <w:bookmarkStart w:id="8" w:name="_Toc15377205"/>
      <w:r>
        <w:rPr>
          <w:rFonts w:hint="eastAsia"/>
        </w:rPr>
        <w:t>一、收入支出决算总体情况说明</w:t>
      </w:r>
      <w:bookmarkEnd w:id="6"/>
      <w:bookmarkEnd w:id="7"/>
      <w:bookmarkEnd w:id="8"/>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549.79</w:t>
      </w:r>
      <w:r>
        <w:rPr>
          <w:rFonts w:hint="eastAsia" w:ascii="仿宋" w:hAnsi="仿宋" w:eastAsia="仿宋"/>
          <w:sz w:val="32"/>
          <w:szCs w:val="32"/>
        </w:rPr>
        <w:t>万元。与2022年度相比，收、支总计各增加253.5万元，增长85.56</w:t>
      </w:r>
      <w:r>
        <w:rPr>
          <w:rFonts w:ascii="仿宋" w:hAnsi="仿宋" w:eastAsia="仿宋"/>
          <w:sz w:val="32"/>
          <w:szCs w:val="32"/>
        </w:rPr>
        <w:t>%</w:t>
      </w:r>
      <w:r>
        <w:rPr>
          <w:rFonts w:hint="eastAsia" w:ascii="仿宋" w:hAnsi="仿宋" w:eastAsia="仿宋"/>
          <w:sz w:val="32"/>
          <w:szCs w:val="32"/>
        </w:rPr>
        <w:t>。主要变动原因是:支付水上安全巡航救助一体化建设项目资金。</w:t>
      </w:r>
    </w:p>
    <w:p>
      <w:pPr>
        <w:pStyle w:val="2"/>
        <w:jc w:val="center"/>
      </w:pPr>
      <w:r>
        <w:rPr>
          <w:rFonts w:hint="eastAsia" w:ascii="仿宋_GB2312" w:eastAsia="仿宋_GB2312"/>
        </w:rPr>
        <w:drawing>
          <wp:inline distT="0" distB="0" distL="0" distR="0">
            <wp:extent cx="4103370" cy="2491740"/>
            <wp:effectExtent l="19050" t="0" r="11430" b="3810"/>
            <wp:docPr id="1" name="Objec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4"/>
      </w:pPr>
      <w:bookmarkStart w:id="9" w:name="_Toc15377206"/>
      <w:bookmarkStart w:id="10" w:name="_Toc15396604"/>
      <w:bookmarkStart w:id="11" w:name="_Toc176511715"/>
      <w:r>
        <w:rPr>
          <w:rFonts w:hint="eastAsia"/>
        </w:rPr>
        <w:t>二、收入决算情况说明</w:t>
      </w:r>
      <w:bookmarkEnd w:id="9"/>
      <w:bookmarkEnd w:id="10"/>
      <w:bookmarkEnd w:id="11"/>
    </w:p>
    <w:p>
      <w:pPr>
        <w:spacing w:line="600" w:lineRule="exact"/>
        <w:ind w:firstLine="640" w:firstLineChars="200"/>
        <w:outlineLvl w:val="1"/>
        <w:rPr>
          <w:rFonts w:ascii="仿宋" w:hAnsi="仿宋" w:eastAsia="仿宋"/>
          <w:sz w:val="32"/>
          <w:szCs w:val="32"/>
        </w:rPr>
      </w:pPr>
      <w:bookmarkStart w:id="12" w:name="_Toc176511716"/>
      <w:r>
        <w:rPr>
          <w:rFonts w:hint="eastAsia" w:ascii="仿宋" w:hAnsi="仿宋" w:eastAsia="仿宋"/>
          <w:sz w:val="32"/>
          <w:szCs w:val="32"/>
        </w:rPr>
        <w:t>2023年度本年收入合计</w:t>
      </w:r>
      <w:r>
        <w:rPr>
          <w:rFonts w:ascii="仿宋" w:hAnsi="仿宋" w:eastAsia="仿宋"/>
          <w:b/>
          <w:sz w:val="32"/>
          <w:szCs w:val="32"/>
        </w:rPr>
        <w:t>250.75</w:t>
      </w:r>
      <w:r>
        <w:rPr>
          <w:rFonts w:hint="eastAsia" w:ascii="仿宋" w:hAnsi="仿宋" w:eastAsia="仿宋"/>
          <w:sz w:val="32"/>
          <w:szCs w:val="32"/>
        </w:rPr>
        <w:t>万元，其中：一般公共预算财政拨款收入</w:t>
      </w:r>
      <w:r>
        <w:rPr>
          <w:rFonts w:ascii="仿宋" w:hAnsi="仿宋" w:eastAsia="仿宋"/>
          <w:b/>
          <w:sz w:val="32"/>
          <w:szCs w:val="32"/>
        </w:rPr>
        <w:t>250.75</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bookmarkEnd w:id="12"/>
    </w:p>
    <w:p>
      <w:pPr>
        <w:jc w:val="center"/>
      </w:pPr>
      <w:r>
        <w:rPr>
          <w:rFonts w:hint="eastAsia" w:ascii="仿宋_GB2312" w:eastAsia="仿宋_GB2312"/>
        </w:rPr>
        <w:drawing>
          <wp:inline distT="0" distB="0" distL="0" distR="0">
            <wp:extent cx="3760470" cy="2392680"/>
            <wp:effectExtent l="19050" t="0" r="11430" b="7620"/>
            <wp:docPr id="22" name="对象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w:t>
      </w:r>
    </w:p>
    <w:p>
      <w:pPr>
        <w:pStyle w:val="4"/>
        <w:rPr>
          <w:rFonts w:asciiTheme="majorEastAsia" w:hAnsiTheme="majorEastAsia"/>
          <w:bCs w:val="0"/>
        </w:rPr>
      </w:pPr>
      <w:bookmarkStart w:id="13" w:name="_Toc176511717"/>
      <w:r>
        <w:rPr>
          <w:rFonts w:hint="eastAsia"/>
        </w:rPr>
        <w:t>三、</w:t>
      </w:r>
      <w:bookmarkStart w:id="14" w:name="_Toc15377207"/>
      <w:bookmarkStart w:id="15" w:name="_Toc15396605"/>
      <w:r>
        <w:rPr>
          <w:rFonts w:hint="eastAsia"/>
        </w:rPr>
        <w:t>支出决算情况说明</w:t>
      </w:r>
      <w:bookmarkEnd w:id="13"/>
      <w:bookmarkEnd w:id="14"/>
      <w:bookmarkEnd w:id="15"/>
    </w:p>
    <w:p>
      <w:pPr>
        <w:spacing w:line="600" w:lineRule="exact"/>
        <w:ind w:firstLine="640" w:firstLineChars="200"/>
        <w:outlineLvl w:val="1"/>
        <w:rPr>
          <w:rFonts w:ascii="仿宋" w:hAnsi="仿宋" w:eastAsia="仿宋"/>
          <w:sz w:val="32"/>
          <w:szCs w:val="32"/>
        </w:rPr>
      </w:pPr>
      <w:bookmarkStart w:id="16" w:name="_Toc176511718"/>
      <w:r>
        <w:rPr>
          <w:rFonts w:hint="eastAsia" w:ascii="仿宋" w:hAnsi="仿宋" w:eastAsia="仿宋"/>
          <w:sz w:val="32"/>
          <w:szCs w:val="32"/>
        </w:rPr>
        <w:t>2023年度本年支出合计</w:t>
      </w:r>
      <w:r>
        <w:rPr>
          <w:rFonts w:ascii="仿宋" w:hAnsi="仿宋" w:eastAsia="仿宋"/>
          <w:b/>
          <w:sz w:val="32"/>
          <w:szCs w:val="32"/>
        </w:rPr>
        <w:t>549.79</w:t>
      </w:r>
      <w:r>
        <w:rPr>
          <w:rFonts w:hint="eastAsia" w:ascii="仿宋" w:hAnsi="仿宋" w:eastAsia="仿宋"/>
          <w:sz w:val="32"/>
          <w:szCs w:val="32"/>
        </w:rPr>
        <w:t>万元，其中：基本支出</w:t>
      </w:r>
      <w:r>
        <w:rPr>
          <w:rFonts w:ascii="仿宋" w:hAnsi="仿宋" w:eastAsia="仿宋"/>
          <w:b/>
          <w:sz w:val="32"/>
          <w:szCs w:val="32"/>
        </w:rPr>
        <w:t>248.74</w:t>
      </w:r>
      <w:r>
        <w:rPr>
          <w:rFonts w:hint="eastAsia" w:ascii="仿宋" w:hAnsi="仿宋" w:eastAsia="仿宋"/>
          <w:sz w:val="32"/>
          <w:szCs w:val="32"/>
        </w:rPr>
        <w:t>万元，占</w:t>
      </w:r>
      <w:r>
        <w:rPr>
          <w:rFonts w:ascii="仿宋" w:hAnsi="仿宋" w:eastAsia="仿宋"/>
          <w:b/>
          <w:sz w:val="32"/>
          <w:szCs w:val="32"/>
        </w:rPr>
        <w:t>45.24</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301.05</w:t>
      </w:r>
      <w:r>
        <w:rPr>
          <w:rFonts w:hint="eastAsia" w:ascii="仿宋" w:hAnsi="仿宋" w:eastAsia="仿宋"/>
          <w:sz w:val="32"/>
          <w:szCs w:val="32"/>
        </w:rPr>
        <w:t>万元，占</w:t>
      </w:r>
      <w:r>
        <w:rPr>
          <w:rFonts w:ascii="仿宋" w:hAnsi="仿宋" w:eastAsia="仿宋"/>
          <w:b/>
          <w:sz w:val="32"/>
          <w:szCs w:val="32"/>
        </w:rPr>
        <w:t>54.75</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bookmarkEnd w:id="16"/>
    </w:p>
    <w:p>
      <w:pPr>
        <w:pStyle w:val="2"/>
        <w:jc w:val="center"/>
      </w:pPr>
      <w:r>
        <w:rPr>
          <w:rFonts w:hint="eastAsia" w:ascii="仿宋_GB2312" w:eastAsia="仿宋_GB2312"/>
        </w:rPr>
        <w:drawing>
          <wp:inline distT="0" distB="0" distL="0" distR="0">
            <wp:extent cx="3592830" cy="2430780"/>
            <wp:effectExtent l="19050" t="0" r="26670" b="7620"/>
            <wp:docPr id="28" name="Objec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pPr>
        <w:pStyle w:val="3"/>
        <w:rPr>
          <w:rStyle w:val="28"/>
          <w:rFonts w:ascii="黑体" w:hAnsi="黑体" w:eastAsia="黑体"/>
          <w:b/>
          <w:bCs w:val="0"/>
        </w:rPr>
      </w:pPr>
      <w:bookmarkStart w:id="17" w:name="_Toc15396606"/>
      <w:bookmarkStart w:id="18" w:name="_Toc15377208"/>
      <w:bookmarkStart w:id="19" w:name="_Toc176511719"/>
      <w:r>
        <w:rPr>
          <w:rFonts w:hint="eastAsia"/>
          <w:sz w:val="32"/>
          <w:szCs w:val="32"/>
        </w:rPr>
        <w:t>四、财</w:t>
      </w:r>
      <w:r>
        <w:rPr>
          <w:rStyle w:val="28"/>
          <w:rFonts w:hint="eastAsia" w:ascii="黑体" w:hAnsi="黑体" w:eastAsia="黑体"/>
          <w:b w:val="0"/>
          <w:bCs w:val="0"/>
        </w:rPr>
        <w:t>政拨款收入支出决算总体情况说明</w:t>
      </w:r>
      <w:bookmarkEnd w:id="17"/>
      <w:bookmarkEnd w:id="18"/>
      <w:bookmarkEnd w:id="19"/>
    </w:p>
    <w:p>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549.79</w:t>
      </w:r>
      <w:r>
        <w:rPr>
          <w:rFonts w:hint="eastAsia" w:ascii="仿宋" w:hAnsi="仿宋" w:eastAsia="仿宋"/>
          <w:sz w:val="32"/>
          <w:szCs w:val="32"/>
        </w:rPr>
        <w:t>万元。与2022年度相比，财政拨款收、支总计各增加253.5万元，增长85.56</w:t>
      </w:r>
      <w:r>
        <w:rPr>
          <w:rFonts w:ascii="仿宋" w:hAnsi="仿宋" w:eastAsia="仿宋"/>
          <w:sz w:val="32"/>
          <w:szCs w:val="32"/>
        </w:rPr>
        <w:t>%</w:t>
      </w:r>
      <w:r>
        <w:rPr>
          <w:rFonts w:hint="eastAsia" w:ascii="仿宋" w:hAnsi="仿宋" w:eastAsia="仿宋"/>
          <w:sz w:val="32"/>
          <w:szCs w:val="32"/>
        </w:rPr>
        <w:t>。主要变动原因是:支付水上安全巡航救助一体化建设项目资金。</w:t>
      </w:r>
    </w:p>
    <w:p>
      <w:pPr>
        <w:pStyle w:val="2"/>
        <w:jc w:val="center"/>
      </w:pPr>
      <w:r>
        <w:rPr>
          <w:rFonts w:hint="eastAsia" w:ascii="仿宋_GB2312" w:hAnsi="黑体" w:eastAsia="仿宋_GB2312"/>
          <w:b w:val="0"/>
        </w:rPr>
        <w:drawing>
          <wp:inline distT="0" distB="0" distL="0" distR="0">
            <wp:extent cx="4446270" cy="3276600"/>
            <wp:effectExtent l="19050" t="0" r="11430" b="0"/>
            <wp:docPr id="31" name="Objec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Fonts w:ascii="黑体" w:hAnsi="黑体" w:eastAsia="黑体"/>
          <w:sz w:val="32"/>
          <w:szCs w:val="32"/>
        </w:rPr>
      </w:pPr>
      <w:bookmarkStart w:id="20" w:name="_Toc15377209"/>
      <w:bookmarkStart w:id="21" w:name="_Toc15396607"/>
    </w:p>
    <w:p>
      <w:pPr>
        <w:pStyle w:val="3"/>
        <w:rPr>
          <w:rStyle w:val="28"/>
          <w:rFonts w:ascii="黑体" w:hAnsi="黑体" w:eastAsia="黑体"/>
          <w:b/>
          <w:bCs w:val="0"/>
        </w:rPr>
      </w:pPr>
      <w:bookmarkStart w:id="22" w:name="_Toc176511720"/>
      <w:r>
        <w:rPr>
          <w:rFonts w:hint="eastAsia"/>
          <w:sz w:val="32"/>
          <w:szCs w:val="32"/>
        </w:rPr>
        <w:t>五、一</w:t>
      </w:r>
      <w:r>
        <w:rPr>
          <w:rStyle w:val="28"/>
          <w:rFonts w:hint="eastAsia" w:ascii="黑体" w:hAnsi="黑体" w:eastAsia="黑体"/>
          <w:b w:val="0"/>
          <w:bCs w:val="0"/>
        </w:rPr>
        <w:t>般公共预算财政拨款支出决算情况说明</w:t>
      </w:r>
      <w:bookmarkEnd w:id="20"/>
      <w:bookmarkEnd w:id="21"/>
      <w:bookmarkEnd w:id="22"/>
    </w:p>
    <w:p>
      <w:pPr>
        <w:pStyle w:val="4"/>
      </w:pPr>
      <w:bookmarkStart w:id="23" w:name="_Toc15377210"/>
      <w:bookmarkStart w:id="24" w:name="_Toc176511721"/>
      <w:r>
        <w:rPr>
          <w:rFonts w:hint="eastAsia"/>
        </w:rPr>
        <w:t>（一）一般公共预算财政拨款支出决算总体情况</w:t>
      </w:r>
      <w:bookmarkEnd w:id="23"/>
      <w:bookmarkEnd w:id="24"/>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549.79</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。与2022年度相比，一般公共预算财政拨款支出增加253.5万元，增长85.56</w:t>
      </w:r>
      <w:r>
        <w:rPr>
          <w:rFonts w:ascii="仿宋" w:hAnsi="仿宋" w:eastAsia="仿宋"/>
          <w:sz w:val="32"/>
          <w:szCs w:val="32"/>
        </w:rPr>
        <w:t>%</w:t>
      </w:r>
      <w:r>
        <w:rPr>
          <w:rFonts w:hint="eastAsia" w:ascii="仿宋" w:hAnsi="仿宋" w:eastAsia="仿宋"/>
          <w:sz w:val="32"/>
          <w:szCs w:val="32"/>
        </w:rPr>
        <w:t>。主要变动原因是:支付水上安全巡航救助一体化建设项目资金。</w:t>
      </w:r>
    </w:p>
    <w:p>
      <w:pPr>
        <w:pStyle w:val="2"/>
        <w:jc w:val="center"/>
      </w:pPr>
      <w:r>
        <w:rPr>
          <w:rFonts w:ascii="仿宋_GB2312" w:eastAsia="仿宋_GB2312"/>
        </w:rPr>
        <w:drawing>
          <wp:inline distT="0" distB="0" distL="0" distR="0">
            <wp:extent cx="3699510" cy="2430780"/>
            <wp:effectExtent l="19050" t="0" r="15240" b="7620"/>
            <wp:docPr id="34" name="Objec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2" w:firstLineChars="200"/>
        <w:outlineLvl w:val="2"/>
        <w:rPr>
          <w:rFonts w:ascii="仿宋" w:hAnsi="仿宋" w:eastAsia="仿宋"/>
          <w:b/>
          <w:sz w:val="32"/>
          <w:szCs w:val="32"/>
        </w:rPr>
      </w:pPr>
      <w:bookmarkStart w:id="25" w:name="_Toc15377211"/>
    </w:p>
    <w:p>
      <w:pPr>
        <w:pStyle w:val="4"/>
      </w:pPr>
      <w:bookmarkStart w:id="26" w:name="_Toc176511722"/>
      <w:r>
        <w:rPr>
          <w:rFonts w:hint="eastAsia"/>
        </w:rPr>
        <w:t>（二）一般公共预算财政拨款支出决算结构情况</w:t>
      </w:r>
      <w:bookmarkEnd w:id="25"/>
      <w:bookmarkEnd w:id="26"/>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549.79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支出38.32</w:t>
      </w:r>
      <w:r>
        <w:rPr>
          <w:rFonts w:hint="eastAsia" w:ascii="仿宋" w:hAnsi="仿宋" w:eastAsia="仿宋"/>
          <w:sz w:val="32"/>
          <w:szCs w:val="32"/>
        </w:rPr>
        <w:t>万元，占6.97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14万元，占2.54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17.57万元，占3.2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交通运输支出</w:t>
      </w:r>
      <w:r>
        <w:rPr>
          <w:rFonts w:hint="eastAsia" w:ascii="仿宋" w:hAnsi="仿宋" w:eastAsia="仿宋"/>
          <w:sz w:val="32"/>
          <w:szCs w:val="32"/>
        </w:rPr>
        <w:t>479.91万元，占87.29%。</w:t>
      </w:r>
    </w:p>
    <w:p>
      <w:pPr>
        <w:pStyle w:val="2"/>
        <w:jc w:val="center"/>
      </w:pPr>
      <w:r>
        <w:rPr>
          <w:rFonts w:ascii="仿宋_GB2312" w:hAnsi="仿宋_GB2312" w:eastAsia="仿宋_GB2312" w:cs="仿宋_GB2312"/>
        </w:rPr>
        <w:drawing>
          <wp:inline distT="0" distB="0" distL="0" distR="0">
            <wp:extent cx="4259580" cy="2712720"/>
            <wp:effectExtent l="19050" t="0" r="26670" b="0"/>
            <wp:docPr id="37" name="Objec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pPr>
        <w:pStyle w:val="4"/>
      </w:pPr>
      <w:bookmarkStart w:id="27" w:name="_Toc176511723"/>
      <w:bookmarkStart w:id="28" w:name="_Toc15377212"/>
      <w:r>
        <w:rPr>
          <w:rFonts w:hint="eastAsia"/>
        </w:rPr>
        <w:t>（三）一般公共预算财政拨款支出决算具体情况</w:t>
      </w:r>
      <w:bookmarkEnd w:id="27"/>
      <w:bookmarkEnd w:id="28"/>
    </w:p>
    <w:p>
      <w:pPr>
        <w:spacing w:line="600" w:lineRule="exact"/>
        <w:ind w:firstLine="642" w:firstLineChars="200"/>
        <w:outlineLvl w:val="2"/>
        <w:rPr>
          <w:rFonts w:ascii="仿宋" w:hAnsi="仿宋" w:eastAsia="仿宋"/>
          <w:sz w:val="32"/>
          <w:szCs w:val="32"/>
        </w:rPr>
      </w:pPr>
      <w:bookmarkStart w:id="29" w:name="_Toc15377213"/>
      <w:bookmarkStart w:id="30" w:name="_Toc176511724"/>
      <w:bookmarkStart w:id="31" w:name="_Toc15377444"/>
      <w:bookmarkStart w:id="32" w:name="_Toc15378460"/>
      <w:r>
        <w:rPr>
          <w:rFonts w:hint="eastAsia" w:ascii="仿宋" w:hAnsi="仿宋" w:eastAsia="仿宋"/>
          <w:b/>
          <w:sz w:val="32"/>
          <w:szCs w:val="32"/>
        </w:rPr>
        <w:t>2023年度一般公共预算支出决算数为</w:t>
      </w:r>
      <w:r>
        <w:rPr>
          <w:rFonts w:ascii="仿宋" w:hAnsi="仿宋" w:eastAsia="仿宋"/>
          <w:b/>
          <w:sz w:val="32"/>
          <w:szCs w:val="32"/>
        </w:rPr>
        <w:t>549.79</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29"/>
      <w:bookmarkEnd w:id="30"/>
      <w:bookmarkEnd w:id="31"/>
      <w:bookmarkEnd w:id="32"/>
    </w:p>
    <w:p>
      <w:pPr>
        <w:spacing w:line="600" w:lineRule="exact"/>
        <w:ind w:firstLine="642" w:firstLineChars="200"/>
        <w:rPr>
          <w:rFonts w:ascii="仿宋" w:hAnsi="仿宋" w:eastAsia="仿宋"/>
          <w:b/>
          <w:bCs/>
          <w:sz w:val="32"/>
          <w:szCs w:val="32"/>
        </w:rPr>
      </w:pPr>
      <w:r>
        <w:rPr>
          <w:rStyle w:val="17"/>
          <w:rFonts w:ascii="仿宋" w:hAnsi="仿宋" w:eastAsia="仿宋"/>
          <w:bCs/>
          <w:sz w:val="32"/>
          <w:szCs w:val="32"/>
        </w:rPr>
        <w:t>1.</w:t>
      </w:r>
      <w:r>
        <w:rPr>
          <w:rStyle w:val="17"/>
          <w:rFonts w:hint="eastAsia" w:ascii="仿宋" w:hAnsi="仿宋" w:eastAsia="仿宋"/>
          <w:bCs/>
          <w:sz w:val="32"/>
          <w:szCs w:val="32"/>
        </w:rPr>
        <w:t xml:space="preserve"> </w:t>
      </w:r>
      <w:r>
        <w:rPr>
          <w:rFonts w:hint="eastAsia" w:ascii="仿宋" w:hAnsi="仿宋" w:eastAsia="仿宋"/>
          <w:b/>
          <w:bCs/>
          <w:sz w:val="32"/>
          <w:szCs w:val="32"/>
        </w:rPr>
        <w:t>1.社会保障和就业支出（类）行政事业单位养老支出（款）行政单位离退休（项）:</w:t>
      </w:r>
      <w:r>
        <w:rPr>
          <w:rFonts w:hint="eastAsia" w:ascii="仿宋" w:hAnsi="仿宋" w:eastAsia="仿宋"/>
          <w:bCs/>
          <w:sz w:val="32"/>
          <w:szCs w:val="32"/>
        </w:rPr>
        <w:t>支出决算为13.29万元，完成预算100%。</w:t>
      </w:r>
      <w:r>
        <w:rPr>
          <w:rFonts w:hint="eastAsia" w:ascii="仿宋" w:hAnsi="仿宋" w:eastAsia="仿宋"/>
          <w:b/>
          <w:bCs/>
          <w:sz w:val="32"/>
          <w:szCs w:val="32"/>
        </w:rPr>
        <w:t>决算数与预算数相等。</w:t>
      </w:r>
    </w:p>
    <w:p>
      <w:pPr>
        <w:spacing w:line="600" w:lineRule="exact"/>
        <w:ind w:firstLine="642" w:firstLineChars="200"/>
        <w:rPr>
          <w:rFonts w:ascii="仿宋" w:hAnsi="仿宋" w:eastAsia="仿宋"/>
          <w:b/>
          <w:bCs/>
          <w:sz w:val="32"/>
          <w:szCs w:val="32"/>
        </w:rPr>
      </w:pPr>
      <w:r>
        <w:rPr>
          <w:rFonts w:hint="eastAsia" w:ascii="仿宋" w:hAnsi="仿宋" w:eastAsia="仿宋"/>
          <w:b/>
          <w:bCs/>
          <w:sz w:val="32"/>
          <w:szCs w:val="32"/>
        </w:rPr>
        <w:t>2. 社会保障和就业支出（类）行政事业单位养老支出（款）机关事业单位基本养老保险缴费支出（项）:</w:t>
      </w:r>
      <w:r>
        <w:rPr>
          <w:rFonts w:hint="eastAsia" w:ascii="仿宋" w:hAnsi="仿宋" w:eastAsia="仿宋"/>
          <w:bCs/>
          <w:sz w:val="32"/>
          <w:szCs w:val="32"/>
        </w:rPr>
        <w:t>支出决算为25.03万元，完成预算100%。</w:t>
      </w:r>
      <w:r>
        <w:rPr>
          <w:rFonts w:hint="eastAsia" w:ascii="仿宋" w:hAnsi="仿宋" w:eastAsia="仿宋"/>
          <w:b/>
          <w:bCs/>
          <w:sz w:val="32"/>
          <w:szCs w:val="32"/>
        </w:rPr>
        <w:t>决算数与预算数相等。</w:t>
      </w:r>
    </w:p>
    <w:p>
      <w:pPr>
        <w:spacing w:line="600" w:lineRule="exact"/>
        <w:ind w:firstLine="642" w:firstLineChars="200"/>
        <w:rPr>
          <w:rFonts w:ascii="仿宋" w:hAnsi="仿宋" w:eastAsia="仿宋"/>
          <w:b/>
          <w:bCs/>
          <w:sz w:val="32"/>
          <w:szCs w:val="32"/>
        </w:rPr>
      </w:pPr>
      <w:r>
        <w:rPr>
          <w:rStyle w:val="17"/>
          <w:rFonts w:ascii="仿宋" w:hAnsi="仿宋" w:eastAsia="仿宋"/>
          <w:bCs/>
          <w:sz w:val="32"/>
          <w:szCs w:val="32"/>
        </w:rPr>
        <w:t>3.</w:t>
      </w:r>
      <w:r>
        <w:rPr>
          <w:rFonts w:hint="eastAsia" w:ascii="仿宋" w:hAnsi="仿宋" w:eastAsia="仿宋"/>
          <w:b/>
          <w:bCs/>
          <w:sz w:val="32"/>
          <w:szCs w:val="32"/>
        </w:rPr>
        <w:t>卫生健康</w:t>
      </w:r>
      <w:r>
        <w:rPr>
          <w:rStyle w:val="17"/>
          <w:rFonts w:hint="eastAsia" w:ascii="仿宋" w:hAnsi="仿宋" w:eastAsia="仿宋"/>
          <w:bCs/>
          <w:sz w:val="32"/>
          <w:szCs w:val="32"/>
        </w:rPr>
        <w:t>（类）行政事业单位医疗（款）行政单位医疗（项）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支出决算为11.24万元，完成预算100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 w:hAnsi="仿宋" w:eastAsia="仿宋"/>
          <w:b/>
          <w:bCs/>
          <w:sz w:val="32"/>
          <w:szCs w:val="32"/>
        </w:rPr>
        <w:t>决算数与预算数相等。</w:t>
      </w:r>
    </w:p>
    <w:p>
      <w:pPr>
        <w:spacing w:line="600" w:lineRule="exact"/>
        <w:ind w:firstLine="642" w:firstLineChars="200"/>
        <w:rPr>
          <w:rFonts w:ascii="仿宋" w:hAnsi="仿宋" w:eastAsia="仿宋"/>
          <w:b/>
          <w:bCs/>
          <w:sz w:val="32"/>
          <w:szCs w:val="32"/>
        </w:rPr>
      </w:pPr>
      <w:r>
        <w:rPr>
          <w:rStyle w:val="17"/>
          <w:rFonts w:ascii="仿宋" w:hAnsi="仿宋" w:eastAsia="仿宋"/>
          <w:bCs/>
          <w:sz w:val="32"/>
          <w:szCs w:val="32"/>
        </w:rPr>
        <w:t>4.</w:t>
      </w:r>
      <w:r>
        <w:rPr>
          <w:rFonts w:hint="eastAsia" w:ascii="仿宋_GB2312" w:hAnsi="仿宋_GB2312" w:eastAsia="仿宋_GB2312" w:cs="仿宋_GB2312"/>
          <w:b/>
          <w:bCs/>
          <w:sz w:val="32"/>
          <w:szCs w:val="32"/>
        </w:rPr>
        <w:t xml:space="preserve"> </w:t>
      </w:r>
      <w:r>
        <w:rPr>
          <w:rFonts w:hint="eastAsia" w:ascii="仿宋" w:hAnsi="仿宋" w:eastAsia="仿宋"/>
          <w:b/>
          <w:bCs/>
          <w:sz w:val="32"/>
          <w:szCs w:val="32"/>
        </w:rPr>
        <w:t>卫生健康</w:t>
      </w:r>
      <w:r>
        <w:rPr>
          <w:rStyle w:val="17"/>
          <w:rFonts w:hint="eastAsia" w:ascii="仿宋" w:hAnsi="仿宋" w:eastAsia="仿宋"/>
          <w:bCs/>
          <w:sz w:val="32"/>
          <w:szCs w:val="32"/>
        </w:rPr>
        <w:t>（类）行政事业单位医疗（款）公务员医疗补助（项）</w:t>
      </w:r>
      <w:r>
        <w:rPr>
          <w:rStyle w:val="17"/>
          <w:rFonts w:ascii="仿宋" w:hAnsi="仿宋" w:eastAsia="仿宋"/>
          <w:bCs/>
          <w:sz w:val="32"/>
          <w:szCs w:val="32"/>
        </w:rPr>
        <w:t>:</w:t>
      </w:r>
      <w:r>
        <w:rPr>
          <w:rStyle w:val="17"/>
          <w:rFonts w:hint="eastAsia" w:ascii="仿宋" w:hAnsi="仿宋" w:eastAsia="仿宋"/>
          <w:b w:val="0"/>
          <w:bCs/>
          <w:sz w:val="32"/>
          <w:szCs w:val="32"/>
        </w:rPr>
        <w:t>支出决算为1.32万元，完成预算100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 w:hAnsi="仿宋" w:eastAsia="仿宋"/>
          <w:b/>
          <w:bCs/>
          <w:sz w:val="32"/>
          <w:szCs w:val="32"/>
        </w:rPr>
        <w:t>决算数与预算数相等。</w:t>
      </w:r>
    </w:p>
    <w:p>
      <w:pPr>
        <w:spacing w:line="600" w:lineRule="exact"/>
        <w:ind w:firstLine="642" w:firstLineChars="200"/>
        <w:rPr>
          <w:rFonts w:ascii="仿宋" w:hAnsi="仿宋" w:eastAsia="仿宋"/>
          <w:b/>
          <w:bCs/>
          <w:sz w:val="32"/>
          <w:szCs w:val="32"/>
        </w:rPr>
      </w:pPr>
      <w:r>
        <w:rPr>
          <w:rStyle w:val="17"/>
          <w:rFonts w:ascii="仿宋" w:hAnsi="仿宋" w:eastAsia="仿宋"/>
          <w:bCs/>
          <w:sz w:val="32"/>
          <w:szCs w:val="32"/>
        </w:rPr>
        <w:t>5.</w:t>
      </w:r>
      <w:r>
        <w:rPr>
          <w:rFonts w:hint="eastAsia" w:ascii="仿宋" w:hAnsi="仿宋" w:eastAsia="仿宋"/>
          <w:b/>
          <w:bCs/>
          <w:sz w:val="32"/>
          <w:szCs w:val="32"/>
        </w:rPr>
        <w:t>卫生健康</w:t>
      </w:r>
      <w:r>
        <w:rPr>
          <w:rStyle w:val="17"/>
          <w:rFonts w:hint="eastAsia" w:ascii="仿宋" w:hAnsi="仿宋" w:eastAsia="仿宋"/>
          <w:bCs/>
          <w:sz w:val="32"/>
          <w:szCs w:val="32"/>
        </w:rPr>
        <w:t>（类）行政事业单位医疗（款）其他行政事业单位医疗支出（项）</w:t>
      </w:r>
      <w:r>
        <w:rPr>
          <w:rStyle w:val="17"/>
          <w:rFonts w:ascii="仿宋" w:hAnsi="仿宋" w:eastAsia="仿宋"/>
          <w:bCs/>
          <w:sz w:val="32"/>
          <w:szCs w:val="32"/>
        </w:rPr>
        <w:t>:</w:t>
      </w:r>
      <w:r>
        <w:rPr>
          <w:rStyle w:val="17"/>
          <w:rFonts w:hint="eastAsia" w:ascii="仿宋" w:hAnsi="仿宋" w:eastAsia="仿宋"/>
          <w:b w:val="0"/>
          <w:bCs/>
          <w:sz w:val="32"/>
          <w:szCs w:val="32"/>
        </w:rPr>
        <w:t>支出决算为1.43万元，完成预算100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 w:hAnsi="仿宋" w:eastAsia="仿宋"/>
          <w:b/>
          <w:bCs/>
          <w:sz w:val="32"/>
          <w:szCs w:val="32"/>
        </w:rPr>
        <w:t>决算数与预算数相等。</w:t>
      </w:r>
    </w:p>
    <w:p>
      <w:pPr>
        <w:spacing w:line="600" w:lineRule="exact"/>
        <w:ind w:firstLine="642" w:firstLineChars="200"/>
        <w:rPr>
          <w:rFonts w:ascii="仿宋" w:hAnsi="仿宋" w:eastAsia="仿宋"/>
          <w:b/>
          <w:bCs/>
          <w:sz w:val="32"/>
          <w:szCs w:val="32"/>
        </w:rPr>
      </w:pPr>
      <w:r>
        <w:rPr>
          <w:rStyle w:val="17"/>
          <w:rFonts w:ascii="仿宋" w:hAnsi="仿宋" w:eastAsia="仿宋"/>
          <w:bCs/>
          <w:sz w:val="32"/>
          <w:szCs w:val="32"/>
        </w:rPr>
        <w:t>6.</w:t>
      </w:r>
      <w:r>
        <w:rPr>
          <w:rFonts w:ascii="仿宋" w:hAnsi="仿宋" w:eastAsia="仿宋"/>
          <w:b/>
          <w:sz w:val="32"/>
          <w:szCs w:val="32"/>
        </w:rPr>
        <w:t xml:space="preserve"> </w:t>
      </w:r>
      <w:r>
        <w:rPr>
          <w:rFonts w:hint="eastAsia" w:ascii="仿宋" w:hAnsi="仿宋" w:eastAsia="仿宋"/>
          <w:b/>
          <w:bCs/>
          <w:sz w:val="32"/>
          <w:szCs w:val="32"/>
        </w:rPr>
        <w:t>交通运输支出（类）公路水路运输（款）行政运行（项）:</w:t>
      </w:r>
      <w:r>
        <w:rPr>
          <w:rFonts w:hint="eastAsia" w:ascii="仿宋" w:hAnsi="仿宋" w:eastAsia="仿宋"/>
          <w:bCs/>
          <w:sz w:val="32"/>
          <w:szCs w:val="32"/>
        </w:rPr>
        <w:t>支出决算为178.85万元，完成预算100%。</w:t>
      </w:r>
      <w:r>
        <w:rPr>
          <w:rFonts w:hint="eastAsia" w:ascii="仿宋" w:hAnsi="仿宋" w:eastAsia="仿宋"/>
          <w:b/>
          <w:bCs/>
          <w:sz w:val="32"/>
          <w:szCs w:val="32"/>
        </w:rPr>
        <w:t>决算数与预算数相等。</w:t>
      </w:r>
    </w:p>
    <w:p>
      <w:pPr>
        <w:spacing w:line="600" w:lineRule="exact"/>
        <w:ind w:firstLine="642" w:firstLineChars="200"/>
        <w:rPr>
          <w:rFonts w:ascii="仿宋" w:hAnsi="仿宋" w:eastAsia="仿宋"/>
          <w:b/>
          <w:bCs/>
          <w:sz w:val="32"/>
          <w:szCs w:val="32"/>
        </w:rPr>
      </w:pPr>
      <w:r>
        <w:rPr>
          <w:rFonts w:hint="eastAsia" w:ascii="仿宋" w:hAnsi="仿宋" w:eastAsia="仿宋"/>
          <w:b/>
          <w:bCs/>
          <w:sz w:val="32"/>
          <w:szCs w:val="32"/>
        </w:rPr>
        <w:t>7.交通运输支出（类）公路水路运输（款）海事管理（项）:</w:t>
      </w:r>
      <w:r>
        <w:rPr>
          <w:rFonts w:hint="eastAsia" w:ascii="仿宋" w:hAnsi="仿宋" w:eastAsia="仿宋"/>
          <w:bCs/>
          <w:sz w:val="32"/>
          <w:szCs w:val="32"/>
        </w:rPr>
        <w:t>支出决算为301.05万元，完成预算100%。</w:t>
      </w:r>
      <w:r>
        <w:rPr>
          <w:rFonts w:hint="eastAsia" w:ascii="仿宋" w:hAnsi="仿宋" w:eastAsia="仿宋"/>
          <w:b/>
          <w:bCs/>
          <w:sz w:val="32"/>
          <w:szCs w:val="32"/>
        </w:rPr>
        <w:t>决算数与预算数相等。</w:t>
      </w:r>
    </w:p>
    <w:p>
      <w:pPr>
        <w:spacing w:line="600" w:lineRule="exact"/>
        <w:ind w:firstLine="642" w:firstLineChars="200"/>
        <w:rPr>
          <w:rFonts w:ascii="仿宋" w:hAnsi="仿宋" w:eastAsia="仿宋"/>
          <w:b/>
          <w:sz w:val="32"/>
          <w:szCs w:val="32"/>
        </w:rPr>
      </w:pPr>
      <w:r>
        <w:rPr>
          <w:rFonts w:hint="eastAsia" w:ascii="仿宋" w:hAnsi="仿宋" w:eastAsia="仿宋"/>
          <w:b/>
          <w:bCs/>
          <w:sz w:val="32"/>
          <w:szCs w:val="32"/>
        </w:rPr>
        <w:t>8.</w:t>
      </w:r>
      <w:r>
        <w:rPr>
          <w:rFonts w:hint="eastAsia" w:ascii="仿宋_GB2312" w:hAnsi="仿宋_GB2312" w:eastAsia="仿宋_GB2312" w:cs="仿宋_GB2312"/>
          <w:b/>
          <w:bCs/>
        </w:rPr>
        <w:t xml:space="preserve"> </w:t>
      </w:r>
      <w:r>
        <w:rPr>
          <w:rFonts w:hint="eastAsia" w:ascii="仿宋_GB2312" w:hAnsi="仿宋_GB2312" w:eastAsia="仿宋_GB2312" w:cs="仿宋_GB2312"/>
          <w:b/>
          <w:bCs/>
          <w:sz w:val="32"/>
          <w:szCs w:val="32"/>
        </w:rPr>
        <w:t>住房保障支出（类）住房改革支出（款）住房公积金（项）</w:t>
      </w:r>
      <w:r>
        <w:rPr>
          <w:rFonts w:hint="eastAsia" w:ascii="仿宋_GB2312" w:hAnsi="仿宋_GB2312" w:eastAsia="仿宋_GB2312" w:cs="仿宋_GB2312"/>
          <w:sz w:val="32"/>
          <w:szCs w:val="32"/>
        </w:rPr>
        <w:t>:支出决算为17.57万元，完成预算100%。</w:t>
      </w:r>
      <w:r>
        <w:rPr>
          <w:rStyle w:val="17"/>
          <w:rFonts w:hint="eastAsia"/>
          <w:bCs/>
          <w:sz w:val="32"/>
          <w:szCs w:val="32"/>
        </w:rPr>
        <w:t>决算数与预算数相等。</w:t>
      </w:r>
      <w:r>
        <w:rPr>
          <w:rStyle w:val="17"/>
          <w:rFonts w:ascii="仿宋" w:hAnsi="仿宋" w:eastAsia="仿宋"/>
          <w:bCs/>
          <w:sz w:val="32"/>
          <w:szCs w:val="32"/>
        </w:rPr>
        <w:t xml:space="preserve"> </w:t>
      </w:r>
    </w:p>
    <w:p>
      <w:pPr>
        <w:tabs>
          <w:tab w:val="right" w:pos="8306"/>
        </w:tabs>
        <w:spacing w:line="600" w:lineRule="exact"/>
        <w:ind w:firstLine="640"/>
        <w:outlineLvl w:val="1"/>
        <w:rPr>
          <w:rFonts w:ascii="黑体" w:eastAsia="黑体"/>
          <w:sz w:val="32"/>
          <w:szCs w:val="32"/>
        </w:rPr>
      </w:pPr>
      <w:bookmarkStart w:id="33" w:name="_Toc15396608"/>
      <w:bookmarkStart w:id="34" w:name="_Toc15377214"/>
    </w:p>
    <w:p>
      <w:pPr>
        <w:pStyle w:val="3"/>
        <w:rPr>
          <w:rStyle w:val="28"/>
          <w:b w:val="0"/>
          <w:bCs w:val="0"/>
        </w:rPr>
      </w:pPr>
      <w:bookmarkStart w:id="35" w:name="_Toc176511725"/>
      <w:r>
        <w:rPr>
          <w:rFonts w:hint="eastAsia"/>
          <w:sz w:val="32"/>
          <w:szCs w:val="32"/>
        </w:rPr>
        <w:t>六、一</w:t>
      </w:r>
      <w:r>
        <w:rPr>
          <w:rStyle w:val="28"/>
          <w:rFonts w:hint="eastAsia" w:ascii="黑体" w:hAnsi="黑体" w:eastAsia="黑体"/>
          <w:b w:val="0"/>
          <w:bCs w:val="0"/>
        </w:rPr>
        <w:t>般公共预算财政拨款基本支出决算情况说明</w:t>
      </w:r>
      <w:bookmarkEnd w:id="33"/>
      <w:bookmarkEnd w:id="34"/>
      <w:bookmarkEnd w:id="35"/>
      <w:r>
        <w:rPr>
          <w:rStyle w:val="28"/>
          <w:rFonts w:ascii="黑体" w:hAnsi="黑体" w:eastAsia="黑体"/>
          <w:b w:val="0"/>
          <w:bCs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248.74</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221.39</w:t>
      </w:r>
      <w:r>
        <w:rPr>
          <w:rFonts w:hint="eastAsia" w:ascii="仿宋" w:hAnsi="仿宋" w:eastAsia="仿宋"/>
          <w:sz w:val="32"/>
          <w:szCs w:val="32"/>
        </w:rPr>
        <w:t>万元，主要包括：基本工资、津贴补贴、奖金、机关事业单位基本养老保险缴费、职工基本医疗保险缴费、公务员医疗补助缴费、其他社会保障缴费、住房公积金、生活补助、医疗费补助等。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27.35</w:t>
      </w:r>
      <w:r>
        <w:rPr>
          <w:rFonts w:hint="eastAsia" w:ascii="仿宋" w:hAnsi="仿宋" w:eastAsia="仿宋"/>
          <w:sz w:val="32"/>
          <w:szCs w:val="32"/>
        </w:rPr>
        <w:t>万元，主要包括：办公费、水费、电费、邮电费、差旅费、公务接待费、工会经费、福利费、公务用车运行维护费、其他交通费等。</w:t>
      </w:r>
    </w:p>
    <w:p>
      <w:pPr>
        <w:spacing w:line="600" w:lineRule="exact"/>
        <w:ind w:firstLine="640"/>
        <w:outlineLvl w:val="1"/>
        <w:rPr>
          <w:rFonts w:ascii="黑体" w:eastAsia="黑体"/>
          <w:sz w:val="32"/>
          <w:szCs w:val="32"/>
        </w:rPr>
      </w:pPr>
      <w:bookmarkStart w:id="36" w:name="_Toc15396609"/>
      <w:bookmarkStart w:id="37" w:name="_Toc15377215"/>
    </w:p>
    <w:p>
      <w:pPr>
        <w:pStyle w:val="3"/>
        <w:rPr>
          <w:rStyle w:val="28"/>
          <w:rFonts w:ascii="黑体" w:hAnsi="黑体" w:eastAsia="黑体"/>
          <w:b/>
          <w:bCs w:val="0"/>
        </w:rPr>
      </w:pPr>
      <w:bookmarkStart w:id="38" w:name="_Toc176511726"/>
      <w:r>
        <w:rPr>
          <w:rFonts w:hint="eastAsia"/>
          <w:sz w:val="32"/>
          <w:szCs w:val="32"/>
        </w:rPr>
        <w:t>七、</w:t>
      </w:r>
      <w:r>
        <w:rPr>
          <w:rStyle w:val="28"/>
          <w:rFonts w:hint="eastAsia" w:ascii="黑体" w:hAnsi="黑体" w:eastAsia="黑体"/>
          <w:b w:val="0"/>
          <w:bCs w:val="0"/>
        </w:rPr>
        <w:t>财政拨款“三公”经费支出决算情况说明</w:t>
      </w:r>
      <w:bookmarkEnd w:id="36"/>
      <w:bookmarkEnd w:id="37"/>
      <w:bookmarkEnd w:id="38"/>
    </w:p>
    <w:p>
      <w:pPr>
        <w:pStyle w:val="4"/>
      </w:pPr>
      <w:bookmarkStart w:id="39" w:name="_Toc15377216"/>
      <w:bookmarkStart w:id="40" w:name="_Toc176511727"/>
      <w:r>
        <w:rPr>
          <w:rFonts w:hint="eastAsia"/>
        </w:rPr>
        <w:t>（一）“三公”经费财政拨款支出决算总体情况说明</w:t>
      </w:r>
      <w:bookmarkEnd w:id="39"/>
      <w:bookmarkEnd w:id="40"/>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4.93</w:t>
      </w:r>
      <w:r>
        <w:rPr>
          <w:rFonts w:hint="eastAsia" w:ascii="仿宋" w:hAnsi="仿宋" w:eastAsia="仿宋"/>
          <w:sz w:val="32"/>
          <w:szCs w:val="32"/>
        </w:rPr>
        <w:t>万元，完成预算</w:t>
      </w:r>
      <w:r>
        <w:rPr>
          <w:rFonts w:ascii="仿宋" w:hAnsi="仿宋" w:eastAsia="仿宋"/>
          <w:b/>
          <w:sz w:val="32"/>
          <w:szCs w:val="32"/>
        </w:rPr>
        <w:t>89.53</w:t>
      </w:r>
      <w:r>
        <w:rPr>
          <w:rFonts w:ascii="仿宋" w:hAnsi="仿宋" w:eastAsia="仿宋"/>
          <w:sz w:val="32"/>
          <w:szCs w:val="32"/>
        </w:rPr>
        <w:t>%</w:t>
      </w:r>
      <w:r>
        <w:rPr>
          <w:rFonts w:hint="eastAsia" w:ascii="仿宋" w:hAnsi="仿宋" w:eastAsia="仿宋"/>
          <w:sz w:val="32"/>
          <w:szCs w:val="32"/>
        </w:rPr>
        <w:t>，较上年度增加3.86万元，增长100%。决算数小于预算数的主要原因是厉行节约，合理统筹燃油开支。</w:t>
      </w:r>
    </w:p>
    <w:p>
      <w:pPr>
        <w:pStyle w:val="4"/>
      </w:pPr>
      <w:bookmarkStart w:id="41" w:name="_Toc15377217"/>
      <w:bookmarkStart w:id="42" w:name="_Toc176511728"/>
      <w:r>
        <w:rPr>
          <w:rFonts w:hint="eastAsia"/>
        </w:rPr>
        <w:t>（二）“三公”经费财政拨款支出决算具体情况说明</w:t>
      </w:r>
      <w:bookmarkEnd w:id="41"/>
      <w:bookmarkEnd w:id="42"/>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4.67</w:t>
      </w:r>
      <w:r>
        <w:rPr>
          <w:rFonts w:hint="eastAsia" w:ascii="仿宋" w:hAnsi="仿宋" w:eastAsia="仿宋"/>
          <w:sz w:val="32"/>
          <w:szCs w:val="32"/>
        </w:rPr>
        <w:t>万元，占</w:t>
      </w:r>
      <w:r>
        <w:rPr>
          <w:rFonts w:ascii="仿宋" w:hAnsi="仿宋" w:eastAsia="仿宋"/>
          <w:b/>
          <w:sz w:val="32"/>
          <w:szCs w:val="32"/>
        </w:rPr>
        <w:t>94.56</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0.27</w:t>
      </w:r>
      <w:r>
        <w:rPr>
          <w:rFonts w:hint="eastAsia" w:ascii="仿宋" w:hAnsi="仿宋" w:eastAsia="仿宋"/>
          <w:sz w:val="32"/>
          <w:szCs w:val="32"/>
        </w:rPr>
        <w:t>万元，占</w:t>
      </w:r>
      <w:r>
        <w:rPr>
          <w:rFonts w:ascii="仿宋" w:hAnsi="仿宋" w:eastAsia="仿宋"/>
          <w:b/>
          <w:sz w:val="32"/>
          <w:szCs w:val="32"/>
        </w:rPr>
        <w:t>5.43</w:t>
      </w:r>
      <w:r>
        <w:rPr>
          <w:rFonts w:ascii="仿宋" w:hAnsi="仿宋" w:eastAsia="仿宋"/>
          <w:sz w:val="32"/>
          <w:szCs w:val="32"/>
        </w:rPr>
        <w:t>%</w:t>
      </w:r>
      <w:r>
        <w:rPr>
          <w:rFonts w:hint="eastAsia" w:ascii="仿宋" w:hAnsi="仿宋" w:eastAsia="仿宋"/>
          <w:sz w:val="32"/>
          <w:szCs w:val="32"/>
        </w:rPr>
        <w:t>。具体情况如下：</w:t>
      </w:r>
    </w:p>
    <w:p>
      <w:pPr>
        <w:pStyle w:val="2"/>
        <w:jc w:val="center"/>
      </w:pPr>
      <w:r>
        <w:rPr>
          <w:rFonts w:hint="eastAsia" w:ascii="仿宋_GB2312" w:eastAsia="仿宋_GB2312"/>
        </w:rPr>
        <w:drawing>
          <wp:inline distT="0" distB="0" distL="0" distR="0">
            <wp:extent cx="3756660" cy="2537460"/>
            <wp:effectExtent l="19050" t="0" r="15240" b="0"/>
            <wp:docPr id="40" name="Objec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pPr>
        <w:pStyle w:val="2"/>
      </w:pPr>
    </w:p>
    <w:p>
      <w:pPr>
        <w:spacing w:line="600" w:lineRule="exact"/>
        <w:ind w:firstLine="640"/>
        <w:rPr>
          <w:rFonts w:ascii="仿宋_GB2312" w:eastAsia="仿宋_GB2312"/>
          <w:b/>
          <w:sz w:val="32"/>
          <w:szCs w:val="32"/>
        </w:rPr>
      </w:pPr>
      <w:bookmarkStart w:id="43" w:name="_Toc15377218"/>
      <w:bookmarkStart w:id="44"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b/>
          <w:sz w:val="32"/>
          <w:szCs w:val="32"/>
        </w:rPr>
        <w:t>万元。</w:t>
      </w:r>
      <w:r>
        <w:rPr>
          <w:rFonts w:ascii="仿宋_GB2312" w:eastAsia="仿宋_GB2312"/>
          <w:sz w:val="32"/>
          <w:szCs w:val="32"/>
        </w:rPr>
        <w:t>全年没有安排因公出国（境）。</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4.67</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公务用车购置及运行维护费支出决算比2022年度增加3.82万元，增长100</w:t>
      </w:r>
      <w:r>
        <w:rPr>
          <w:rFonts w:ascii="仿宋_GB2312" w:eastAsia="仿宋_GB2312"/>
          <w:sz w:val="32"/>
          <w:szCs w:val="32"/>
        </w:rPr>
        <w:t>%</w:t>
      </w:r>
      <w:r>
        <w:rPr>
          <w:rFonts w:hint="eastAsia" w:ascii="仿宋_GB2312" w:eastAsia="仿宋_GB2312"/>
          <w:sz w:val="32"/>
          <w:szCs w:val="32"/>
        </w:rPr>
        <w:t>。主要原因是上年度使用以往年度燃油结余，本年度购买燃油，支付2022年度未支付的船舶看守费等。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w:t>
      </w:r>
      <w:r>
        <w:rPr>
          <w:rFonts w:ascii="仿宋_GB2312" w:eastAsia="仿宋_GB2312"/>
          <w:sz w:val="32"/>
          <w:szCs w:val="32"/>
        </w:rPr>
        <w:t>本年未更新购置车辆</w:t>
      </w:r>
      <w:r>
        <w:rPr>
          <w:rFonts w:hint="eastAsia" w:ascii="仿宋_GB2312" w:eastAsia="仿宋_GB2312"/>
          <w:sz w:val="32"/>
          <w:szCs w:val="32"/>
        </w:rPr>
        <w:t>.</w:t>
      </w:r>
      <w:r>
        <w:rPr>
          <w:rFonts w:ascii="仿宋_GB2312" w:eastAsia="仿宋_GB2312"/>
          <w:sz w:val="32"/>
          <w:szCs w:val="32"/>
        </w:rPr>
        <w:t>截至202</w:t>
      </w:r>
      <w:r>
        <w:rPr>
          <w:rFonts w:hint="eastAsia" w:ascii="仿宋_GB2312" w:eastAsia="仿宋_GB2312"/>
          <w:sz w:val="32"/>
          <w:szCs w:val="32"/>
        </w:rPr>
        <w:t>2</w:t>
      </w:r>
      <w:r>
        <w:rPr>
          <w:rFonts w:ascii="仿宋_GB2312" w:eastAsia="仿宋_GB2312"/>
          <w:sz w:val="32"/>
          <w:szCs w:val="32"/>
        </w:rPr>
        <w:t>年12月底，</w:t>
      </w:r>
      <w:r>
        <w:rPr>
          <w:rFonts w:hint="eastAsia" w:ascii="仿宋_GB2312" w:eastAsia="仿宋_GB2312"/>
          <w:sz w:val="32"/>
          <w:szCs w:val="32"/>
        </w:rPr>
        <w:t>单位共有公务用车4辆，其中：轿车4辆。</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4.67</w:t>
      </w:r>
      <w:r>
        <w:rPr>
          <w:rFonts w:hint="eastAsia" w:ascii="仿宋_GB2312" w:eastAsia="仿宋_GB2312"/>
          <w:sz w:val="32"/>
          <w:szCs w:val="32"/>
        </w:rPr>
        <w:t>万元。主要用于主要用于航道维护巡航、巡查工作，及海巡艇日常维护、保养等所需的燃料费、维修费、过路过桥费、保险费、船舶看守、维修维护费等支出。</w:t>
      </w:r>
    </w:p>
    <w:p>
      <w:pPr>
        <w:spacing w:line="600" w:lineRule="exact"/>
        <w:ind w:firstLine="642"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0.27</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31.72%</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公务接待费支出决算比2022年度增加0.05万元，增长23%。主要原因是接待省、厅督导、检查等工作接待费。其中：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0.27</w:t>
      </w:r>
      <w:r>
        <w:rPr>
          <w:rFonts w:hint="eastAsia" w:ascii="仿宋_GB2312" w:eastAsia="仿宋_GB2312"/>
          <w:sz w:val="32"/>
          <w:szCs w:val="32"/>
        </w:rPr>
        <w:t>万元，主要用于水上巡航、巡查联合检查，开展业务检查产生的接待费。国内公务接待3批次，15人次（不包括陪同人员），共计支出0.27万元，具体内容包括：主汛期有安全督导检查接待费575元，省航务海事管理事务中心调研航道管理情况接待费983元，省厅督察船舶登记工作接待费1123元。</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pPr>
        <w:pStyle w:val="3"/>
        <w:rPr>
          <w:rStyle w:val="28"/>
          <w:rFonts w:ascii="黑体" w:hAnsi="黑体" w:eastAsia="黑体"/>
          <w:b w:val="0"/>
          <w:bCs w:val="0"/>
        </w:rPr>
      </w:pPr>
      <w:bookmarkStart w:id="45" w:name="_Toc176511729"/>
      <w:r>
        <w:rPr>
          <w:rFonts w:hint="eastAsia"/>
          <w:sz w:val="32"/>
          <w:szCs w:val="32"/>
        </w:rPr>
        <w:t>八、</w:t>
      </w:r>
      <w:r>
        <w:rPr>
          <w:rStyle w:val="28"/>
          <w:rFonts w:hint="eastAsia" w:ascii="黑体" w:hAnsi="黑体" w:eastAsia="黑体"/>
          <w:b w:val="0"/>
          <w:bCs w:val="0"/>
        </w:rPr>
        <w:t>政府性基金预算支出决算情况说明</w:t>
      </w:r>
      <w:bookmarkEnd w:id="43"/>
      <w:bookmarkEnd w:id="44"/>
      <w:bookmarkEnd w:id="45"/>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pStyle w:val="3"/>
        <w:rPr>
          <w:rStyle w:val="28"/>
          <w:rFonts w:ascii="黑体" w:hAnsi="黑体" w:eastAsia="黑体"/>
          <w:b/>
          <w:bCs w:val="0"/>
        </w:rPr>
      </w:pPr>
      <w:bookmarkStart w:id="46" w:name="_Toc15377219"/>
      <w:bookmarkStart w:id="47" w:name="_Toc15396611"/>
      <w:bookmarkStart w:id="48" w:name="_Toc176511730"/>
      <w:r>
        <w:rPr>
          <w:rStyle w:val="28"/>
          <w:rFonts w:hint="eastAsia" w:ascii="黑体" w:hAnsi="黑体" w:eastAsia="黑体"/>
          <w:b w:val="0"/>
          <w:bCs w:val="0"/>
        </w:rPr>
        <w:t>九、国有资本经营预算支出决算情况说明</w:t>
      </w:r>
      <w:bookmarkEnd w:id="46"/>
      <w:bookmarkEnd w:id="47"/>
      <w:bookmarkEnd w:id="48"/>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pStyle w:val="3"/>
        <w:rPr>
          <w:rStyle w:val="28"/>
          <w:rFonts w:ascii="黑体" w:hAnsi="黑体" w:eastAsia="黑体"/>
          <w:b/>
          <w:bCs w:val="0"/>
        </w:rPr>
      </w:pPr>
      <w:bookmarkStart w:id="49" w:name="_Toc176511731"/>
      <w:bookmarkStart w:id="50" w:name="_Toc15377221"/>
      <w:bookmarkStart w:id="51" w:name="_Toc15396612"/>
      <w:r>
        <w:rPr>
          <w:rStyle w:val="28"/>
          <w:rFonts w:hint="eastAsia" w:ascii="黑体" w:hAnsi="黑体" w:eastAsia="黑体"/>
          <w:b/>
          <w:bCs w:val="0"/>
          <w:highlight w:val="lightGray"/>
        </w:rPr>
        <w:t>十、</w:t>
      </w:r>
      <w:r>
        <w:rPr>
          <w:rStyle w:val="28"/>
          <w:rFonts w:hint="eastAsia" w:ascii="黑体" w:hAnsi="黑体" w:eastAsia="黑体"/>
          <w:b/>
          <w:bCs w:val="0"/>
        </w:rPr>
        <w:t>其他重要事项的情况说明</w:t>
      </w:r>
      <w:bookmarkEnd w:id="49"/>
      <w:bookmarkEnd w:id="50"/>
      <w:bookmarkEnd w:id="51"/>
    </w:p>
    <w:p>
      <w:pPr>
        <w:pStyle w:val="4"/>
      </w:pPr>
      <w:bookmarkStart w:id="52" w:name="_Toc176511732"/>
      <w:bookmarkStart w:id="53" w:name="_Toc15377222"/>
      <w:r>
        <w:rPr>
          <w:rFonts w:hint="eastAsia"/>
        </w:rPr>
        <w:t>（一）机关运行经费支出情况</w:t>
      </w:r>
      <w:bookmarkEnd w:id="52"/>
      <w:bookmarkEnd w:id="53"/>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四川省攀枝花市航务海事中心</w:t>
      </w:r>
      <w:r>
        <w:rPr>
          <w:rFonts w:hint="eastAsia" w:ascii="仿宋_GB2312" w:eastAsia="仿宋_GB2312"/>
          <w:sz w:val="32"/>
          <w:szCs w:val="32"/>
        </w:rPr>
        <w:t>机关运行经费支出</w:t>
      </w:r>
      <w:r>
        <w:rPr>
          <w:rFonts w:ascii="仿宋" w:hAnsi="仿宋" w:eastAsia="仿宋"/>
          <w:b/>
          <w:sz w:val="32"/>
          <w:szCs w:val="32"/>
        </w:rPr>
        <w:t>27.35</w:t>
      </w:r>
      <w:r>
        <w:rPr>
          <w:rFonts w:hint="eastAsia" w:ascii="仿宋_GB2312" w:eastAsia="仿宋_GB2312"/>
          <w:sz w:val="32"/>
          <w:szCs w:val="32"/>
        </w:rPr>
        <w:t>万元，比2022年度增加6.98万元，增长34.27</w:t>
      </w:r>
      <w:r>
        <w:rPr>
          <w:rFonts w:ascii="仿宋_GB2312" w:eastAsia="仿宋_GB2312"/>
          <w:sz w:val="32"/>
          <w:szCs w:val="32"/>
        </w:rPr>
        <w:t>%</w:t>
      </w:r>
      <w:r>
        <w:rPr>
          <w:rFonts w:hint="eastAsia" w:ascii="仿宋_GB2312" w:eastAsia="仿宋_GB2312"/>
          <w:sz w:val="32"/>
          <w:szCs w:val="32"/>
        </w:rPr>
        <w:t>。主要原因是：支付2022年度未支付的办公用品、船舶看守、维护费用等。</w:t>
      </w:r>
    </w:p>
    <w:p>
      <w:pPr>
        <w:pStyle w:val="4"/>
      </w:pPr>
      <w:bookmarkStart w:id="54" w:name="_Toc15377223"/>
      <w:bookmarkStart w:id="55" w:name="_Toc176511733"/>
      <w:r>
        <w:rPr>
          <w:rFonts w:hint="eastAsia"/>
        </w:rPr>
        <w:t>（二）政府采购支出情况</w:t>
      </w:r>
      <w:bookmarkEnd w:id="54"/>
      <w:bookmarkEnd w:id="55"/>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四川省攀枝花市航务海事中心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p>
    <w:p>
      <w:pPr>
        <w:pStyle w:val="4"/>
      </w:pPr>
      <w:bookmarkStart w:id="56" w:name="_Toc176511734"/>
      <w:bookmarkStart w:id="57" w:name="_Toc15377224"/>
      <w:r>
        <w:rPr>
          <w:rFonts w:hint="eastAsia"/>
        </w:rPr>
        <w:t>（三）国有资产占有使用情况</w:t>
      </w:r>
      <w:bookmarkEnd w:id="56"/>
      <w:bookmarkEnd w:id="57"/>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四川省攀枝花市航务海事中心</w:t>
      </w:r>
      <w:r>
        <w:rPr>
          <w:rFonts w:hint="eastAsia" w:ascii="仿宋_GB2312" w:eastAsia="仿宋_GB2312"/>
          <w:sz w:val="32"/>
          <w:szCs w:val="32"/>
        </w:rPr>
        <w:t>共有车辆</w:t>
      </w:r>
      <w:r>
        <w:rPr>
          <w:rFonts w:hint="eastAsia" w:ascii="仿宋_GB2312" w:eastAsia="仿宋_GB2312"/>
          <w:b/>
          <w:sz w:val="32"/>
          <w:szCs w:val="32"/>
        </w:rPr>
        <w:t>4</w:t>
      </w:r>
      <w:r>
        <w:rPr>
          <w:rFonts w:hint="eastAsia" w:ascii="仿宋_GB2312" w:eastAsia="仿宋_GB2312"/>
          <w:sz w:val="32"/>
          <w:szCs w:val="32"/>
        </w:rPr>
        <w:t>辆，其中：其他用车4辆，其他用车主要是用于航道巡航巡查，另单位机构改革后车辆应划转交通运输综合行政执法支队，由于资产处置手续没有全部完成，实物已移交，资产卡片账尚在我单位资产管理系统。</w:t>
      </w:r>
    </w:p>
    <w:p>
      <w:pPr>
        <w:pStyle w:val="4"/>
      </w:pPr>
      <w:bookmarkStart w:id="58" w:name="_Toc176511735"/>
      <w:r>
        <w:rPr>
          <w:rFonts w:hint="eastAsia"/>
        </w:rPr>
        <w:t>（四）预算绩效管理情况</w:t>
      </w:r>
      <w:bookmarkEnd w:id="58"/>
    </w:p>
    <w:p>
      <w:pPr>
        <w:spacing w:line="60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根据预算绩效管理要求，本单位在2023年度预算编制阶段，组织对海事管理、交通存量盘活资金、物业管理费三个项目开展了预算事前绩效评估，编制了绩效目标，预算执行过程中开展绩效监控、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pStyle w:val="3"/>
        <w:jc w:val="center"/>
      </w:pPr>
      <w:bookmarkStart w:id="59" w:name="_Toc176511736"/>
      <w:r>
        <w:rPr>
          <w:rFonts w:hint="eastAsia"/>
        </w:rPr>
        <w:t>第三部分 名词解释</w:t>
      </w:r>
      <w:bookmarkEnd w:id="59"/>
    </w:p>
    <w:p>
      <w:pPr>
        <w:rPr>
          <w:rFonts w:ascii="仿宋_GB2312" w:hAnsi="Calibri" w:eastAsia="仿宋_GB2312" w:cs="仿宋"/>
          <w:kern w:val="0"/>
          <w:sz w:val="32"/>
          <w:szCs w:val="32"/>
        </w:rPr>
      </w:pPr>
      <w:bookmarkStart w:id="60" w:name="_Toc15377226"/>
      <w:r>
        <w:rPr>
          <w:rFonts w:hint="eastAsia" w:ascii="仿宋_GB2312" w:hAnsi="Calibri" w:eastAsia="仿宋_GB2312" w:cs="仿宋"/>
          <w:kern w:val="0"/>
          <w:sz w:val="32"/>
          <w:szCs w:val="32"/>
        </w:rPr>
        <w:t xml:space="preserve">    </w:t>
      </w:r>
      <w:bookmarkStart w:id="61" w:name="_Toc176511737"/>
      <w:r>
        <w:rPr>
          <w:rFonts w:ascii="仿宋_GB2312" w:hAnsi="Calibri" w:eastAsia="仿宋_GB2312" w:cs="仿宋"/>
          <w:kern w:val="0"/>
          <w:sz w:val="32"/>
          <w:szCs w:val="32"/>
        </w:rPr>
        <w:t>1</w:t>
      </w:r>
      <w:r>
        <w:rPr>
          <w:rFonts w:hint="eastAsia" w:ascii="仿宋_GB2312" w:hAnsi="Calibri" w:eastAsia="仿宋_GB2312" w:cs="仿宋"/>
          <w:kern w:val="0"/>
          <w:sz w:val="32"/>
          <w:szCs w:val="32"/>
        </w:rPr>
        <w:t>.财政拨款收入：指单位从同级财政部门取得的财政预算资金。</w:t>
      </w:r>
      <w:bookmarkEnd w:id="61"/>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62" w:name="_Toc176511738"/>
      <w:r>
        <w:rPr>
          <w:rFonts w:hint="eastAsia" w:ascii="仿宋_GB2312" w:hAnsi="Calibri" w:eastAsia="仿宋_GB2312" w:cs="仿宋"/>
          <w:kern w:val="0"/>
          <w:sz w:val="32"/>
          <w:szCs w:val="32"/>
        </w:rPr>
        <w:t>2.</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年初结转和结余：指以前年度尚未完成、结转到本年按有关规定继续使用的资金。</w:t>
      </w:r>
      <w:bookmarkEnd w:id="62"/>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63" w:name="_Toc176511739"/>
      <w:r>
        <w:rPr>
          <w:rFonts w:hint="eastAsia" w:ascii="仿宋_GB2312" w:hAnsi="Calibri" w:eastAsia="仿宋_GB2312" w:cs="仿宋"/>
          <w:kern w:val="0"/>
          <w:sz w:val="32"/>
          <w:szCs w:val="32"/>
        </w:rPr>
        <w:t>3. 社会保障和就业支出（类）行政事业单位养老支出（款）行政单位离退休（项）：指行政单位（包括实行公务员法管理的事业单位）开支的离退休经费。</w:t>
      </w:r>
      <w:bookmarkEnd w:id="63"/>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64" w:name="_Toc176511740"/>
      <w:r>
        <w:rPr>
          <w:rFonts w:hint="eastAsia" w:ascii="仿宋_GB2312" w:hAnsi="Calibri" w:eastAsia="仿宋_GB2312" w:cs="仿宋"/>
          <w:kern w:val="0"/>
          <w:sz w:val="32"/>
          <w:szCs w:val="32"/>
        </w:rPr>
        <w:t>4.</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社会保障和就业支出（类）行政事业单位养老支出（款）机关事业单位基本养老保险缴费支出（项）：指机关事业单位实施养老保险制度由单位缴纳的基本养老保险费支出。</w:t>
      </w:r>
      <w:bookmarkEnd w:id="64"/>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65" w:name="_Toc176511741"/>
      <w:r>
        <w:rPr>
          <w:rFonts w:hint="eastAsia" w:ascii="仿宋_GB2312" w:hAnsi="Calibri" w:eastAsia="仿宋_GB2312" w:cs="仿宋"/>
          <w:kern w:val="0"/>
          <w:sz w:val="32"/>
          <w:szCs w:val="32"/>
        </w:rPr>
        <w:t>5.</w:t>
      </w:r>
      <w:r>
        <w:rPr>
          <w:rFonts w:hint="eastAsia" w:ascii="仿宋" w:hAnsi="仿宋" w:eastAsia="仿宋"/>
          <w:bCs/>
          <w:sz w:val="32"/>
          <w:szCs w:val="32"/>
        </w:rPr>
        <w:t>卫生健康</w:t>
      </w:r>
      <w:r>
        <w:rPr>
          <w:rStyle w:val="17"/>
          <w:rFonts w:hint="eastAsia" w:ascii="仿宋" w:hAnsi="仿宋" w:eastAsia="仿宋"/>
          <w:b w:val="0"/>
          <w:bCs/>
          <w:sz w:val="32"/>
          <w:szCs w:val="32"/>
        </w:rPr>
        <w:t>（类）行政事业单位医疗（款）行政单位医疗（项）</w:t>
      </w:r>
      <w:r>
        <w:rPr>
          <w:rStyle w:val="17"/>
          <w:rFonts w:ascii="仿宋" w:hAnsi="仿宋" w:eastAsia="仿宋"/>
          <w:b w:val="0"/>
          <w:bCs/>
          <w:sz w:val="32"/>
          <w:szCs w:val="32"/>
        </w:rPr>
        <w:t>:</w:t>
      </w:r>
      <w:r>
        <w:rPr>
          <w:rFonts w:hint="eastAsia" w:ascii="仿宋_GB2312" w:hAnsi="Calibri" w:eastAsia="仿宋_GB2312" w:cs="仿宋"/>
          <w:kern w:val="0"/>
          <w:sz w:val="32"/>
          <w:szCs w:val="32"/>
        </w:rPr>
        <w:t xml:space="preserve"> 指机关事业单位实施医疗保险制度由单位缴纳的基本医疗保险费支出。</w:t>
      </w:r>
      <w:bookmarkEnd w:id="65"/>
    </w:p>
    <w:p>
      <w:pPr>
        <w:rPr>
          <w:rFonts w:ascii="仿宋_GB2312" w:hAnsi="Calibri" w:eastAsia="仿宋_GB2312" w:cs="仿宋"/>
          <w:kern w:val="0"/>
          <w:sz w:val="32"/>
          <w:szCs w:val="32"/>
        </w:rPr>
      </w:pPr>
      <w:r>
        <w:rPr>
          <w:rStyle w:val="17"/>
          <w:rFonts w:hint="eastAsia" w:ascii="仿宋" w:hAnsi="仿宋" w:eastAsia="仿宋"/>
          <w:b w:val="0"/>
          <w:bCs/>
          <w:sz w:val="32"/>
          <w:szCs w:val="32"/>
        </w:rPr>
        <w:t xml:space="preserve">    6</w:t>
      </w:r>
      <w:r>
        <w:rPr>
          <w:rStyle w:val="17"/>
          <w:rFonts w:ascii="仿宋" w:hAnsi="仿宋" w:eastAsia="仿宋"/>
          <w:b w:val="0"/>
          <w:bCs/>
          <w:sz w:val="32"/>
          <w:szCs w:val="32"/>
        </w:rPr>
        <w:t>.</w:t>
      </w:r>
      <w:r>
        <w:rPr>
          <w:rFonts w:hint="eastAsia" w:ascii="仿宋_GB2312" w:hAnsi="仿宋_GB2312" w:eastAsia="仿宋_GB2312" w:cs="仿宋_GB2312"/>
          <w:b/>
          <w:bCs/>
          <w:sz w:val="32"/>
          <w:szCs w:val="32"/>
        </w:rPr>
        <w:t xml:space="preserve"> </w:t>
      </w:r>
      <w:r>
        <w:rPr>
          <w:rFonts w:hint="eastAsia" w:ascii="仿宋" w:hAnsi="仿宋" w:eastAsia="仿宋"/>
          <w:bCs/>
          <w:sz w:val="32"/>
          <w:szCs w:val="32"/>
        </w:rPr>
        <w:t>卫生健康</w:t>
      </w:r>
      <w:r>
        <w:rPr>
          <w:rStyle w:val="17"/>
          <w:rFonts w:hint="eastAsia" w:ascii="仿宋" w:hAnsi="仿宋" w:eastAsia="仿宋"/>
          <w:b w:val="0"/>
          <w:bCs/>
          <w:sz w:val="32"/>
          <w:szCs w:val="32"/>
        </w:rPr>
        <w:t>（类）行政事业单位医疗（款）公务员医疗补助（项）</w:t>
      </w:r>
      <w:r>
        <w:rPr>
          <w:rStyle w:val="17"/>
          <w:rFonts w:ascii="仿宋" w:hAnsi="仿宋" w:eastAsia="仿宋"/>
          <w:b w:val="0"/>
          <w:bCs/>
          <w:sz w:val="32"/>
          <w:szCs w:val="32"/>
        </w:rPr>
        <w:t>:</w:t>
      </w:r>
      <w:r>
        <w:rPr>
          <w:rFonts w:hint="eastAsia" w:ascii="仿宋_GB2312" w:hAnsi="Calibri" w:eastAsia="仿宋_GB2312" w:cs="仿宋"/>
          <w:b/>
          <w:kern w:val="0"/>
          <w:sz w:val="32"/>
          <w:szCs w:val="32"/>
        </w:rPr>
        <w:t xml:space="preserve"> </w:t>
      </w:r>
      <w:r>
        <w:rPr>
          <w:rFonts w:hint="eastAsia" w:ascii="仿宋_GB2312" w:hAnsi="Calibri" w:eastAsia="仿宋_GB2312" w:cs="仿宋"/>
          <w:kern w:val="0"/>
          <w:sz w:val="32"/>
          <w:szCs w:val="32"/>
        </w:rPr>
        <w:t>指机关事业单位实施医疗保险制度由单位缴纳的公务员医疗补助费支出。</w:t>
      </w:r>
    </w:p>
    <w:p>
      <w:pPr>
        <w:rPr>
          <w:rFonts w:ascii="仿宋_GB2312" w:hAnsi="Calibri" w:eastAsia="仿宋_GB2312" w:cs="仿宋"/>
          <w:kern w:val="0"/>
          <w:sz w:val="32"/>
          <w:szCs w:val="32"/>
        </w:rPr>
      </w:pPr>
      <w:r>
        <w:rPr>
          <w:rStyle w:val="17"/>
          <w:rFonts w:hint="eastAsia" w:ascii="仿宋" w:hAnsi="仿宋" w:eastAsia="仿宋"/>
          <w:b w:val="0"/>
          <w:bCs/>
          <w:sz w:val="32"/>
          <w:szCs w:val="32"/>
        </w:rPr>
        <w:t xml:space="preserve">    7</w:t>
      </w:r>
      <w:r>
        <w:rPr>
          <w:rStyle w:val="17"/>
          <w:rFonts w:ascii="仿宋" w:hAnsi="仿宋" w:eastAsia="仿宋"/>
          <w:b w:val="0"/>
          <w:bCs/>
          <w:sz w:val="32"/>
          <w:szCs w:val="32"/>
        </w:rPr>
        <w:t>.</w:t>
      </w:r>
      <w:r>
        <w:rPr>
          <w:rFonts w:hint="eastAsia" w:ascii="仿宋" w:hAnsi="仿宋" w:eastAsia="仿宋"/>
          <w:bCs/>
          <w:sz w:val="32"/>
          <w:szCs w:val="32"/>
        </w:rPr>
        <w:t>卫生健康</w:t>
      </w:r>
      <w:r>
        <w:rPr>
          <w:rStyle w:val="17"/>
          <w:rFonts w:hint="eastAsia" w:ascii="仿宋" w:hAnsi="仿宋" w:eastAsia="仿宋"/>
          <w:b w:val="0"/>
          <w:bCs/>
          <w:sz w:val="32"/>
          <w:szCs w:val="32"/>
        </w:rPr>
        <w:t>（类）行政事业单位医疗（款）其他行政事业单位医疗支出（项）</w:t>
      </w:r>
      <w:r>
        <w:rPr>
          <w:rStyle w:val="17"/>
          <w:rFonts w:ascii="仿宋" w:hAnsi="仿宋" w:eastAsia="仿宋"/>
          <w:b w:val="0"/>
          <w:bCs/>
          <w:sz w:val="32"/>
          <w:szCs w:val="32"/>
        </w:rPr>
        <w:t>:</w:t>
      </w:r>
      <w:r>
        <w:rPr>
          <w:rFonts w:hint="eastAsia" w:ascii="仿宋_GB2312" w:hAnsi="Calibri" w:eastAsia="仿宋_GB2312" w:cs="仿宋"/>
          <w:kern w:val="0"/>
          <w:sz w:val="32"/>
          <w:szCs w:val="32"/>
        </w:rPr>
        <w:t xml:space="preserve"> 指机关事业单位实施医疗保险制度由单位缴纳的公务员补充医疗保险费支出。</w:t>
      </w:r>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66" w:name="_Toc176511742"/>
      <w:r>
        <w:rPr>
          <w:rFonts w:hint="eastAsia" w:ascii="仿宋_GB2312" w:hAnsi="Calibri" w:eastAsia="仿宋_GB2312" w:cs="仿宋"/>
          <w:kern w:val="0"/>
          <w:sz w:val="32"/>
          <w:szCs w:val="32"/>
        </w:rPr>
        <w:t>8.交通运输支出（类）公路水路运输（款）行政运行（项）：指交通运输方面的行政单位（包括实行公务员法管理的事业单位）的基本支出。</w:t>
      </w:r>
      <w:bookmarkEnd w:id="66"/>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67" w:name="_Toc176511743"/>
      <w:r>
        <w:rPr>
          <w:rFonts w:hint="eastAsia" w:ascii="仿宋_GB2312" w:hAnsi="Calibri" w:eastAsia="仿宋_GB2312" w:cs="仿宋"/>
          <w:kern w:val="0"/>
          <w:sz w:val="32"/>
          <w:szCs w:val="32"/>
        </w:rPr>
        <w:t>9.交通运输支出（类）公路水路运输（款）海事管理（项）：指海事管理工作经费，本年度主要为省级补助资金建设项目方面的资金等。</w:t>
      </w:r>
      <w:bookmarkEnd w:id="67"/>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68" w:name="_Toc176511744"/>
      <w:r>
        <w:rPr>
          <w:rFonts w:hint="eastAsia" w:ascii="仿宋_GB2312" w:hAnsi="Calibri" w:eastAsia="仿宋_GB2312" w:cs="仿宋"/>
          <w:kern w:val="0"/>
          <w:sz w:val="32"/>
          <w:szCs w:val="32"/>
        </w:rPr>
        <w:t>10</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住房保障支出（类）住房改革支出（款）住房公积金（项）：指行政事业单位按人力资源和社会保障部、财政部规定的基本工资和津贴补贴以及规定比例为职工缴纳的住房公积金。</w:t>
      </w:r>
      <w:bookmarkEnd w:id="68"/>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69" w:name="_Toc176511745"/>
      <w:r>
        <w:rPr>
          <w:rFonts w:hint="eastAsia" w:ascii="仿宋_GB2312" w:hAnsi="Calibri" w:eastAsia="仿宋_GB2312" w:cs="仿宋"/>
          <w:kern w:val="0"/>
          <w:sz w:val="32"/>
          <w:szCs w:val="32"/>
        </w:rPr>
        <w:t>11</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基本支出：指为保障机构正常运转、完成日常工作任务而发生的人员支出和公用支出。</w:t>
      </w:r>
      <w:bookmarkEnd w:id="69"/>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70" w:name="_Toc176511746"/>
      <w:r>
        <w:rPr>
          <w:rFonts w:hint="eastAsia" w:ascii="仿宋_GB2312" w:hAnsi="Calibri" w:eastAsia="仿宋_GB2312" w:cs="仿宋"/>
          <w:kern w:val="0"/>
          <w:sz w:val="32"/>
          <w:szCs w:val="32"/>
        </w:rPr>
        <w:t>12.</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项目支出：指在基本支出之外为完成特定行政任务和事业发展目标所发生的支出。</w:t>
      </w:r>
      <w:bookmarkEnd w:id="70"/>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71" w:name="_Toc176511747"/>
      <w:r>
        <w:rPr>
          <w:rFonts w:hint="eastAsia" w:ascii="仿宋_GB2312" w:hAnsi="Calibri" w:eastAsia="仿宋_GB2312" w:cs="仿宋"/>
          <w:kern w:val="0"/>
          <w:sz w:val="32"/>
          <w:szCs w:val="32"/>
        </w:rPr>
        <w:t>13. “三公”经费：指部门用财政拨款安排的因公出国（境）费、公务用车购置及运行费和公务接待费。其中，因公出国（境）费反映单位公务出国（境）的国际旅费、国外城市间交通费、住宿费、伙食费、培训费、公杂费等支出；</w:t>
      </w:r>
      <w:bookmarkEnd w:id="71"/>
      <w:bookmarkStart w:id="72" w:name="_Toc176511748"/>
    </w:p>
    <w:p>
      <w:pPr>
        <w:rPr>
          <w:rFonts w:ascii="仿宋_GB2312" w:eastAsia="仿宋_GB2312"/>
          <w:sz w:val="32"/>
          <w:szCs w:val="32"/>
        </w:rPr>
      </w:pPr>
      <w:r>
        <w:rPr>
          <w:rFonts w:hint="eastAsia" w:ascii="仿宋_GB2312" w:hAnsi="Calibri" w:eastAsia="仿宋_GB2312" w:cs="仿宋"/>
          <w:kern w:val="0"/>
          <w:sz w:val="32"/>
          <w:szCs w:val="32"/>
        </w:rPr>
        <w:t xml:space="preserve">    </w:t>
      </w:r>
      <w:r>
        <w:rPr>
          <w:rFonts w:hint="eastAsia" w:ascii="仿宋_GB2312" w:eastAsia="仿宋_GB2312"/>
          <w:sz w:val="32"/>
          <w:szCs w:val="32"/>
        </w:rPr>
        <w:t>14.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72"/>
    </w:p>
    <w:p>
      <w:pPr>
        <w:rPr>
          <w:rFonts w:ascii="仿宋_GB2312" w:eastAsia="仿宋_GB2312"/>
          <w:sz w:val="32"/>
          <w:szCs w:val="32"/>
        </w:rPr>
      </w:pPr>
    </w:p>
    <w:p>
      <w:pPr>
        <w:pStyle w:val="3"/>
        <w:jc w:val="center"/>
        <w:rPr>
          <w:rFonts w:ascii="仿宋_GB2312" w:hAnsi="Calibri" w:eastAsia="仿宋_GB2312" w:cs="仿宋"/>
          <w:kern w:val="0"/>
          <w:sz w:val="32"/>
          <w:szCs w:val="32"/>
        </w:rPr>
      </w:pPr>
      <w:r>
        <w:rPr>
          <w:rFonts w:ascii="宋体"/>
        </w:rPr>
        <w:br w:type="page"/>
      </w:r>
      <w:bookmarkStart w:id="73" w:name="_Toc15396614"/>
      <w:bookmarkStart w:id="74" w:name="_Toc176511749"/>
      <w:r>
        <w:rPr>
          <w:rFonts w:hint="eastAsia"/>
        </w:rPr>
        <w:t>第四部分 附件</w:t>
      </w:r>
      <w:bookmarkEnd w:id="73"/>
      <w:bookmarkEnd w:id="74"/>
    </w:p>
    <w:p>
      <w:pPr>
        <w:spacing w:line="600" w:lineRule="exact"/>
        <w:jc w:val="center"/>
        <w:outlineLvl w:val="0"/>
        <w:rPr>
          <w:rFonts w:ascii="仿宋_GB2312" w:hAnsi="黑体" w:eastAsia="仿宋_GB2312"/>
          <w:color w:val="FF0000"/>
          <w:sz w:val="44"/>
          <w:szCs w:val="44"/>
        </w:rPr>
      </w:pPr>
      <w:bookmarkStart w:id="75" w:name="_Toc176511750"/>
      <w:bookmarkStart w:id="76" w:name="_Toc15396618"/>
      <w:r>
        <w:rPr>
          <w:rFonts w:hint="eastAsia" w:ascii="仿宋_GB2312" w:eastAsia="仿宋_GB2312"/>
          <w:sz w:val="32"/>
          <w:szCs w:val="32"/>
        </w:rPr>
        <w:t>部门预算项目支出绩效自评表（2023年度）</w:t>
      </w:r>
      <w:bookmarkEnd w:id="75"/>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
    <w:p/>
    <w:p/>
    <w:p/>
    <w:p/>
    <w:p/>
    <w:p/>
    <w:p/>
    <w:p/>
    <w:p/>
    <w:p>
      <w:bookmarkStart w:id="77" w:name="_Toc176511751"/>
    </w:p>
    <w:p/>
    <w:p/>
    <w:p/>
    <w:p>
      <w:pPr>
        <w:pStyle w:val="3"/>
        <w:jc w:val="center"/>
        <w:rPr>
          <w:rFonts w:ascii="仿宋" w:hAnsi="仿宋" w:eastAsia="仿宋"/>
        </w:rPr>
      </w:pPr>
      <w:r>
        <w:rPr>
          <w:rFonts w:hint="eastAsia"/>
        </w:rPr>
        <w:t>第五部分 附表</w:t>
      </w:r>
      <w:bookmarkEnd w:id="60"/>
      <w:bookmarkEnd w:id="76"/>
      <w:bookmarkEnd w:id="77"/>
    </w:p>
    <w:p>
      <w:pPr>
        <w:rPr>
          <w:rFonts w:ascii="仿宋_GB2312" w:eastAsia="仿宋_GB2312" w:hAnsiTheme="minorEastAsia"/>
          <w:sz w:val="32"/>
          <w:szCs w:val="32"/>
        </w:rPr>
      </w:pPr>
      <w:bookmarkStart w:id="78" w:name="_Toc15396619"/>
      <w:r>
        <w:rPr>
          <w:rFonts w:hint="eastAsia" w:ascii="仿宋_GB2312" w:eastAsia="仿宋_GB2312" w:hAnsiTheme="minorEastAsia"/>
          <w:sz w:val="32"/>
          <w:szCs w:val="32"/>
        </w:rPr>
        <w:t>一、收</w:t>
      </w:r>
      <w:r>
        <w:rPr>
          <w:rStyle w:val="28"/>
          <w:rFonts w:hint="eastAsia" w:ascii="仿宋_GB2312" w:eastAsia="仿宋_GB2312" w:hAnsiTheme="minorEastAsia"/>
          <w:b w:val="0"/>
        </w:rPr>
        <w:t>入支出决算总表</w:t>
      </w:r>
      <w:bookmarkEnd w:id="78"/>
    </w:p>
    <w:p>
      <w:pPr>
        <w:rPr>
          <w:rFonts w:ascii="仿宋_GB2312" w:eastAsia="仿宋_GB2312" w:hAnsiTheme="minorEastAsia"/>
          <w:sz w:val="32"/>
          <w:szCs w:val="32"/>
        </w:rPr>
      </w:pPr>
      <w:bookmarkStart w:id="79" w:name="_Toc15396620"/>
      <w:r>
        <w:rPr>
          <w:rFonts w:hint="eastAsia" w:ascii="仿宋_GB2312" w:eastAsia="仿宋_GB2312" w:hAnsiTheme="minorEastAsia"/>
          <w:sz w:val="32"/>
          <w:szCs w:val="32"/>
        </w:rPr>
        <w:t>二、收</w:t>
      </w:r>
      <w:r>
        <w:rPr>
          <w:rStyle w:val="28"/>
          <w:rFonts w:hint="eastAsia" w:ascii="仿宋_GB2312" w:eastAsia="仿宋_GB2312" w:hAnsiTheme="minorEastAsia"/>
          <w:b w:val="0"/>
        </w:rPr>
        <w:t>入决算表</w:t>
      </w:r>
      <w:bookmarkEnd w:id="79"/>
    </w:p>
    <w:p>
      <w:pPr>
        <w:rPr>
          <w:rFonts w:ascii="仿宋_GB2312" w:eastAsia="仿宋_GB2312" w:hAnsiTheme="minorEastAsia"/>
          <w:sz w:val="32"/>
          <w:szCs w:val="32"/>
        </w:rPr>
      </w:pPr>
      <w:bookmarkStart w:id="80" w:name="_Toc176511752"/>
      <w:bookmarkStart w:id="81" w:name="_Toc15396621"/>
      <w:r>
        <w:rPr>
          <w:rStyle w:val="28"/>
          <w:rFonts w:hint="eastAsia" w:ascii="仿宋_GB2312" w:eastAsia="仿宋_GB2312" w:hAnsiTheme="minorEastAsia"/>
          <w:b w:val="0"/>
        </w:rPr>
        <w:t>三、</w:t>
      </w:r>
      <w:bookmarkEnd w:id="80"/>
      <w:r>
        <w:rPr>
          <w:rFonts w:hint="eastAsia" w:ascii="仿宋_GB2312" w:eastAsia="仿宋_GB2312" w:hAnsiTheme="minorEastAsia"/>
          <w:sz w:val="32"/>
          <w:szCs w:val="32"/>
        </w:rPr>
        <w:t>支</w:t>
      </w:r>
      <w:r>
        <w:rPr>
          <w:rStyle w:val="28"/>
          <w:rFonts w:hint="eastAsia" w:ascii="仿宋_GB2312" w:eastAsia="仿宋_GB2312" w:hAnsiTheme="minorEastAsia"/>
          <w:b w:val="0"/>
        </w:rPr>
        <w:t>出决算表</w:t>
      </w:r>
      <w:bookmarkEnd w:id="81"/>
    </w:p>
    <w:p>
      <w:pPr>
        <w:rPr>
          <w:rFonts w:ascii="仿宋_GB2312" w:eastAsia="仿宋_GB2312" w:hAnsiTheme="minorEastAsia"/>
          <w:sz w:val="32"/>
          <w:szCs w:val="32"/>
        </w:rPr>
      </w:pPr>
      <w:bookmarkStart w:id="82" w:name="_Toc176511753"/>
      <w:bookmarkStart w:id="83" w:name="_Toc15396622"/>
      <w:r>
        <w:rPr>
          <w:rStyle w:val="28"/>
          <w:rFonts w:hint="eastAsia" w:ascii="仿宋_GB2312" w:eastAsia="仿宋_GB2312" w:hAnsiTheme="minorEastAsia"/>
          <w:b w:val="0"/>
        </w:rPr>
        <w:t>四、</w:t>
      </w:r>
      <w:bookmarkEnd w:id="82"/>
      <w:r>
        <w:rPr>
          <w:rFonts w:hint="eastAsia" w:ascii="仿宋_GB2312" w:eastAsia="仿宋_GB2312" w:hAnsiTheme="minorEastAsia"/>
          <w:sz w:val="32"/>
          <w:szCs w:val="32"/>
        </w:rPr>
        <w:t>财</w:t>
      </w:r>
      <w:r>
        <w:rPr>
          <w:rStyle w:val="28"/>
          <w:rFonts w:hint="eastAsia" w:ascii="仿宋_GB2312" w:eastAsia="仿宋_GB2312" w:hAnsiTheme="minorEastAsia"/>
          <w:b w:val="0"/>
        </w:rPr>
        <w:t>政拨款收入支出决算总表</w:t>
      </w:r>
      <w:bookmarkEnd w:id="83"/>
    </w:p>
    <w:p>
      <w:pPr>
        <w:rPr>
          <w:rStyle w:val="28"/>
          <w:rFonts w:ascii="仿宋_GB2312" w:eastAsia="仿宋_GB2312" w:hAnsiTheme="minorEastAsia"/>
          <w:b w:val="0"/>
        </w:rPr>
      </w:pPr>
      <w:bookmarkStart w:id="84" w:name="_Toc176511754"/>
      <w:bookmarkStart w:id="85" w:name="_Toc15396623"/>
      <w:r>
        <w:rPr>
          <w:rStyle w:val="28"/>
          <w:rFonts w:hint="eastAsia" w:ascii="仿宋_GB2312" w:eastAsia="仿宋_GB2312" w:hAnsiTheme="minorEastAsia"/>
          <w:b w:val="0"/>
        </w:rPr>
        <w:t>五、</w:t>
      </w:r>
      <w:bookmarkEnd w:id="84"/>
      <w:r>
        <w:rPr>
          <w:rFonts w:hint="eastAsia" w:ascii="仿宋_GB2312" w:eastAsia="仿宋_GB2312" w:hAnsiTheme="minorEastAsia"/>
          <w:sz w:val="32"/>
          <w:szCs w:val="32"/>
        </w:rPr>
        <w:t>财</w:t>
      </w:r>
      <w:r>
        <w:rPr>
          <w:rStyle w:val="28"/>
          <w:rFonts w:hint="eastAsia" w:ascii="仿宋_GB2312" w:eastAsia="仿宋_GB2312" w:hAnsiTheme="minorEastAsia"/>
          <w:b w:val="0"/>
        </w:rPr>
        <w:t>政拨款支出决算明细表</w:t>
      </w:r>
      <w:bookmarkEnd w:id="85"/>
      <w:bookmarkStart w:id="86" w:name="_Toc15396624"/>
    </w:p>
    <w:p>
      <w:pPr>
        <w:rPr>
          <w:rFonts w:ascii="仿宋_GB2312" w:eastAsia="仿宋_GB2312" w:hAnsiTheme="minorEastAsia"/>
          <w:sz w:val="32"/>
          <w:szCs w:val="32"/>
        </w:rPr>
      </w:pPr>
      <w:bookmarkStart w:id="87" w:name="_Toc176511755"/>
      <w:r>
        <w:rPr>
          <w:rStyle w:val="28"/>
          <w:rFonts w:hint="eastAsia" w:ascii="仿宋_GB2312" w:eastAsia="仿宋_GB2312" w:hAnsiTheme="minorEastAsia"/>
          <w:b w:val="0"/>
        </w:rPr>
        <w:t>六、</w:t>
      </w:r>
      <w:bookmarkEnd w:id="87"/>
      <w:r>
        <w:rPr>
          <w:rFonts w:hint="eastAsia" w:ascii="仿宋_GB2312" w:eastAsia="仿宋_GB2312" w:hAnsiTheme="minorEastAsia"/>
          <w:sz w:val="32"/>
          <w:szCs w:val="32"/>
        </w:rPr>
        <w:t>一</w:t>
      </w:r>
      <w:r>
        <w:rPr>
          <w:rStyle w:val="28"/>
          <w:rFonts w:hint="eastAsia" w:ascii="仿宋_GB2312" w:eastAsia="仿宋_GB2312" w:hAnsiTheme="minorEastAsia"/>
          <w:b w:val="0"/>
        </w:rPr>
        <w:t>般公共预算财政拨款支出决算表</w:t>
      </w:r>
      <w:bookmarkEnd w:id="86"/>
    </w:p>
    <w:p>
      <w:pPr>
        <w:rPr>
          <w:rFonts w:ascii="仿宋_GB2312" w:eastAsia="仿宋_GB2312" w:hAnsiTheme="minorEastAsia"/>
          <w:sz w:val="32"/>
          <w:szCs w:val="32"/>
        </w:rPr>
      </w:pPr>
      <w:bookmarkStart w:id="88" w:name="_Toc176511756"/>
      <w:bookmarkStart w:id="89" w:name="_Toc15396625"/>
      <w:r>
        <w:rPr>
          <w:rStyle w:val="28"/>
          <w:rFonts w:hint="eastAsia" w:ascii="仿宋_GB2312" w:eastAsia="仿宋_GB2312" w:hAnsiTheme="minorEastAsia"/>
          <w:b w:val="0"/>
        </w:rPr>
        <w:t>七、</w:t>
      </w:r>
      <w:bookmarkEnd w:id="88"/>
      <w:r>
        <w:rPr>
          <w:rFonts w:hint="eastAsia" w:ascii="仿宋_GB2312" w:eastAsia="仿宋_GB2312" w:hAnsiTheme="minorEastAsia"/>
          <w:sz w:val="32"/>
          <w:szCs w:val="32"/>
        </w:rPr>
        <w:t>一</w:t>
      </w:r>
      <w:r>
        <w:rPr>
          <w:rStyle w:val="28"/>
          <w:rFonts w:hint="eastAsia" w:ascii="仿宋_GB2312" w:eastAsia="仿宋_GB2312" w:hAnsiTheme="minorEastAsia"/>
          <w:b w:val="0"/>
        </w:rPr>
        <w:t>般公共预算财政拨款支出决算明细表</w:t>
      </w:r>
      <w:bookmarkEnd w:id="89"/>
    </w:p>
    <w:p>
      <w:pPr>
        <w:rPr>
          <w:rFonts w:ascii="仿宋_GB2312" w:eastAsia="仿宋_GB2312" w:hAnsiTheme="minorEastAsia"/>
          <w:sz w:val="32"/>
          <w:szCs w:val="32"/>
        </w:rPr>
      </w:pPr>
      <w:bookmarkStart w:id="90" w:name="_Toc176511757"/>
      <w:bookmarkStart w:id="91" w:name="_Toc15396626"/>
      <w:r>
        <w:rPr>
          <w:rStyle w:val="28"/>
          <w:rFonts w:hint="eastAsia" w:ascii="仿宋_GB2312" w:eastAsia="仿宋_GB2312" w:hAnsiTheme="minorEastAsia"/>
          <w:b w:val="0"/>
        </w:rPr>
        <w:t>八、</w:t>
      </w:r>
      <w:bookmarkEnd w:id="90"/>
      <w:r>
        <w:rPr>
          <w:rFonts w:hint="eastAsia" w:ascii="仿宋_GB2312" w:eastAsia="仿宋_GB2312" w:hAnsiTheme="minorEastAsia"/>
          <w:sz w:val="32"/>
          <w:szCs w:val="32"/>
        </w:rPr>
        <w:t>一</w:t>
      </w:r>
      <w:r>
        <w:rPr>
          <w:rStyle w:val="28"/>
          <w:rFonts w:hint="eastAsia" w:ascii="仿宋_GB2312" w:eastAsia="仿宋_GB2312" w:hAnsiTheme="minorEastAsia"/>
          <w:b w:val="0"/>
        </w:rPr>
        <w:t>般公共预算财政拨款基本支出决算表</w:t>
      </w:r>
      <w:bookmarkEnd w:id="91"/>
    </w:p>
    <w:p>
      <w:pPr>
        <w:rPr>
          <w:rFonts w:ascii="仿宋_GB2312" w:eastAsia="仿宋_GB2312" w:hAnsiTheme="minorEastAsia"/>
          <w:sz w:val="32"/>
          <w:szCs w:val="32"/>
        </w:rPr>
      </w:pPr>
      <w:bookmarkStart w:id="92" w:name="_Toc176511758"/>
      <w:bookmarkStart w:id="93" w:name="_Toc15396627"/>
      <w:r>
        <w:rPr>
          <w:rStyle w:val="28"/>
          <w:rFonts w:hint="eastAsia" w:ascii="仿宋_GB2312" w:eastAsia="仿宋_GB2312" w:hAnsiTheme="minorEastAsia"/>
          <w:b w:val="0"/>
        </w:rPr>
        <w:t>九、</w:t>
      </w:r>
      <w:bookmarkEnd w:id="92"/>
      <w:r>
        <w:rPr>
          <w:rFonts w:hint="eastAsia" w:ascii="仿宋_GB2312" w:eastAsia="仿宋_GB2312" w:hAnsiTheme="minorEastAsia"/>
          <w:sz w:val="32"/>
          <w:szCs w:val="32"/>
        </w:rPr>
        <w:t>一</w:t>
      </w:r>
      <w:r>
        <w:rPr>
          <w:rStyle w:val="28"/>
          <w:rFonts w:hint="eastAsia" w:ascii="仿宋_GB2312" w:eastAsia="仿宋_GB2312" w:hAnsiTheme="minorEastAsia"/>
          <w:b w:val="0"/>
        </w:rPr>
        <w:t>般公共预算财政拨款项目支出决算表</w:t>
      </w:r>
      <w:bookmarkEnd w:id="93"/>
    </w:p>
    <w:p>
      <w:pPr>
        <w:rPr>
          <w:rFonts w:ascii="仿宋_GB2312" w:eastAsia="仿宋_GB2312" w:hAnsiTheme="minorEastAsia"/>
          <w:sz w:val="32"/>
          <w:szCs w:val="32"/>
        </w:rPr>
      </w:pPr>
      <w:bookmarkStart w:id="94" w:name="_Toc15396628"/>
      <w:bookmarkStart w:id="95" w:name="_Toc176511759"/>
      <w:r>
        <w:rPr>
          <w:rStyle w:val="28"/>
          <w:rFonts w:hint="eastAsia" w:ascii="仿宋_GB2312" w:eastAsia="仿宋_GB2312" w:hAnsiTheme="minorEastAsia"/>
          <w:b w:val="0"/>
        </w:rPr>
        <w:t>十、</w:t>
      </w:r>
      <w:bookmarkEnd w:id="94"/>
      <w:bookmarkEnd w:id="95"/>
      <w:r>
        <w:rPr>
          <w:rFonts w:hint="eastAsia" w:ascii="仿宋_GB2312" w:eastAsia="仿宋_GB2312" w:hAnsiTheme="minorEastAsia"/>
          <w:sz w:val="32"/>
          <w:szCs w:val="32"/>
        </w:rPr>
        <w:t>政</w:t>
      </w:r>
      <w:r>
        <w:rPr>
          <w:rStyle w:val="28"/>
          <w:rFonts w:hint="eastAsia" w:ascii="仿宋_GB2312" w:eastAsia="仿宋_GB2312" w:hAnsiTheme="minorEastAsia"/>
          <w:b w:val="0"/>
        </w:rPr>
        <w:t>府性基金预算财政拨款收入支出决算表</w:t>
      </w:r>
    </w:p>
    <w:p>
      <w:pPr>
        <w:rPr>
          <w:rFonts w:ascii="仿宋_GB2312" w:eastAsia="仿宋_GB2312" w:hAnsiTheme="minorEastAsia"/>
          <w:sz w:val="32"/>
          <w:szCs w:val="32"/>
        </w:rPr>
      </w:pPr>
      <w:bookmarkStart w:id="96" w:name="_Toc15396629"/>
      <w:bookmarkStart w:id="97" w:name="_Toc176511760"/>
      <w:r>
        <w:rPr>
          <w:rStyle w:val="28"/>
          <w:rFonts w:hint="eastAsia" w:ascii="仿宋_GB2312" w:eastAsia="仿宋_GB2312" w:hAnsiTheme="minorEastAsia"/>
          <w:b w:val="0"/>
        </w:rPr>
        <w:t>十一、</w:t>
      </w:r>
      <w:bookmarkEnd w:id="96"/>
      <w:bookmarkEnd w:id="97"/>
      <w:r>
        <w:rPr>
          <w:rFonts w:hint="eastAsia" w:ascii="仿宋_GB2312" w:eastAsia="仿宋_GB2312" w:hAnsiTheme="minorEastAsia"/>
          <w:sz w:val="32"/>
          <w:szCs w:val="32"/>
        </w:rPr>
        <w:t>国</w:t>
      </w:r>
      <w:r>
        <w:rPr>
          <w:rStyle w:val="28"/>
          <w:rFonts w:hint="eastAsia" w:ascii="仿宋_GB2312" w:eastAsia="仿宋_GB2312" w:hAnsiTheme="minorEastAsia"/>
          <w:b w:val="0"/>
        </w:rPr>
        <w:t>有资本经营预算财政拨款收入支出决算表</w:t>
      </w:r>
    </w:p>
    <w:p>
      <w:pPr>
        <w:rPr>
          <w:rFonts w:ascii="仿宋_GB2312" w:eastAsia="仿宋_GB2312" w:hAnsiTheme="minorEastAsia"/>
          <w:sz w:val="32"/>
          <w:szCs w:val="32"/>
        </w:rPr>
      </w:pPr>
      <w:bookmarkStart w:id="98" w:name="_Toc15396630"/>
      <w:bookmarkStart w:id="99" w:name="_Toc176511761"/>
      <w:r>
        <w:rPr>
          <w:rStyle w:val="28"/>
          <w:rFonts w:hint="eastAsia" w:ascii="仿宋_GB2312" w:eastAsia="仿宋_GB2312" w:hAnsiTheme="minorEastAsia"/>
          <w:b w:val="0"/>
        </w:rPr>
        <w:t>十二、</w:t>
      </w:r>
      <w:bookmarkEnd w:id="98"/>
      <w:r>
        <w:rPr>
          <w:rStyle w:val="28"/>
          <w:rFonts w:hint="eastAsia" w:ascii="仿宋_GB2312" w:eastAsia="仿宋_GB2312" w:hAnsiTheme="minorEastAsia"/>
          <w:b w:val="0"/>
        </w:rPr>
        <w:t>国有资本经营预算财政拨款支出决算表</w:t>
      </w:r>
      <w:bookmarkEnd w:id="99"/>
    </w:p>
    <w:p>
      <w:pPr>
        <w:rPr>
          <w:rFonts w:ascii="仿宋_GB2312" w:eastAsia="仿宋_GB2312" w:hAnsiTheme="minorEastAsia"/>
          <w:sz w:val="32"/>
          <w:szCs w:val="32"/>
        </w:rPr>
      </w:pPr>
      <w:bookmarkStart w:id="100" w:name="_Toc15396631"/>
      <w:bookmarkStart w:id="101" w:name="_Toc176511762"/>
      <w:r>
        <w:rPr>
          <w:rStyle w:val="28"/>
          <w:rFonts w:hint="eastAsia" w:ascii="仿宋_GB2312" w:eastAsia="仿宋_GB2312" w:hAnsiTheme="minorEastAsia"/>
          <w:b w:val="0"/>
        </w:rPr>
        <w:t>十三、</w:t>
      </w:r>
      <w:bookmarkEnd w:id="100"/>
      <w:r>
        <w:rPr>
          <w:rStyle w:val="28"/>
          <w:rFonts w:hint="eastAsia" w:ascii="仿宋_GB2312" w:eastAsia="仿宋_GB2312" w:hAnsiTheme="minorEastAsia"/>
          <w:b w:val="0"/>
        </w:rPr>
        <w:t>财政拨款“三公”经费支出决算表</w:t>
      </w:r>
      <w:bookmarkEnd w:id="101"/>
    </w:p>
    <w:sectPr>
      <w:headerReference r:id="rId4" w:type="defaul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pict>
        <v:shape id="文本框 5" o:spid="_x0000_s614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10"/>
                </w:pPr>
              </w:p>
            </w:txbxContent>
          </v:textbox>
        </v:shape>
      </w:pic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2D31"/>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455A"/>
    <w:rsid w:val="001F7506"/>
    <w:rsid w:val="002006CD"/>
    <w:rsid w:val="00202B36"/>
    <w:rsid w:val="002031C5"/>
    <w:rsid w:val="00204B7A"/>
    <w:rsid w:val="00204CDE"/>
    <w:rsid w:val="00206907"/>
    <w:rsid w:val="0021101A"/>
    <w:rsid w:val="00212B4A"/>
    <w:rsid w:val="00220536"/>
    <w:rsid w:val="0023126A"/>
    <w:rsid w:val="00235629"/>
    <w:rsid w:val="00260C38"/>
    <w:rsid w:val="002616C0"/>
    <w:rsid w:val="00265372"/>
    <w:rsid w:val="002662AA"/>
    <w:rsid w:val="00280496"/>
    <w:rsid w:val="002835C0"/>
    <w:rsid w:val="00294DC9"/>
    <w:rsid w:val="00295495"/>
    <w:rsid w:val="002A31DE"/>
    <w:rsid w:val="002B2613"/>
    <w:rsid w:val="002C5004"/>
    <w:rsid w:val="002D6D05"/>
    <w:rsid w:val="002F1818"/>
    <w:rsid w:val="002F567B"/>
    <w:rsid w:val="003216A9"/>
    <w:rsid w:val="00335A74"/>
    <w:rsid w:val="0036561B"/>
    <w:rsid w:val="0037013F"/>
    <w:rsid w:val="00370471"/>
    <w:rsid w:val="00373C10"/>
    <w:rsid w:val="00380C92"/>
    <w:rsid w:val="003948E8"/>
    <w:rsid w:val="003A1C06"/>
    <w:rsid w:val="003A484F"/>
    <w:rsid w:val="003A4883"/>
    <w:rsid w:val="003A6022"/>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C0F72"/>
    <w:rsid w:val="004E049F"/>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974F1"/>
    <w:rsid w:val="005B3FFC"/>
    <w:rsid w:val="005B46B2"/>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B3813"/>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0785F"/>
    <w:rsid w:val="00813102"/>
    <w:rsid w:val="00813348"/>
    <w:rsid w:val="008253BB"/>
    <w:rsid w:val="0083706E"/>
    <w:rsid w:val="008408F6"/>
    <w:rsid w:val="008423A5"/>
    <w:rsid w:val="00850625"/>
    <w:rsid w:val="00853718"/>
    <w:rsid w:val="00855221"/>
    <w:rsid w:val="00860645"/>
    <w:rsid w:val="0086631D"/>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1AA6"/>
    <w:rsid w:val="009B2C43"/>
    <w:rsid w:val="009B4EAE"/>
    <w:rsid w:val="009B7573"/>
    <w:rsid w:val="009C22F4"/>
    <w:rsid w:val="009C2A4B"/>
    <w:rsid w:val="009C2E98"/>
    <w:rsid w:val="009D3447"/>
    <w:rsid w:val="009D46D4"/>
    <w:rsid w:val="009D4711"/>
    <w:rsid w:val="009D573A"/>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04C3"/>
    <w:rsid w:val="00A91760"/>
    <w:rsid w:val="00A9395B"/>
    <w:rsid w:val="00A93B00"/>
    <w:rsid w:val="00A93C21"/>
    <w:rsid w:val="00AA5533"/>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4A52"/>
    <w:rsid w:val="00BF5BD6"/>
    <w:rsid w:val="00C03E31"/>
    <w:rsid w:val="00C04031"/>
    <w:rsid w:val="00C114D2"/>
    <w:rsid w:val="00C25F21"/>
    <w:rsid w:val="00C33E72"/>
    <w:rsid w:val="00C354B2"/>
    <w:rsid w:val="00C35554"/>
    <w:rsid w:val="00C42709"/>
    <w:rsid w:val="00C533CC"/>
    <w:rsid w:val="00C5751C"/>
    <w:rsid w:val="00C61BFC"/>
    <w:rsid w:val="00C62B85"/>
    <w:rsid w:val="00C64830"/>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0D0"/>
    <w:rsid w:val="00D34E7C"/>
    <w:rsid w:val="00D35489"/>
    <w:rsid w:val="00D36792"/>
    <w:rsid w:val="00D36AFE"/>
    <w:rsid w:val="00D51276"/>
    <w:rsid w:val="00D7035F"/>
    <w:rsid w:val="00DA634F"/>
    <w:rsid w:val="00DA65AC"/>
    <w:rsid w:val="00DB1913"/>
    <w:rsid w:val="00DC410D"/>
    <w:rsid w:val="00DC5A81"/>
    <w:rsid w:val="00DC6073"/>
    <w:rsid w:val="00DC68CA"/>
    <w:rsid w:val="00DC7CBA"/>
    <w:rsid w:val="00DD0934"/>
    <w:rsid w:val="00DD73B7"/>
    <w:rsid w:val="00DF28BC"/>
    <w:rsid w:val="00DF34B9"/>
    <w:rsid w:val="00E01053"/>
    <w:rsid w:val="00E0661B"/>
    <w:rsid w:val="00E07ACF"/>
    <w:rsid w:val="00E331A1"/>
    <w:rsid w:val="00E33202"/>
    <w:rsid w:val="00E336A9"/>
    <w:rsid w:val="00E472B1"/>
    <w:rsid w:val="00E50624"/>
    <w:rsid w:val="00E568DF"/>
    <w:rsid w:val="00E64269"/>
    <w:rsid w:val="00E70B17"/>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71F9"/>
    <w:rsid w:val="00F71D74"/>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DF8CAE"/>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收入支出对比</a:t>
            </a:r>
            <a:endParaRPr lang="zh-CN" altLang="en-US">
              <a:solidFill>
                <a:schemeClr val="tx1">
                  <a:lumMod val="50000"/>
                </a:schemeClr>
              </a:solidFill>
              <a:uFillTx/>
            </a:endParaRPr>
          </a:p>
        </c:rich>
      </c:tx>
      <c:layout/>
      <c:overlay val="false"/>
      <c:spPr>
        <a:noFill/>
        <a:ln w="25358">
          <a:noFill/>
        </a:ln>
      </c:spPr>
    </c:title>
    <c:autoTitleDeleted val="false"/>
    <c:plotArea>
      <c:layout/>
      <c:barChart>
        <c:barDir val="col"/>
        <c:grouping val="clustered"/>
        <c:varyColors val="false"/>
        <c:ser>
          <c:idx val="0"/>
          <c:order val="0"/>
          <c:tx>
            <c:strRef>
              <c:f>Sheet1!$B$1</c:f>
              <c:strCache>
                <c:ptCount val="1"/>
                <c:pt idx="0">
                  <c:v>2022年度</c:v>
                </c:pt>
              </c:strCache>
            </c:strRef>
          </c:tx>
          <c:spPr>
            <a:solidFill>
              <a:srgbClr val="4F81BD"/>
            </a:solidFill>
            <a:ln w="25358">
              <a:noFill/>
            </a:ln>
          </c:spPr>
          <c:invertIfNegative val="false"/>
          <c:dLbls>
            <c:spPr>
              <a:noFill/>
              <a:ln w="25358">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296.29</c:v>
                </c:pt>
                <c:pt idx="1">
                  <c:v>296.29</c:v>
                </c:pt>
              </c:numCache>
            </c:numRef>
          </c:val>
        </c:ser>
        <c:ser>
          <c:idx val="1"/>
          <c:order val="1"/>
          <c:tx>
            <c:strRef>
              <c:f>Sheet1!$C$1</c:f>
              <c:strCache>
                <c:ptCount val="1"/>
                <c:pt idx="0">
                  <c:v>2023年度</c:v>
                </c:pt>
              </c:strCache>
            </c:strRef>
          </c:tx>
          <c:spPr>
            <a:solidFill>
              <a:srgbClr val="C0504D"/>
            </a:solidFill>
            <a:ln w="25358">
              <a:noFill/>
            </a:ln>
          </c:spPr>
          <c:invertIfNegative val="false"/>
          <c:dLbls>
            <c:dLbl>
              <c:idx val="0"/>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en-US"/>
                      <a:t>549.79</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w="25358">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549.79</c:v>
                </c:pt>
                <c:pt idx="1">
                  <c:v>549.79</c:v>
                </c:pt>
              </c:numCache>
            </c:numRef>
          </c:val>
        </c:ser>
        <c:dLbls>
          <c:showLegendKey val="false"/>
          <c:showVal val="true"/>
          <c:showCatName val="false"/>
          <c:showSerName val="false"/>
          <c:showPercent val="false"/>
          <c:showBubbleSize val="false"/>
        </c:dLbls>
        <c:gapWidth val="219"/>
        <c:overlap val="-27"/>
        <c:axId val="181488128"/>
        <c:axId val="181655744"/>
      </c:barChart>
      <c:catAx>
        <c:axId val="181488128"/>
        <c:scaling>
          <c:orientation val="minMax"/>
        </c:scaling>
        <c:delete val="false"/>
        <c:axPos val="b"/>
        <c:numFmt formatCode="General" sourceLinked="false"/>
        <c:majorTickMark val="none"/>
        <c:minorTickMark val="none"/>
        <c:tickLblPos val="nextTo"/>
        <c:spPr>
          <a:noFill/>
          <a:ln w="9509"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1655744"/>
        <c:crosses val="autoZero"/>
        <c:auto val="true"/>
        <c:lblAlgn val="ctr"/>
        <c:lblOffset val="100"/>
        <c:noMultiLvlLbl val="false"/>
      </c:catAx>
      <c:valAx>
        <c:axId val="181655744"/>
        <c:scaling>
          <c:orientation val="minMax"/>
        </c:scaling>
        <c:delete val="false"/>
        <c:axPos val="l"/>
        <c:majorGridlines>
          <c:spPr>
            <a:ln w="9509"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ln w="9509" cap="flat" cmpd="sng" algn="ctr">
            <a:noFill/>
            <a:prstDash val="solid"/>
            <a:round/>
          </a:ln>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1488128"/>
        <c:crosses val="autoZero"/>
        <c:crossBetween val="between"/>
      </c:valAx>
      <c:spPr>
        <a:noFill/>
        <a:ln w="25358">
          <a:noFill/>
        </a:ln>
      </c:spPr>
    </c:plotArea>
    <c:legend>
      <c:legendPos val="b"/>
      <c:layout/>
      <c:overlay val="false"/>
      <c:spPr>
        <a:noFill/>
        <a:ln w="25358">
          <a:noFill/>
        </a:ln>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09"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收入决算结构</a:t>
            </a:r>
            <a:endParaRPr lang="zh-CN" altLang="en-US">
              <a:solidFill>
                <a:schemeClr val="tx1">
                  <a:lumMod val="50000"/>
                </a:schemeClr>
              </a:solidFill>
              <a:uFillTx/>
            </a:endParaRPr>
          </a:p>
        </c:rich>
      </c:tx>
      <c:layout/>
      <c:overlay val="false"/>
      <c:spPr>
        <a:noFill/>
        <a:ln w="25363">
          <a:noFill/>
        </a:ln>
      </c:spPr>
    </c:title>
    <c:autoTitleDeleted val="false"/>
    <c:plotArea>
      <c:layout/>
      <c:pieChart>
        <c:varyColors val="true"/>
        <c:ser>
          <c:idx val="0"/>
          <c:order val="0"/>
          <c:tx>
            <c:strRef>
              <c:f>Sheet1!$B$1</c:f>
              <c:strCache>
                <c:ptCount val="1"/>
                <c:pt idx="0">
                  <c:v>收入</c:v>
                </c:pt>
              </c:strCache>
            </c:strRef>
          </c:tx>
          <c:spPr>
            <a:scene3d>
              <a:camera prst="orthographicFront"/>
              <a:lightRig rig="threePt" dir="t"/>
            </a:scene3d>
            <a:sp3d contourW="25400"/>
          </c:spPr>
          <c:explosion val="0"/>
          <c:dPt>
            <c:idx val="0"/>
            <c:bubble3D val="false"/>
            <c:spPr>
              <a:solidFill>
                <a:srgbClr val="4F81BD"/>
              </a:solidFill>
              <a:ln w="25363">
                <a:solidFill>
                  <a:srgbClr val="FFFFFF"/>
                </a:solidFill>
                <a:prstDash val="solid"/>
              </a:ln>
            </c:spPr>
          </c:dPt>
          <c:dPt>
            <c:idx val="1"/>
            <c:bubble3D val="false"/>
            <c:spPr>
              <a:solidFill>
                <a:srgbClr val="C0504D"/>
              </a:solidFill>
              <a:ln w="25363">
                <a:solidFill>
                  <a:srgbClr val="FFFFFF"/>
                </a:solidFill>
                <a:prstDash val="solid"/>
              </a:ln>
            </c:spPr>
          </c:dPt>
          <c:dLbls>
            <c:dLbl>
              <c:idx val="0"/>
              <c:layout>
                <c:manualLayout>
                  <c:x val="0.0481660014104886"/>
                  <c:y val="-0.211275265849501"/>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t>一般公共预算</a:t>
                    </a:r>
                    <a:r>
                      <a:rPr lang="en-US" altLang="zh-CN"/>
                      <a:t>205.55</a:t>
                    </a:r>
                    <a:r>
                      <a:rPr lang="zh-CN" altLang="en-US"/>
                      <a:t>万元</a:t>
                    </a:r>
                    <a:endParaRPr lang="zh-CN" altLang="en-US"/>
                  </a:p>
                </c:rich>
              </c:tx>
              <c:numFmt formatCode="General" sourceLinked="true"/>
              <c:spPr>
                <a:noFill/>
                <a:ln w="25363">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extLst>
                <c:ext xmlns:c15="http://schemas.microsoft.com/office/drawing/2012/chart" uri="{CE6537A1-D6FC-4f65-9D91-7224C49458BB}">
                  <c15:layout/>
                </c:ext>
              </c:extLst>
            </c:dLbl>
            <c:dLbl>
              <c:idx val="1"/>
              <c:layout>
                <c:manualLayout>
                  <c:x val="-0.0310957874108406"/>
                  <c:y val="0.0605330958244281"/>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t>上年度结转结余０</a:t>
                    </a:r>
                    <a:endParaRPr lang="zh-CN" altLang="en-US"/>
                  </a:p>
                </c:rich>
              </c:tx>
              <c:numFmt formatCode="General" sourceLinked="true"/>
              <c:spPr>
                <a:noFill/>
                <a:ln w="25363">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一般公共预算</c:v>
                </c:pt>
                <c:pt idx="1">
                  <c:v>上年度结转结余</c:v>
                </c:pt>
              </c:strCache>
            </c:strRef>
          </c:cat>
          <c:val>
            <c:numRef>
              <c:f>Sheet1!$B$2:$B$3</c:f>
              <c:numCache>
                <c:formatCode>General</c:formatCode>
                <c:ptCount val="2"/>
                <c:pt idx="0">
                  <c:v>250.75</c:v>
                </c:pt>
              </c:numCache>
            </c:numRef>
          </c:val>
        </c:ser>
        <c:dLbls>
          <c:showLegendKey val="false"/>
          <c:showVal val="false"/>
          <c:showCatName val="false"/>
          <c:showSerName val="false"/>
          <c:showPercent val="false"/>
          <c:showBubbleSize val="false"/>
          <c:showLeaderLines val="false"/>
        </c:dLbls>
        <c:firstSliceAng val="0"/>
      </c:pieChart>
      <c:spPr>
        <a:noFill/>
        <a:ln w="25363">
          <a:noFill/>
        </a:ln>
      </c:spPr>
    </c:plotArea>
    <c:legend>
      <c:legendPos val="b"/>
      <c:layout/>
      <c:overlay val="false"/>
      <c:spPr>
        <a:noFill/>
        <a:ln w="25363">
          <a:noFill/>
        </a:ln>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11"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支出决算结构</a:t>
            </a:r>
            <a:endParaRPr lang="zh-CN" altLang="en-US">
              <a:solidFill>
                <a:schemeClr val="tx1">
                  <a:lumMod val="50000"/>
                </a:schemeClr>
              </a:solidFill>
              <a:uFillTx/>
            </a:endParaRPr>
          </a:p>
        </c:rich>
      </c:tx>
      <c:layout/>
      <c:overlay val="false"/>
      <c:spPr>
        <a:noFill/>
        <a:ln w="25398">
          <a:noFill/>
        </a:ln>
      </c:spPr>
    </c:title>
    <c:autoTitleDeleted val="false"/>
    <c:plotArea>
      <c:layout/>
      <c:pieChart>
        <c:varyColors val="true"/>
        <c:ser>
          <c:idx val="0"/>
          <c:order val="0"/>
          <c:tx>
            <c:strRef>
              <c:f>Sheet1!$B$1</c:f>
              <c:strCache>
                <c:ptCount val="1"/>
                <c:pt idx="0">
                  <c:v>支出决算结构</c:v>
                </c:pt>
              </c:strCache>
            </c:strRef>
          </c:tx>
          <c:explosion val="0"/>
          <c:dPt>
            <c:idx val="0"/>
            <c:bubble3D val="false"/>
            <c:spPr>
              <a:solidFill>
                <a:srgbClr val="4F81BD"/>
              </a:solidFill>
              <a:ln w="12699">
                <a:solidFill>
                  <a:srgbClr val="FFFFFF"/>
                </a:solidFill>
                <a:prstDash val="solid"/>
              </a:ln>
            </c:spPr>
          </c:dPt>
          <c:dPt>
            <c:idx val="1"/>
            <c:bubble3D val="false"/>
            <c:spPr>
              <a:solidFill>
                <a:srgbClr val="C0504D"/>
              </a:solidFill>
              <a:ln w="12699">
                <a:solidFill>
                  <a:srgbClr val="FFFFFF"/>
                </a:solidFill>
                <a:prstDash val="solid"/>
              </a:ln>
            </c:spPr>
          </c:dPt>
          <c:dLbls>
            <c:dLbl>
              <c:idx val="0"/>
              <c:layout>
                <c:manualLayout>
                  <c:x val="-0.0173532429598237"/>
                  <c:y val="-0.375465007172612"/>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t>基本支出</a:t>
                    </a:r>
                    <a:r>
                      <a:rPr lang="en-US" altLang="zh-CN"/>
                      <a:t>248.74</a:t>
                    </a:r>
                    <a:r>
                      <a:rPr lang="zh-CN" altLang="en-US"/>
                      <a:t>万元，占</a:t>
                    </a:r>
                    <a:r>
                      <a:rPr lang="en-US" altLang="zh-CN"/>
                      <a:t>45.24%</a:t>
                    </a:r>
                    <a:endParaRPr lang="en-US" altLang="zh-CN"/>
                  </a:p>
                </c:rich>
              </c:tx>
              <c:dLblPos val="bestFit"/>
              <c:showLegendKey val="false"/>
              <c:showVal val="false"/>
              <c:showCatName val="false"/>
              <c:showSerName val="false"/>
              <c:showPercent val="false"/>
              <c:showBubbleSize val="false"/>
              <c:extLst>
                <c:ext xmlns:c15="http://schemas.microsoft.com/office/drawing/2012/chart" uri="{CE6537A1-D6FC-4f65-9D91-7224C49458BB}">
                  <c15:layout/>
                </c:ext>
              </c:extLst>
            </c:dLbl>
            <c:dLbl>
              <c:idx val="1"/>
              <c:layout>
                <c:manualLayout>
                  <c:x val="-0.0572710989497254"/>
                  <c:y val="0.039788037858904"/>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t>项目支出</a:t>
                    </a:r>
                    <a:r>
                      <a:rPr lang="en-US" altLang="zh-CN"/>
                      <a:t>301.05</a:t>
                    </a:r>
                    <a:r>
                      <a:rPr lang="zh-CN" altLang="en-US"/>
                      <a:t>万元 ，占</a:t>
                    </a:r>
                    <a:r>
                      <a:rPr lang="en-US" altLang="zh-CN"/>
                      <a:t>54.75%</a:t>
                    </a:r>
                    <a:endParaRPr lang="en-US" altLang="zh-CN"/>
                  </a:p>
                </c:rich>
              </c:tx>
              <c:dLblPos val="bestFit"/>
              <c:showLegendKey val="false"/>
              <c:showVal val="false"/>
              <c:showCatName val="false"/>
              <c:showSerName val="false"/>
              <c:showPercent val="false"/>
              <c:showBubbleSize val="false"/>
              <c:extLst>
                <c:ext xmlns:c15="http://schemas.microsoft.com/office/drawing/2012/chart" uri="{CE6537A1-D6FC-4f65-9D91-7224C49458BB}">
                  <c15:layout/>
                </c:ext>
              </c:extLst>
            </c:dLbl>
            <c:spPr>
              <a:noFill/>
              <a:ln w="25398">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General</c:formatCode>
                <c:ptCount val="2"/>
                <c:pt idx="0">
                  <c:v>248.74</c:v>
                </c:pt>
                <c:pt idx="1">
                  <c:v>301.05</c:v>
                </c:pt>
              </c:numCache>
            </c:numRef>
          </c:val>
        </c:ser>
        <c:dLbls>
          <c:showLegendKey val="false"/>
          <c:showVal val="true"/>
          <c:showCatName val="false"/>
          <c:showSerName val="false"/>
          <c:showPercent val="false"/>
          <c:showBubbleSize val="false"/>
          <c:showLeaderLines val="true"/>
        </c:dLbls>
        <c:firstSliceAng val="0"/>
      </c:pieChart>
      <c:spPr>
        <a:noFill/>
        <a:ln w="25398">
          <a:noFill/>
        </a:ln>
      </c:spPr>
    </c:plotArea>
    <c:legend>
      <c:legendPos val="b"/>
      <c:layout/>
      <c:overlay val="false"/>
      <c:spPr>
        <a:noFill/>
        <a:ln w="25398">
          <a:noFill/>
        </a:ln>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4"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26"/>
    </mc:Choice>
    <mc:Fallback>
      <c:style val="26"/>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t>财政拨款收支对比表</a:t>
            </a:r>
            <a:endParaRPr lang="zh-CN"/>
          </a:p>
        </c:rich>
      </c:tx>
      <c:layout>
        <c:manualLayout>
          <c:xMode val="edge"/>
          <c:yMode val="edge"/>
          <c:x val="0.308568628091613"/>
          <c:y val="0.0157350012099551"/>
        </c:manualLayout>
      </c:layout>
      <c:overlay val="false"/>
    </c:title>
    <c:autoTitleDeleted val="false"/>
    <c:plotArea>
      <c:layout>
        <c:manualLayout>
          <c:layoutTarget val="inner"/>
          <c:xMode val="edge"/>
          <c:yMode val="edge"/>
          <c:x val="0.112682145054983"/>
          <c:y val="0.131011719465299"/>
          <c:w val="0.829287427457251"/>
          <c:h val="0.6571098089483"/>
        </c:manualLayout>
      </c:layout>
      <c:barChart>
        <c:barDir val="col"/>
        <c:grouping val="clustered"/>
        <c:varyColors val="false"/>
        <c:ser>
          <c:idx val="0"/>
          <c:order val="0"/>
          <c:tx>
            <c:strRef>
              <c:f>Sheet1!$B$1</c:f>
              <c:strCache>
                <c:ptCount val="1"/>
                <c:pt idx="0">
                  <c:v>2022年度</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Sheet1!$B$2:$B$3</c:f>
              <c:numCache>
                <c:formatCode>General</c:formatCode>
                <c:ptCount val="2"/>
                <c:pt idx="0">
                  <c:v>296.29</c:v>
                </c:pt>
                <c:pt idx="1">
                  <c:v>296.29</c:v>
                </c:pt>
              </c:numCache>
            </c:numRef>
          </c:val>
        </c:ser>
        <c:ser>
          <c:idx val="1"/>
          <c:order val="1"/>
          <c:tx>
            <c:strRef>
              <c:f>Sheet1!$C$1</c:f>
              <c:strCache>
                <c:ptCount val="1"/>
                <c:pt idx="0">
                  <c:v>2023年度</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Sheet1!$C$2:$C$3</c:f>
              <c:numCache>
                <c:formatCode>General</c:formatCode>
                <c:ptCount val="2"/>
                <c:pt idx="0">
                  <c:v>549.79</c:v>
                </c:pt>
                <c:pt idx="1">
                  <c:v>549.79</c:v>
                </c:pt>
              </c:numCache>
            </c:numRef>
          </c:val>
        </c:ser>
        <c:ser>
          <c:idx val="2"/>
          <c:order val="2"/>
          <c:tx>
            <c:strRef>
              <c:f>Sheet1!$D$1</c:f>
              <c:strCache>
                <c:ptCount val="1"/>
                <c:pt idx="0">
                  <c:v/>
                </c:pt>
              </c:strCache>
            </c:strRef>
          </c:tx>
          <c:invertIfNegative val="false"/>
          <c:dLbls>
            <c:delete val="true"/>
          </c:dLbls>
          <c:cat>
            <c:strRef>
              <c:f>Sheet1!$A$2:$A$3</c:f>
              <c:strCache>
                <c:ptCount val="2"/>
                <c:pt idx="0">
                  <c:v>财政拨款收入</c:v>
                </c:pt>
                <c:pt idx="1">
                  <c:v>财政拨款支出</c:v>
                </c:pt>
              </c:strCache>
            </c:strRef>
          </c:cat>
          <c:val>
            <c:numRef>
              <c:f>Sheet1!$D$2:$D$3</c:f>
              <c:numCache>
                <c:formatCode>General</c:formatCode>
                <c:ptCount val="2"/>
              </c:numCache>
            </c:numRef>
          </c:val>
        </c:ser>
        <c:dLbls>
          <c:showLegendKey val="false"/>
          <c:showVal val="true"/>
          <c:showCatName val="false"/>
          <c:showSerName val="false"/>
          <c:showPercent val="false"/>
          <c:showBubbleSize val="false"/>
        </c:dLbls>
        <c:gapWidth val="219"/>
        <c:overlap val="-27"/>
        <c:axId val="434788864"/>
        <c:axId val="383389632"/>
      </c:barChart>
      <c:catAx>
        <c:axId val="434788864"/>
        <c:scaling>
          <c:orientation val="minMax"/>
        </c:scaling>
        <c:delete val="false"/>
        <c:axPos val="b"/>
        <c:numFmt formatCode="General" sourceLinked="fals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83389632"/>
        <c:crosses val="autoZero"/>
        <c:auto val="true"/>
        <c:lblAlgn val="ctr"/>
        <c:lblOffset val="100"/>
        <c:noMultiLvlLbl val="false"/>
      </c:catAx>
      <c:valAx>
        <c:axId val="383389632"/>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34788864"/>
        <c:crosses val="autoZero"/>
        <c:crossBetween val="between"/>
      </c:valAx>
    </c:plotArea>
    <c:legend>
      <c:legendPos val="b"/>
      <c:legendEntry>
        <c:idx val="2"/>
        <c:delete val="true"/>
      </c:legendEntry>
      <c:layout>
        <c:manualLayout>
          <c:xMode val="edge"/>
          <c:yMode val="edge"/>
          <c:x val="0.340762788468869"/>
          <c:y val="0.912005361031999"/>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bg2">
                    <a:lumMod val="10000"/>
                  </a:schemeClr>
                </a:solidFill>
                <a:uFillTx/>
              </a:rPr>
              <a:t>一般公共预算财政拨款支出对比</a:t>
            </a:r>
            <a:endParaRPr lang="zh-CN" altLang="en-US">
              <a:solidFill>
                <a:schemeClr val="bg2">
                  <a:lumMod val="10000"/>
                </a:schemeClr>
              </a:solidFill>
              <a:uFillTx/>
            </a:endParaRPr>
          </a:p>
        </c:rich>
      </c:tx>
      <c:layout/>
      <c:overlay val="false"/>
      <c:spPr>
        <a:noFill/>
        <a:ln w="25369">
          <a:noFill/>
        </a:ln>
      </c:spPr>
    </c:title>
    <c:autoTitleDeleted val="false"/>
    <c:plotArea>
      <c:layout/>
      <c:barChart>
        <c:barDir val="col"/>
        <c:grouping val="clustered"/>
        <c:varyColors val="false"/>
        <c:ser>
          <c:idx val="0"/>
          <c:order val="0"/>
          <c:tx>
            <c:strRef>
              <c:f>Sheet1!$B$1</c:f>
              <c:strCache>
                <c:ptCount val="1"/>
                <c:pt idx="0">
                  <c:v>2022年</c:v>
                </c:pt>
              </c:strCache>
            </c:strRef>
          </c:tx>
          <c:spPr>
            <a:gradFill rotWithShape="false">
              <a:gsLst>
                <a:gs pos="0">
                  <a:srgbClr val="012D86"/>
                </a:gs>
                <a:gs pos="100000">
                  <a:srgbClr val="0E2557"/>
                </a:gs>
              </a:gsLst>
              <a:lin ang="5400000"/>
            </a:gradFill>
            <a:ln w="25369">
              <a:noFill/>
            </a:ln>
          </c:spPr>
          <c:invertIfNegative val="false"/>
          <c:dLbls>
            <c:spPr>
              <a:noFill/>
              <a:ln w="25369">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Sheet1!$A$2</c:f>
              <c:numCache>
                <c:formatCode>General</c:formatCode>
                <c:ptCount val="1"/>
              </c:numCache>
            </c:numRef>
          </c:cat>
          <c:val>
            <c:numRef>
              <c:f>Sheet1!$B$2</c:f>
              <c:numCache>
                <c:formatCode>General</c:formatCode>
                <c:ptCount val="1"/>
                <c:pt idx="0">
                  <c:v>296.29</c:v>
                </c:pt>
              </c:numCache>
            </c:numRef>
          </c:val>
        </c:ser>
        <c:ser>
          <c:idx val="1"/>
          <c:order val="1"/>
          <c:tx>
            <c:strRef>
              <c:f>Sheet1!$C$1</c:f>
              <c:strCache>
                <c:ptCount val="1"/>
                <c:pt idx="0">
                  <c:v>2023年</c:v>
                </c:pt>
              </c:strCache>
            </c:strRef>
          </c:tx>
          <c:spPr>
            <a:gradFill rotWithShape="false">
              <a:gsLst>
                <a:gs pos="0">
                  <a:srgbClr val="FE4444"/>
                </a:gs>
                <a:gs pos="100000">
                  <a:srgbClr val="832B2B"/>
                </a:gs>
              </a:gsLst>
              <a:lin ang="5400000"/>
            </a:gradFill>
            <a:ln w="25369">
              <a:noFill/>
            </a:ln>
          </c:spPr>
          <c:invertIfNegative val="false"/>
          <c:dLbls>
            <c:spPr>
              <a:noFill/>
              <a:ln w="25369">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Sheet1!$A$2</c:f>
              <c:numCache>
                <c:formatCode>General</c:formatCode>
                <c:ptCount val="1"/>
              </c:numCache>
            </c:numRef>
          </c:cat>
          <c:val>
            <c:numRef>
              <c:f>Sheet1!$C$2</c:f>
              <c:numCache>
                <c:formatCode>General</c:formatCode>
                <c:ptCount val="1"/>
                <c:pt idx="0">
                  <c:v>549.79</c:v>
                </c:pt>
              </c:numCache>
            </c:numRef>
          </c:val>
        </c:ser>
        <c:ser>
          <c:idx val="2"/>
          <c:order val="2"/>
          <c:tx>
            <c:strRef>
              <c:f>Sheet1!$D$1</c:f>
              <c:strCache>
                <c:ptCount val="1"/>
                <c:pt idx="0">
                  <c:v/>
                </c:pt>
              </c:strCache>
            </c:strRef>
          </c:tx>
          <c:spPr>
            <a:gradFill rotWithShape="false">
              <a:gsLst>
                <a:gs pos="0">
                  <a:srgbClr val="7B32B2"/>
                </a:gs>
                <a:gs pos="100000">
                  <a:srgbClr val="401A5D"/>
                </a:gs>
              </a:gsLst>
              <a:lin ang="5400000"/>
            </a:gradFill>
            <a:ln w="25369">
              <a:noFill/>
            </a:ln>
          </c:spPr>
          <c:invertIfNegative val="false"/>
          <c:dLbls>
            <c:dLbl>
              <c:idx val="0"/>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t>幅度</a:t>
                    </a:r>
                    <a:r>
                      <a:rPr lang="en-US" altLang="zh-CN"/>
                      <a:t>70%</a:t>
                    </a:r>
                    <a:endParaRPr lang="en-US" altLang="zh-CN"/>
                  </a:p>
                </c:rich>
              </c:tx>
              <c:dLblPos val="outEnd"/>
              <c:showLegendKey val="false"/>
              <c:showVal val="false"/>
              <c:showCatName val="false"/>
              <c:showSerName val="false"/>
              <c:showPercent val="false"/>
              <c:showBubbleSize val="false"/>
              <c:extLst>
                <c:ext xmlns:c15="http://schemas.microsoft.com/office/drawing/2012/chart" uri="{CE6537A1-D6FC-4f65-9D91-7224C49458BB}"/>
              </c:extLst>
            </c:dLbl>
            <c:spPr>
              <a:noFill/>
              <a:ln w="25369">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Sheet1!$A$2</c:f>
              <c:numCache>
                <c:formatCode>General</c:formatCode>
                <c:ptCount val="1"/>
              </c:numCache>
            </c:numRef>
          </c:cat>
          <c:val>
            <c:numRef>
              <c:f>Sheet1!$D$2</c:f>
              <c:numCache>
                <c:formatCode>General</c:formatCode>
                <c:ptCount val="1"/>
              </c:numCache>
            </c:numRef>
          </c:val>
        </c:ser>
        <c:dLbls>
          <c:showLegendKey val="false"/>
          <c:showVal val="true"/>
          <c:showCatName val="false"/>
          <c:showSerName val="false"/>
          <c:showPercent val="false"/>
          <c:showBubbleSize val="false"/>
        </c:dLbls>
        <c:gapWidth val="219"/>
        <c:overlap val="-27"/>
        <c:axId val="434789888"/>
        <c:axId val="383393088"/>
      </c:barChart>
      <c:catAx>
        <c:axId val="434789888"/>
        <c:scaling>
          <c:orientation val="minMax"/>
        </c:scaling>
        <c:delete val="false"/>
        <c:axPos val="b"/>
        <c:numFmt formatCode="General" sourceLinked="false"/>
        <c:majorTickMark val="none"/>
        <c:minorTickMark val="none"/>
        <c:tickLblPos val="nextTo"/>
        <c:spPr>
          <a:noFill/>
          <a:ln w="9513"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3393088"/>
        <c:crosses val="autoZero"/>
        <c:auto val="true"/>
        <c:lblAlgn val="ctr"/>
        <c:lblOffset val="100"/>
        <c:noMultiLvlLbl val="false"/>
      </c:catAx>
      <c:valAx>
        <c:axId val="383393088"/>
        <c:scaling>
          <c:orientation val="minMax"/>
        </c:scaling>
        <c:delete val="false"/>
        <c:axPos val="l"/>
        <c:majorGridlines>
          <c:spPr>
            <a:ln w="9513"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ln w="9513" cap="flat" cmpd="sng" algn="ctr">
            <a:noFill/>
            <a:prstDash val="solid"/>
            <a:round/>
          </a:ln>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34789888"/>
        <c:crosses val="autoZero"/>
        <c:crossBetween val="between"/>
      </c:valAx>
      <c:spPr>
        <a:noFill/>
        <a:ln w="25369">
          <a:noFill/>
        </a:ln>
      </c:spPr>
    </c:plotArea>
    <c:legend>
      <c:legendPos val="b"/>
      <c:legendEntry>
        <c:idx val="2"/>
        <c:delete val="true"/>
      </c:legendEntry>
      <c:layout/>
      <c:overlay val="false"/>
      <c:spPr>
        <a:noFill/>
        <a:ln w="25369">
          <a:noFill/>
        </a:ln>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13"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t>一般公共预算财政拨款支出</a:t>
            </a:r>
            <a:endParaRPr lang="zh-CN"/>
          </a:p>
        </c:rich>
      </c:tx>
      <c:layout>
        <c:manualLayout>
          <c:xMode val="edge"/>
          <c:yMode val="edge"/>
          <c:x val="0.246606334841629"/>
          <c:y val="0.0389294403892944"/>
        </c:manualLayout>
      </c:layout>
      <c:overlay val="false"/>
    </c:title>
    <c:autoTitleDeleted val="false"/>
    <c:plotArea>
      <c:layout>
        <c:manualLayout>
          <c:layoutTarget val="inner"/>
          <c:xMode val="edge"/>
          <c:yMode val="edge"/>
          <c:x val="0.10098249123153"/>
          <c:y val="0.095772508773482"/>
          <c:w val="0.831600000000002"/>
          <c:h val="0.668213333333335"/>
        </c:manualLayout>
      </c:layout>
      <c:pieChart>
        <c:varyColors val="true"/>
        <c:ser>
          <c:idx val="0"/>
          <c:order val="0"/>
          <c:tx>
            <c:strRef>
              <c:f>Sheet1!$B$1</c:f>
              <c:strCache>
                <c:ptCount val="1"/>
                <c:pt idx="0">
                  <c:v>销售额</c:v>
                </c:pt>
              </c:strCache>
            </c:strRef>
          </c:tx>
          <c:explosion val="24"/>
          <c:dPt>
            <c:idx val="0"/>
            <c:bubble3D val="false"/>
            <c:explosion val="0"/>
          </c:dPt>
          <c:dPt>
            <c:idx val="1"/>
            <c:bubble3D val="false"/>
            <c:explosion val="78"/>
          </c:dPt>
          <c:dPt>
            <c:idx val="2"/>
            <c:bubble3D val="false"/>
            <c:explosion val="0"/>
          </c:dPt>
          <c:dPt>
            <c:idx val="3"/>
            <c:bubble3D val="false"/>
            <c:explosion val="61"/>
          </c:dPt>
          <c:dLbls>
            <c:dLbl>
              <c:idx val="0"/>
              <c:layout>
                <c:manualLayout>
                  <c:x val="0.0825470006294462"/>
                  <c:y val="0.283886430254613"/>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t>社会保障 和就业支出</a:t>
                    </a:r>
                    <a:r>
                      <a:rPr lang="en-US"/>
                      <a:t>38.32</a:t>
                    </a:r>
                    <a:r>
                      <a:rPr lang="zh-CN"/>
                      <a:t>万元</a:t>
                    </a:r>
                    <a:r>
                      <a:rPr lang="en-US"/>
                      <a:t>,</a:t>
                    </a:r>
                    <a:r>
                      <a:rPr lang="zh-CN"/>
                      <a:t>占</a:t>
                    </a:r>
                    <a:r>
                      <a:rPr lang="en-US"/>
                      <a:t>6.97%</a:t>
                    </a:r>
                    <a:endParaRPr lang="en-US"/>
                  </a:p>
                </c:rich>
              </c:tx>
              <c:dLblPos val="bestFit"/>
              <c:showLegendKey val="false"/>
              <c:showVal val="false"/>
              <c:showCatName val="false"/>
              <c:showSerName val="false"/>
              <c:showPercent val="false"/>
              <c:showBubbleSize val="false"/>
              <c:extLst>
                <c:ext xmlns:c15="http://schemas.microsoft.com/office/drawing/2012/chart" uri="{CE6537A1-D6FC-4f65-9D91-7224C49458BB}">
                  <c15:layout/>
                </c:ext>
              </c:extLst>
            </c:dLbl>
            <c:dLbl>
              <c:idx val="1"/>
              <c:layout>
                <c:manualLayout>
                  <c:x val="0.152450791660562"/>
                  <c:y val="-0.203004743673096"/>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t>交通运输支出</a:t>
                    </a:r>
                    <a:r>
                      <a:rPr lang="en-US" altLang="zh-CN"/>
                      <a:t>479.91</a:t>
                    </a:r>
                    <a:r>
                      <a:rPr lang="zh-CN"/>
                      <a:t>万元，占</a:t>
                    </a:r>
                    <a:r>
                      <a:rPr lang="en-US"/>
                      <a:t>87.29%</a:t>
                    </a:r>
                    <a:endParaRPr lang="en-US"/>
                  </a:p>
                </c:rich>
              </c:tx>
              <c:dLblPos val="bestFit"/>
              <c:showLegendKey val="false"/>
              <c:showVal val="false"/>
              <c:showCatName val="false"/>
              <c:showSerName val="false"/>
              <c:showPercent val="false"/>
              <c:showBubbleSize val="false"/>
              <c:extLst>
                <c:ext xmlns:c15="http://schemas.microsoft.com/office/drawing/2012/chart" uri="{CE6537A1-D6FC-4f65-9D91-7224C49458BB}">
                  <c15:layout/>
                </c:ext>
              </c:extLst>
            </c:dLbl>
            <c:dLbl>
              <c:idx val="2"/>
              <c:layout>
                <c:manualLayout>
                  <c:x val="0.121083597581976"/>
                  <c:y val="0.117515949192482"/>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t>住房保障支出</a:t>
                    </a:r>
                    <a:r>
                      <a:rPr lang="en-US"/>
                      <a:t>17.57</a:t>
                    </a:r>
                    <a:r>
                      <a:rPr lang="zh-CN"/>
                      <a:t>万元，占</a:t>
                    </a:r>
                    <a:r>
                      <a:rPr lang="en-US"/>
                      <a:t>3.2%</a:t>
                    </a:r>
                    <a:endParaRPr lang="en-US"/>
                  </a:p>
                </c:rich>
              </c:tx>
              <c:dLblPos val="bestFit"/>
              <c:showLegendKey val="false"/>
              <c:showVal val="false"/>
              <c:showCatName val="false"/>
              <c:showSerName val="false"/>
              <c:showPercent val="false"/>
              <c:showBubbleSize val="false"/>
              <c:extLst>
                <c:ext xmlns:c15="http://schemas.microsoft.com/office/drawing/2012/chart" uri="{CE6537A1-D6FC-4f65-9D91-7224C49458BB}">
                  <c15:layout/>
                </c:ext>
              </c:extLst>
            </c:dLbl>
            <c:dLbl>
              <c:idx val="3"/>
              <c:layout>
                <c:manualLayout>
                  <c:x val="-0.319354725113744"/>
                  <c:y val="0.153367468813589"/>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卫生健康支出</a:t>
                    </a:r>
                    <a:r>
                      <a:rPr lang="en-US" altLang="zh-CN"/>
                      <a:t>14</a:t>
                    </a:r>
                    <a:r>
                      <a:rPr lang="zh-CN" altLang="en-US"/>
                      <a:t>万元，占</a:t>
                    </a:r>
                    <a:r>
                      <a:rPr lang="en-US" altLang="zh-CN"/>
                      <a:t>2.54</a:t>
                    </a:r>
                    <a:r>
                      <a:rPr lang="zh-CN" altLang="en-US"/>
                      <a:t>％</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社会保障和就业支出</c:v>
                </c:pt>
                <c:pt idx="1">
                  <c:v>交通运输支出</c:v>
                </c:pt>
                <c:pt idx="2">
                  <c:v>住房保障支出</c:v>
                </c:pt>
                <c:pt idx="3">
                  <c:v>卫生健康支出</c:v>
                </c:pt>
              </c:strCache>
            </c:strRef>
          </c:cat>
          <c:val>
            <c:numRef>
              <c:f>Sheet1!$B$2:$B$5</c:f>
              <c:numCache>
                <c:formatCode>General</c:formatCode>
                <c:ptCount val="4"/>
                <c:pt idx="0">
                  <c:v>38.32</c:v>
                </c:pt>
                <c:pt idx="1">
                  <c:v>479.91</c:v>
                </c:pt>
                <c:pt idx="2">
                  <c:v>17.57</c:v>
                </c:pt>
                <c:pt idx="3">
                  <c:v>14</c:v>
                </c:pt>
              </c:numCache>
            </c:numRef>
          </c:val>
        </c:ser>
        <c:dLbls>
          <c:showLegendKey val="false"/>
          <c:showVal val="true"/>
          <c:showCatName val="false"/>
          <c:showSerName val="false"/>
          <c:showPercent val="false"/>
          <c:showBubbleSize val="false"/>
          <c:showLeaderLines val="true"/>
        </c:dLbls>
        <c:firstSliceAng val="43"/>
      </c:pieChart>
      <c:spPr>
        <a:noFill/>
        <a:ln>
          <a:noFill/>
        </a:ln>
        <a:effectLst/>
      </c:spPr>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395"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“三公”经费财政拨款支出决算</a:t>
            </a:r>
            <a:endParaRPr lang="zh-CN" altLang="en-US">
              <a:solidFill>
                <a:schemeClr val="tx1">
                  <a:lumMod val="50000"/>
                </a:schemeClr>
              </a:solidFill>
              <a:uFillTx/>
            </a:endParaRPr>
          </a:p>
        </c:rich>
      </c:tx>
      <c:layout/>
      <c:overlay val="false"/>
      <c:spPr>
        <a:noFill/>
        <a:ln w="25323">
          <a:noFill/>
        </a:ln>
      </c:spPr>
    </c:title>
    <c:autoTitleDeleted val="false"/>
    <c:plotArea>
      <c:layout/>
      <c:pieChart>
        <c:varyColors val="true"/>
        <c:ser>
          <c:idx val="0"/>
          <c:order val="0"/>
          <c:tx>
            <c:strRef>
              <c:f>Sheet1!$B$1</c:f>
              <c:strCache>
                <c:ptCount val="1"/>
                <c:pt idx="0">
                  <c:v>支出决算结构</c:v>
                </c:pt>
              </c:strCache>
            </c:strRef>
          </c:tx>
          <c:explosion val="0"/>
          <c:dPt>
            <c:idx val="0"/>
            <c:bubble3D val="false"/>
            <c:spPr>
              <a:solidFill>
                <a:srgbClr val="4F81BD"/>
              </a:solidFill>
              <a:ln w="12661">
                <a:solidFill>
                  <a:srgbClr val="FFFFFF"/>
                </a:solidFill>
                <a:prstDash val="solid"/>
              </a:ln>
            </c:spPr>
          </c:dPt>
          <c:dPt>
            <c:idx val="1"/>
            <c:bubble3D val="false"/>
            <c:spPr>
              <a:solidFill>
                <a:srgbClr val="C0504D"/>
              </a:solidFill>
              <a:ln w="12661">
                <a:solidFill>
                  <a:srgbClr val="FFFFFF"/>
                </a:solidFill>
                <a:prstDash val="solid"/>
              </a:ln>
            </c:spPr>
          </c:dPt>
          <c:dLbls>
            <c:dLbl>
              <c:idx val="0"/>
              <c:layout>
                <c:manualLayout>
                  <c:x val="-0.0173532429598237"/>
                  <c:y val="-0.375465007172612"/>
                </c:manualLayout>
              </c:layout>
              <c:tx>
                <c:rich>
                  <a:bodyPr rot="0" spcFirstLastPara="0" vertOverflow="ellipsis" vert="horz" wrap="square" lIns="38100" tIns="19050" rIns="38100" bIns="19050" anchor="ctr" anchorCtr="true"/>
                  <a:lstStyle/>
                  <a:p>
                    <a:pPr>
                      <a:defRPr lang="zh-CN" sz="895" b="0" i="0" u="none" strike="noStrike" kern="1200" baseline="0">
                        <a:solidFill>
                          <a:schemeClr val="tx1">
                            <a:lumMod val="75000"/>
                            <a:lumOff val="25000"/>
                          </a:schemeClr>
                        </a:solidFill>
                        <a:latin typeface="+mn-lt"/>
                        <a:ea typeface="+mn-ea"/>
                        <a:cs typeface="+mn-cs"/>
                      </a:defRPr>
                    </a:pPr>
                    <a:r>
                      <a:rPr lang="zh-CN" altLang="en-US"/>
                      <a:t>公务用车支行维护支出</a:t>
                    </a:r>
                    <a:r>
                      <a:rPr lang="en-US" altLang="zh-CN"/>
                      <a:t>4.67</a:t>
                    </a:r>
                    <a:r>
                      <a:rPr lang="zh-CN" altLang="en-US"/>
                      <a:t>万元，占</a:t>
                    </a:r>
                    <a:r>
                      <a:rPr lang="en-US" altLang="zh-CN"/>
                      <a:t>94.56%</a:t>
                    </a:r>
                    <a:endParaRPr lang="en-US" altLang="zh-CN"/>
                  </a:p>
                </c:rich>
              </c:tx>
              <c:dLblPos val="bestFit"/>
              <c:showLegendKey val="false"/>
              <c:showVal val="false"/>
              <c:showCatName val="false"/>
              <c:showSerName val="false"/>
              <c:showPercent val="false"/>
              <c:showBubbleSize val="false"/>
              <c:extLst>
                <c:ext xmlns:c15="http://schemas.microsoft.com/office/drawing/2012/chart" uri="{CE6537A1-D6FC-4f65-9D91-7224C49458BB}">
                  <c15:layout/>
                </c:ext>
              </c:extLst>
            </c:dLbl>
            <c:dLbl>
              <c:idx val="1"/>
              <c:layout>
                <c:manualLayout>
                  <c:x val="-0.0887670930897417"/>
                  <c:y val="0.192459778405562"/>
                </c:manualLayout>
              </c:layout>
              <c:tx>
                <c:rich>
                  <a:bodyPr rot="0" spcFirstLastPara="0" vertOverflow="ellipsis" vert="horz" wrap="square" lIns="38100" tIns="19050" rIns="38100" bIns="19050" anchor="ctr" anchorCtr="true"/>
                  <a:lstStyle/>
                  <a:p>
                    <a:pPr>
                      <a:defRPr lang="zh-CN" sz="895" b="0" i="0" u="none" strike="noStrike" kern="1200" baseline="0">
                        <a:solidFill>
                          <a:schemeClr val="tx1">
                            <a:lumMod val="75000"/>
                            <a:lumOff val="25000"/>
                          </a:schemeClr>
                        </a:solidFill>
                        <a:latin typeface="+mn-lt"/>
                        <a:ea typeface="+mn-ea"/>
                        <a:cs typeface="+mn-cs"/>
                      </a:defRPr>
                    </a:pPr>
                    <a:r>
                      <a:rPr lang="zh-CN" altLang="en-US"/>
                      <a:t>公务接待支出</a:t>
                    </a:r>
                    <a:r>
                      <a:rPr lang="en-US" altLang="zh-CN"/>
                      <a:t>0.27</a:t>
                    </a:r>
                    <a:r>
                      <a:rPr lang="zh-CN" altLang="en-US"/>
                      <a:t>万元 ，占</a:t>
                    </a:r>
                    <a:r>
                      <a:rPr lang="en-US" altLang="zh-CN"/>
                      <a:t>5.43%</a:t>
                    </a:r>
                    <a:endParaRPr lang="en-US" altLang="zh-CN"/>
                  </a:p>
                </c:rich>
              </c:tx>
              <c:dLblPos val="bestFit"/>
              <c:showLegendKey val="false"/>
              <c:showVal val="false"/>
              <c:showCatName val="false"/>
              <c:showSerName val="false"/>
              <c:showPercent val="false"/>
              <c:showBubbleSize val="false"/>
              <c:extLst>
                <c:ext xmlns:c15="http://schemas.microsoft.com/office/drawing/2012/chart" uri="{CE6537A1-D6FC-4f65-9D91-7224C49458BB}">
                  <c15:layout/>
                </c:ext>
              </c:extLst>
            </c:dLbl>
            <c:spPr>
              <a:noFill/>
              <a:ln w="25323">
                <a:noFill/>
              </a:ln>
              <a:effectLst/>
            </c:spPr>
            <c:txPr>
              <a:bodyPr rot="0" spcFirstLastPara="0" vertOverflow="ellipsis" vert="horz" wrap="square" lIns="38100" tIns="19050" rIns="38100" bIns="19050" anchor="ctr" anchorCtr="true"/>
              <a:lstStyle/>
              <a:p>
                <a:pPr>
                  <a:defRPr lang="zh-CN" sz="895"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公务用车运行维护支出</c:v>
                </c:pt>
                <c:pt idx="1">
                  <c:v>公务接待支出</c:v>
                </c:pt>
              </c:strCache>
            </c:strRef>
          </c:cat>
          <c:val>
            <c:numRef>
              <c:f>Sheet1!$B$2:$B$3</c:f>
              <c:numCache>
                <c:formatCode>General</c:formatCode>
                <c:ptCount val="2"/>
                <c:pt idx="0">
                  <c:v>4.67</c:v>
                </c:pt>
                <c:pt idx="1">
                  <c:v>0.27</c:v>
                </c:pt>
              </c:numCache>
            </c:numRef>
          </c:val>
        </c:ser>
        <c:dLbls>
          <c:showLegendKey val="false"/>
          <c:showVal val="true"/>
          <c:showCatName val="false"/>
          <c:showSerName val="false"/>
          <c:showPercent val="false"/>
          <c:showBubbleSize val="false"/>
          <c:showLeaderLines val="true"/>
        </c:dLbls>
        <c:firstSliceAng val="0"/>
      </c:pieChart>
      <c:spPr>
        <a:noFill/>
        <a:ln w="25323">
          <a:noFill/>
        </a:ln>
      </c:spPr>
    </c:plotArea>
    <c:legend>
      <c:legendPos val="b"/>
      <c:layout/>
      <c:overlay val="false"/>
      <c:spPr>
        <a:noFill/>
        <a:ln w="25323">
          <a:noFill/>
        </a:ln>
      </c:spPr>
      <c:txPr>
        <a:bodyPr rot="0" spcFirstLastPara="0" vertOverflow="ellipsis" vert="horz" wrap="square" anchor="ctr" anchorCtr="true"/>
        <a:lstStyle/>
        <a:p>
          <a:pPr>
            <a:defRPr lang="zh-CN" sz="895"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496"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61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4762</Words>
  <Characters>2468</Characters>
  <Lines>20</Lines>
  <Paragraphs>14</Paragraphs>
  <TotalTime>101</TotalTime>
  <ScaleCrop>false</ScaleCrop>
  <LinksUpToDate>false</LinksUpToDate>
  <CharactersWithSpaces>7216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2024-09-06T10:05:00Z</dcterms:created>
  <dc:creator>曹颖</dc:creator>
  <cp:lastModifiedBy>李颉妍</cp:lastModifiedBy>
  <cp:lastPrinted>2023-08-03T10:35:00Z</cp:lastPrinted>
  <dcterms:modified xsi:type="dcterms:W3CDTF">2024-09-18T10:24:00Z</dcterms:modified>
  <dc:title>四川省***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