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0619"/>
      <w:bookmarkStart w:id="3" w:name="_Toc15378441"/>
      <w:bookmarkStart w:id="4" w:name="_Toc15396475"/>
      <w:bookmarkStart w:id="5" w:name="_Toc15377193"/>
      <w:bookmarkStart w:id="6" w:name="_Toc15396597"/>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15396476"/>
      <w:bookmarkStart w:id="8" w:name="_Toc8485"/>
      <w:bookmarkStart w:id="9" w:name="_Toc15377426"/>
      <w:bookmarkStart w:id="10" w:name="_Toc15377194"/>
      <w:bookmarkStart w:id="11" w:name="_Toc15378442"/>
      <w:bookmarkStart w:id="12" w:name="_Toc15396598"/>
      <w:r>
        <w:rPr>
          <w:rFonts w:hint="eastAsia" w:ascii="方正小标宋简体" w:hAnsi="方正小标宋简体" w:eastAsia="方正小标宋简体" w:cs="方正小标宋简体"/>
          <w:sz w:val="72"/>
          <w:szCs w:val="72"/>
          <w:lang w:eastAsia="zh-CN"/>
        </w:rPr>
        <w:t>四川省</w:t>
      </w:r>
      <w:r>
        <w:rPr>
          <w:rFonts w:hint="eastAsia" w:ascii="方正小标宋简体" w:hAnsi="方正小标宋简体" w:eastAsia="方正小标宋简体" w:cs="方正小标宋简体"/>
          <w:sz w:val="72"/>
          <w:szCs w:val="72"/>
        </w:rPr>
        <w:t>攀枝花市</w:t>
      </w:r>
      <w:bookmarkEnd w:id="0"/>
      <w:bookmarkStart w:id="13" w:name="_Toc15306268"/>
      <w:r>
        <w:rPr>
          <w:rFonts w:hint="eastAsia" w:ascii="方正小标宋简体" w:hAnsi="方正小标宋简体" w:eastAsia="方正小标宋简体" w:cs="方正小标宋简体"/>
          <w:sz w:val="72"/>
          <w:szCs w:val="72"/>
          <w:lang w:eastAsia="zh-CN"/>
        </w:rPr>
        <w:t>交通运输局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bookmarkStart w:id="102" w:name="_GoBack"/>
      <w:r>
        <w:rPr>
          <w:rFonts w:hint="eastAsia"/>
          <w:highlight w:val="none"/>
          <w:lang w:val="en-US" w:eastAsia="zh-CN"/>
        </w:rPr>
        <w:t>18</w:t>
      </w:r>
      <w:bookmarkEnd w:id="102"/>
      <w:r>
        <w:rPr>
          <w:rFonts w:hint="eastAsia"/>
        </w:rPr>
        <w:t>日</w:t>
      </w:r>
    </w:p>
    <w:p/>
    <w:sdt>
      <w:sdtPr>
        <w:rPr>
          <w:rFonts w:ascii="宋体" w:hAnsi="宋体" w:eastAsia="宋体" w:cs="Times New Roman"/>
          <w:kern w:val="2"/>
          <w:sz w:val="21"/>
          <w:szCs w:val="24"/>
          <w:lang w:val="en-US" w:eastAsia="zh-CN" w:bidi="ar-SA"/>
        </w:rPr>
        <w:id w:val="14746381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77196"/>
          <w:bookmarkStart w:id="15" w:name="_Toc15396599"/>
        </w:p>
        <w:p>
          <w:pPr>
            <w:pStyle w:val="31"/>
            <w:tabs>
              <w:tab w:val="right" w:leader="dot" w:pos="8306"/>
            </w:tabs>
            <w:rPr>
              <w:b/>
            </w:rPr>
          </w:pPr>
          <w:r>
            <w:fldChar w:fldCharType="begin"/>
          </w:r>
          <w:r>
            <w:instrText xml:space="preserve">TOC \o "1-2" \h \u </w:instrText>
          </w:r>
          <w:r>
            <w:fldChar w:fldCharType="separate"/>
          </w:r>
        </w:p>
        <w:p>
          <w:pPr>
            <w:pStyle w:val="31"/>
            <w:tabs>
              <w:tab w:val="right" w:leader="dot" w:pos="8306"/>
            </w:tabs>
            <w:rPr>
              <w:b/>
            </w:rPr>
          </w:pPr>
          <w:r>
            <w:rPr>
              <w:b/>
            </w:rPr>
            <w:fldChar w:fldCharType="begin"/>
          </w:r>
          <w:r>
            <w:rPr>
              <w:b/>
            </w:rPr>
            <w:instrText xml:space="preserve"> HYPERLINK \l _Toc14282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_Toc14282 \h </w:instrText>
          </w:r>
          <w:r>
            <w:rPr>
              <w:b/>
            </w:rPr>
            <w:fldChar w:fldCharType="separate"/>
          </w:r>
          <w:r>
            <w:rPr>
              <w:b/>
            </w:rPr>
            <w:t>4</w:t>
          </w:r>
          <w:r>
            <w:rPr>
              <w:b/>
            </w:rPr>
            <w:fldChar w:fldCharType="end"/>
          </w:r>
          <w:r>
            <w:rPr>
              <w:b/>
            </w:rPr>
            <w:fldChar w:fldCharType="end"/>
          </w:r>
        </w:p>
        <w:p>
          <w:pPr>
            <w:pStyle w:val="32"/>
            <w:tabs>
              <w:tab w:val="right" w:leader="dot" w:pos="8306"/>
            </w:tabs>
          </w:pPr>
          <w:r>
            <w:fldChar w:fldCharType="begin"/>
          </w:r>
          <w:r>
            <w:instrText xml:space="preserve"> HYPERLINK \l _Toc20834 </w:instrText>
          </w:r>
          <w:r>
            <w:fldChar w:fldCharType="separate"/>
          </w:r>
          <w:r>
            <w:rPr>
              <w:rFonts w:hint="eastAsia" w:ascii="黑体" w:hAnsi="黑体" w:eastAsia="黑体"/>
              <w:bCs w:val="0"/>
            </w:rPr>
            <w:t>一、 主要职责</w:t>
          </w:r>
          <w:r>
            <w:tab/>
          </w:r>
          <w:r>
            <w:fldChar w:fldCharType="begin"/>
          </w:r>
          <w:r>
            <w:instrText xml:space="preserve"> PAGEREF _Toc20834 \h </w:instrText>
          </w:r>
          <w:r>
            <w:fldChar w:fldCharType="separate"/>
          </w:r>
          <w:r>
            <w:t>4</w:t>
          </w:r>
          <w:r>
            <w:fldChar w:fldCharType="end"/>
          </w:r>
          <w:r>
            <w:fldChar w:fldCharType="end"/>
          </w:r>
        </w:p>
        <w:p>
          <w:pPr>
            <w:pStyle w:val="32"/>
            <w:tabs>
              <w:tab w:val="right" w:leader="dot" w:pos="8306"/>
            </w:tabs>
          </w:pPr>
          <w:r>
            <w:fldChar w:fldCharType="begin"/>
          </w:r>
          <w:r>
            <w:instrText xml:space="preserve"> HYPERLINK \l _Toc10419 </w:instrText>
          </w:r>
          <w:r>
            <w:fldChar w:fldCharType="separate"/>
          </w:r>
          <w:r>
            <w:rPr>
              <w:rFonts w:hint="eastAsia" w:ascii="黑体" w:hAnsi="黑体" w:eastAsia="黑体"/>
            </w:rPr>
            <w:t>二、机构设置</w:t>
          </w:r>
          <w:r>
            <w:tab/>
          </w:r>
          <w:r>
            <w:fldChar w:fldCharType="begin"/>
          </w:r>
          <w:r>
            <w:instrText xml:space="preserve"> PAGEREF _Toc10419 \h </w:instrText>
          </w:r>
          <w:r>
            <w:fldChar w:fldCharType="separate"/>
          </w:r>
          <w:r>
            <w:t>6</w:t>
          </w:r>
          <w:r>
            <w:fldChar w:fldCharType="end"/>
          </w:r>
          <w:r>
            <w:fldChar w:fldCharType="end"/>
          </w:r>
        </w:p>
        <w:p>
          <w:pPr>
            <w:pStyle w:val="31"/>
            <w:tabs>
              <w:tab w:val="right" w:leader="dot" w:pos="8306"/>
            </w:tabs>
            <w:rPr>
              <w:b/>
            </w:rPr>
          </w:pPr>
          <w:r>
            <w:rPr>
              <w:b/>
            </w:rPr>
            <w:fldChar w:fldCharType="begin"/>
          </w:r>
          <w:r>
            <w:rPr>
              <w:b/>
            </w:rPr>
            <w:instrText xml:space="preserve"> HYPERLINK \l _Toc16484 </w:instrText>
          </w:r>
          <w:r>
            <w:rPr>
              <w:b/>
            </w:rPr>
            <w:fldChar w:fldCharType="separate"/>
          </w:r>
          <w:r>
            <w:rPr>
              <w:rFonts w:hint="eastAsia" w:ascii="黑体" w:hAnsi="黑体" w:eastAsia="黑体"/>
              <w:b/>
            </w:rPr>
            <w:t>第二部分 202</w:t>
          </w:r>
          <w:r>
            <w:rPr>
              <w:rFonts w:hint="eastAsia" w:ascii="黑体" w:hAnsi="黑体" w:eastAsia="黑体"/>
              <w:b/>
              <w:lang w:val="en-US" w:eastAsia="zh-CN"/>
            </w:rPr>
            <w:t>3</w:t>
          </w:r>
          <w:r>
            <w:rPr>
              <w:rFonts w:hint="eastAsia" w:ascii="黑体" w:hAnsi="黑体" w:eastAsia="黑体"/>
              <w:b/>
            </w:rPr>
            <w:t>年度</w:t>
          </w:r>
          <w:r>
            <w:rPr>
              <w:rFonts w:hint="eastAsia" w:ascii="黑体" w:hAnsi="黑体" w:eastAsia="黑体"/>
              <w:b/>
              <w:bCs/>
            </w:rPr>
            <w:t>单位决算情况说明</w:t>
          </w:r>
          <w:r>
            <w:rPr>
              <w:b/>
            </w:rPr>
            <w:tab/>
          </w:r>
          <w:r>
            <w:rPr>
              <w:b/>
            </w:rPr>
            <w:fldChar w:fldCharType="begin"/>
          </w:r>
          <w:r>
            <w:rPr>
              <w:b/>
            </w:rPr>
            <w:instrText xml:space="preserve"> PAGEREF _Toc16484 \h </w:instrText>
          </w:r>
          <w:r>
            <w:rPr>
              <w:b/>
            </w:rPr>
            <w:fldChar w:fldCharType="separate"/>
          </w:r>
          <w:r>
            <w:rPr>
              <w:b/>
            </w:rPr>
            <w:t>7</w:t>
          </w:r>
          <w:r>
            <w:rPr>
              <w:b/>
            </w:rPr>
            <w:fldChar w:fldCharType="end"/>
          </w:r>
          <w:r>
            <w:rPr>
              <w:b/>
            </w:rPr>
            <w:fldChar w:fldCharType="end"/>
          </w:r>
        </w:p>
        <w:p>
          <w:pPr>
            <w:pStyle w:val="32"/>
            <w:tabs>
              <w:tab w:val="right" w:leader="dot" w:pos="8306"/>
            </w:tabs>
          </w:pPr>
          <w:r>
            <w:fldChar w:fldCharType="begin"/>
          </w:r>
          <w:r>
            <w:instrText xml:space="preserve"> HYPERLINK \l _Toc17048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_Toc17048 \h </w:instrText>
          </w:r>
          <w:r>
            <w:fldChar w:fldCharType="separate"/>
          </w:r>
          <w:r>
            <w:t>7</w:t>
          </w:r>
          <w:r>
            <w:fldChar w:fldCharType="end"/>
          </w:r>
          <w:r>
            <w:fldChar w:fldCharType="end"/>
          </w:r>
        </w:p>
        <w:p>
          <w:pPr>
            <w:pStyle w:val="32"/>
            <w:tabs>
              <w:tab w:val="right" w:leader="dot" w:pos="8306"/>
            </w:tabs>
          </w:pPr>
          <w:r>
            <w:fldChar w:fldCharType="begin"/>
          </w:r>
          <w:r>
            <w:instrText xml:space="preserve"> HYPERLINK \l _Toc14740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_Toc14740 \h </w:instrText>
          </w:r>
          <w:r>
            <w:fldChar w:fldCharType="separate"/>
          </w:r>
          <w:r>
            <w:t>7</w:t>
          </w:r>
          <w:r>
            <w:fldChar w:fldCharType="end"/>
          </w:r>
          <w:r>
            <w:fldChar w:fldCharType="end"/>
          </w:r>
        </w:p>
        <w:p>
          <w:pPr>
            <w:pStyle w:val="32"/>
            <w:tabs>
              <w:tab w:val="right" w:leader="dot" w:pos="8306"/>
            </w:tabs>
          </w:pPr>
          <w:r>
            <w:fldChar w:fldCharType="begin"/>
          </w:r>
          <w:r>
            <w:instrText xml:space="preserve"> HYPERLINK \l _Toc502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_Toc502 \h </w:instrText>
          </w:r>
          <w:r>
            <w:fldChar w:fldCharType="separate"/>
          </w:r>
          <w:r>
            <w:t>8</w:t>
          </w:r>
          <w:r>
            <w:fldChar w:fldCharType="end"/>
          </w:r>
          <w:r>
            <w:fldChar w:fldCharType="end"/>
          </w:r>
        </w:p>
        <w:p>
          <w:pPr>
            <w:pStyle w:val="32"/>
            <w:tabs>
              <w:tab w:val="right" w:leader="dot" w:pos="8306"/>
            </w:tabs>
          </w:pPr>
          <w:r>
            <w:fldChar w:fldCharType="begin"/>
          </w:r>
          <w:r>
            <w:instrText xml:space="preserve"> HYPERLINK \l _Toc14088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_Toc14088 \h </w:instrText>
          </w:r>
          <w:r>
            <w:fldChar w:fldCharType="separate"/>
          </w:r>
          <w:r>
            <w:t>9</w:t>
          </w:r>
          <w:r>
            <w:fldChar w:fldCharType="end"/>
          </w:r>
          <w:r>
            <w:fldChar w:fldCharType="end"/>
          </w:r>
        </w:p>
        <w:p>
          <w:pPr>
            <w:pStyle w:val="32"/>
            <w:tabs>
              <w:tab w:val="right" w:leader="dot" w:pos="8306"/>
            </w:tabs>
          </w:pPr>
          <w:r>
            <w:fldChar w:fldCharType="begin"/>
          </w:r>
          <w:r>
            <w:instrText xml:space="preserve"> HYPERLINK \l _Toc31766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_Toc31766 \h </w:instrText>
          </w:r>
          <w:r>
            <w:fldChar w:fldCharType="separate"/>
          </w:r>
          <w:r>
            <w:t>10</w:t>
          </w:r>
          <w:r>
            <w:fldChar w:fldCharType="end"/>
          </w:r>
          <w:r>
            <w:fldChar w:fldCharType="end"/>
          </w:r>
        </w:p>
        <w:p>
          <w:pPr>
            <w:pStyle w:val="32"/>
            <w:tabs>
              <w:tab w:val="right" w:leader="dot" w:pos="8306"/>
            </w:tabs>
          </w:pPr>
          <w:r>
            <w:fldChar w:fldCharType="begin"/>
          </w:r>
          <w:r>
            <w:instrText xml:space="preserve"> HYPERLINK \l _Toc13753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_Toc13753 \h </w:instrText>
          </w:r>
          <w:r>
            <w:fldChar w:fldCharType="separate"/>
          </w:r>
          <w:r>
            <w:t>14</w:t>
          </w:r>
          <w:r>
            <w:fldChar w:fldCharType="end"/>
          </w:r>
          <w:r>
            <w:fldChar w:fldCharType="end"/>
          </w:r>
        </w:p>
        <w:p>
          <w:pPr>
            <w:pStyle w:val="32"/>
            <w:tabs>
              <w:tab w:val="right" w:leader="dot" w:pos="8306"/>
            </w:tabs>
          </w:pPr>
          <w:r>
            <w:fldChar w:fldCharType="begin"/>
          </w:r>
          <w:r>
            <w:instrText xml:space="preserve"> HYPERLINK \l _Toc7829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_Toc7829 \h </w:instrText>
          </w:r>
          <w:r>
            <w:fldChar w:fldCharType="separate"/>
          </w:r>
          <w:r>
            <w:t>15</w:t>
          </w:r>
          <w:r>
            <w:fldChar w:fldCharType="end"/>
          </w:r>
          <w:r>
            <w:fldChar w:fldCharType="end"/>
          </w:r>
        </w:p>
        <w:p>
          <w:pPr>
            <w:pStyle w:val="32"/>
            <w:tabs>
              <w:tab w:val="right" w:leader="dot" w:pos="8306"/>
            </w:tabs>
          </w:pPr>
          <w:r>
            <w:fldChar w:fldCharType="begin"/>
          </w:r>
          <w:r>
            <w:instrText xml:space="preserve"> HYPERLINK \l _Toc21026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_Toc21026 \h </w:instrText>
          </w:r>
          <w:r>
            <w:fldChar w:fldCharType="separate"/>
          </w:r>
          <w:r>
            <w:t>17</w:t>
          </w:r>
          <w:r>
            <w:fldChar w:fldCharType="end"/>
          </w:r>
          <w:r>
            <w:fldChar w:fldCharType="end"/>
          </w:r>
        </w:p>
        <w:p>
          <w:pPr>
            <w:pStyle w:val="32"/>
            <w:tabs>
              <w:tab w:val="right" w:leader="dot" w:pos="8306"/>
            </w:tabs>
          </w:pPr>
          <w:r>
            <w:fldChar w:fldCharType="begin"/>
          </w:r>
          <w:r>
            <w:instrText xml:space="preserve"> HYPERLINK \l _Toc7881 </w:instrText>
          </w:r>
          <w:r>
            <w:fldChar w:fldCharType="separate"/>
          </w:r>
          <w:r>
            <w:rPr>
              <w:rFonts w:hint="eastAsia" w:ascii="黑体" w:hAnsi="黑体" w:eastAsia="黑体"/>
            </w:rPr>
            <w:t>九、 国有资本经营预算支出决算情况说明</w:t>
          </w:r>
          <w:r>
            <w:tab/>
          </w:r>
          <w:r>
            <w:fldChar w:fldCharType="begin"/>
          </w:r>
          <w:r>
            <w:instrText xml:space="preserve"> PAGEREF _Toc7881 \h </w:instrText>
          </w:r>
          <w:r>
            <w:fldChar w:fldCharType="separate"/>
          </w:r>
          <w:r>
            <w:t>17</w:t>
          </w:r>
          <w:r>
            <w:fldChar w:fldCharType="end"/>
          </w:r>
          <w:r>
            <w:fldChar w:fldCharType="end"/>
          </w:r>
        </w:p>
        <w:p>
          <w:pPr>
            <w:pStyle w:val="32"/>
            <w:tabs>
              <w:tab w:val="right" w:leader="dot" w:pos="8306"/>
            </w:tabs>
          </w:pPr>
          <w:r>
            <w:fldChar w:fldCharType="begin"/>
          </w:r>
          <w:r>
            <w:instrText xml:space="preserve"> HYPERLINK \l _Toc11739 </w:instrText>
          </w:r>
          <w:r>
            <w:fldChar w:fldCharType="separate"/>
          </w:r>
          <w:r>
            <w:rPr>
              <w:rFonts w:hint="eastAsia" w:ascii="黑体" w:hAnsi="黑体" w:eastAsia="黑体"/>
            </w:rPr>
            <w:t>十、 其他重要事项的情况说明</w:t>
          </w:r>
          <w:r>
            <w:tab/>
          </w:r>
          <w:r>
            <w:fldChar w:fldCharType="begin"/>
          </w:r>
          <w:r>
            <w:instrText xml:space="preserve"> PAGEREF _Toc11739 \h </w:instrText>
          </w:r>
          <w:r>
            <w:fldChar w:fldCharType="separate"/>
          </w:r>
          <w:r>
            <w:t>17</w:t>
          </w:r>
          <w:r>
            <w:fldChar w:fldCharType="end"/>
          </w:r>
          <w:r>
            <w:fldChar w:fldCharType="end"/>
          </w:r>
        </w:p>
        <w:p>
          <w:pPr>
            <w:pStyle w:val="31"/>
            <w:tabs>
              <w:tab w:val="right" w:leader="dot" w:pos="8306"/>
            </w:tabs>
            <w:rPr>
              <w:b/>
            </w:rPr>
          </w:pPr>
          <w:r>
            <w:rPr>
              <w:b/>
            </w:rPr>
            <w:fldChar w:fldCharType="begin"/>
          </w:r>
          <w:r>
            <w:rPr>
              <w:b/>
            </w:rPr>
            <w:instrText xml:space="preserve"> HYPERLINK \l _Toc24770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_Toc24770 \h </w:instrText>
          </w:r>
          <w:r>
            <w:rPr>
              <w:b/>
            </w:rPr>
            <w:fldChar w:fldCharType="separate"/>
          </w:r>
          <w:r>
            <w:rPr>
              <w:b/>
            </w:rPr>
            <w:t>19</w:t>
          </w:r>
          <w:r>
            <w:rPr>
              <w:b/>
            </w:rPr>
            <w:fldChar w:fldCharType="end"/>
          </w:r>
          <w:r>
            <w:rPr>
              <w:b/>
            </w:rPr>
            <w:fldChar w:fldCharType="end"/>
          </w:r>
        </w:p>
        <w:p>
          <w:pPr>
            <w:pStyle w:val="31"/>
            <w:tabs>
              <w:tab w:val="right" w:leader="dot" w:pos="8306"/>
            </w:tabs>
            <w:rPr>
              <w:b/>
            </w:rPr>
          </w:pPr>
          <w:r>
            <w:rPr>
              <w:b/>
            </w:rPr>
            <w:fldChar w:fldCharType="begin"/>
          </w:r>
          <w:r>
            <w:rPr>
              <w:b/>
            </w:rPr>
            <w:instrText xml:space="preserve"> HYPERLINK \l _Toc10788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_Toc10788 \h </w:instrText>
          </w:r>
          <w:r>
            <w:rPr>
              <w:b/>
            </w:rPr>
            <w:fldChar w:fldCharType="separate"/>
          </w:r>
          <w:r>
            <w:rPr>
              <w:b/>
            </w:rPr>
            <w:t>24</w:t>
          </w:r>
          <w:r>
            <w:rPr>
              <w:b/>
            </w:rPr>
            <w:fldChar w:fldCharType="end"/>
          </w:r>
          <w:r>
            <w:rPr>
              <w:b/>
            </w:rPr>
            <w:fldChar w:fldCharType="end"/>
          </w:r>
        </w:p>
        <w:p>
          <w:pPr>
            <w:pStyle w:val="31"/>
            <w:tabs>
              <w:tab w:val="right" w:leader="dot" w:pos="8306"/>
            </w:tabs>
            <w:rPr>
              <w:b/>
            </w:rPr>
          </w:pPr>
          <w:r>
            <w:rPr>
              <w:b/>
            </w:rPr>
            <w:fldChar w:fldCharType="begin"/>
          </w:r>
          <w:r>
            <w:rPr>
              <w:b/>
            </w:rPr>
            <w:instrText xml:space="preserve"> HYPERLINK \l _Toc24683 </w:instrText>
          </w:r>
          <w:r>
            <w:rPr>
              <w:b/>
            </w:rPr>
            <w:fldChar w:fldCharType="separate"/>
          </w:r>
          <w:r>
            <w:rPr>
              <w:rFonts w:hint="eastAsia" w:ascii="仿宋_GB2312" w:hAnsi="仿宋_GB2312" w:eastAsia="仿宋_GB2312" w:cs="仿宋_GB2312"/>
              <w:b/>
              <w:kern w:val="0"/>
              <w:szCs w:val="32"/>
            </w:rPr>
            <w:t>部门预算项目支出绩效自评表（202</w:t>
          </w:r>
          <w:r>
            <w:rPr>
              <w:rFonts w:hint="eastAsia" w:ascii="仿宋_GB2312" w:hAnsi="仿宋_GB2312" w:eastAsia="仿宋_GB2312" w:cs="仿宋_GB2312"/>
              <w:b/>
              <w:kern w:val="0"/>
              <w:szCs w:val="32"/>
              <w:lang w:val="en-US" w:eastAsia="zh-CN"/>
            </w:rPr>
            <w:t>3</w:t>
          </w:r>
          <w:r>
            <w:rPr>
              <w:rFonts w:hint="eastAsia" w:ascii="仿宋_GB2312" w:hAnsi="仿宋_GB2312" w:eastAsia="仿宋_GB2312" w:cs="仿宋_GB2312"/>
              <w:b/>
              <w:kern w:val="0"/>
              <w:szCs w:val="32"/>
            </w:rPr>
            <w:t>年度）</w:t>
          </w:r>
          <w:r>
            <w:rPr>
              <w:b/>
            </w:rPr>
            <w:tab/>
          </w:r>
          <w:r>
            <w:rPr>
              <w:b/>
            </w:rPr>
            <w:fldChar w:fldCharType="begin"/>
          </w:r>
          <w:r>
            <w:rPr>
              <w:b/>
            </w:rPr>
            <w:instrText xml:space="preserve"> PAGEREF _Toc24683 \h </w:instrText>
          </w:r>
          <w:r>
            <w:rPr>
              <w:b/>
            </w:rPr>
            <w:fldChar w:fldCharType="separate"/>
          </w:r>
          <w:r>
            <w:rPr>
              <w:b/>
            </w:rPr>
            <w:t>24</w:t>
          </w:r>
          <w:r>
            <w:rPr>
              <w:b/>
            </w:rPr>
            <w:fldChar w:fldCharType="end"/>
          </w:r>
          <w:r>
            <w:rPr>
              <w:b/>
            </w:rPr>
            <w:fldChar w:fldCharType="end"/>
          </w:r>
        </w:p>
        <w:p>
          <w:pPr>
            <w:pStyle w:val="31"/>
            <w:tabs>
              <w:tab w:val="right" w:leader="dot" w:pos="8306"/>
            </w:tabs>
            <w:rPr>
              <w:b/>
            </w:rPr>
          </w:pPr>
          <w:r>
            <w:rPr>
              <w:b/>
            </w:rPr>
            <w:fldChar w:fldCharType="begin"/>
          </w:r>
          <w:r>
            <w:rPr>
              <w:b/>
            </w:rPr>
            <w:instrText xml:space="preserve"> HYPERLINK \l _Toc7232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_Toc7232 \h </w:instrText>
          </w:r>
          <w:r>
            <w:rPr>
              <w:b/>
            </w:rPr>
            <w:fldChar w:fldCharType="separate"/>
          </w:r>
          <w:r>
            <w:rPr>
              <w:b/>
            </w:rPr>
            <w:t>25</w:t>
          </w:r>
          <w:r>
            <w:rPr>
              <w:b/>
            </w:rPr>
            <w:fldChar w:fldCharType="end"/>
          </w:r>
          <w:r>
            <w:rPr>
              <w:b/>
            </w:rPr>
            <w:fldChar w:fldCharType="end"/>
          </w:r>
        </w:p>
        <w:p>
          <w:pPr>
            <w:pStyle w:val="32"/>
            <w:tabs>
              <w:tab w:val="right" w:leader="dot" w:pos="8306"/>
            </w:tabs>
          </w:pPr>
          <w:r>
            <w:fldChar w:fldCharType="begin"/>
          </w:r>
          <w:r>
            <w:instrText xml:space="preserve"> HYPERLINK \l _Toc19189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_Toc19189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_Toc23980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_Toc23980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_Toc14510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_Toc14510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_Toc24355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_Toc24355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_Toc12936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_Toc12936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_Toc23679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_Toc23679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_Toc18649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_Toc18649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_Toc255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_Toc255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_Toc27932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_Toc27932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_Toc1668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_Toc1668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_Toc3773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rPr>
              <w:rFonts w:hint="eastAsia" w:ascii="仿宋" w:hAnsi="仿宋" w:eastAsia="仿宋"/>
              <w:bCs w:val="0"/>
              <w:lang w:eastAsia="zh-CN"/>
            </w:rPr>
            <w:t>（此表无数据）</w:t>
          </w:r>
          <w:r>
            <w:tab/>
          </w:r>
          <w:r>
            <w:fldChar w:fldCharType="begin"/>
          </w:r>
          <w:r>
            <w:instrText xml:space="preserve"> PAGEREF _Toc3773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_Toc28592 </w:instrText>
          </w:r>
          <w:r>
            <w:fldChar w:fldCharType="separate"/>
          </w:r>
          <w:r>
            <w:rPr>
              <w:rFonts w:hint="eastAsia" w:ascii="仿宋" w:hAnsi="仿宋" w:eastAsia="仿宋"/>
              <w:bCs w:val="0"/>
            </w:rPr>
            <w:t>十二、国有资本经营预算财政拨款支出决算表</w:t>
          </w:r>
          <w:r>
            <w:rPr>
              <w:rFonts w:hint="eastAsia" w:ascii="仿宋" w:hAnsi="仿宋" w:eastAsia="仿宋"/>
              <w:bCs w:val="0"/>
              <w:lang w:eastAsia="zh-CN"/>
            </w:rPr>
            <w:t>（此表无数据）</w:t>
          </w:r>
          <w:r>
            <w:tab/>
          </w:r>
          <w:r>
            <w:fldChar w:fldCharType="begin"/>
          </w:r>
          <w:r>
            <w:instrText xml:space="preserve"> PAGEREF _Toc28592 \h </w:instrText>
          </w:r>
          <w:r>
            <w:fldChar w:fldCharType="separate"/>
          </w:r>
          <w:r>
            <w:t>25</w:t>
          </w:r>
          <w:r>
            <w:fldChar w:fldCharType="end"/>
          </w:r>
          <w:r>
            <w:fldChar w:fldCharType="end"/>
          </w:r>
        </w:p>
        <w:p>
          <w:pPr>
            <w:pStyle w:val="32"/>
            <w:tabs>
              <w:tab w:val="right" w:leader="dot" w:pos="8306"/>
            </w:tabs>
          </w:pPr>
          <w:r>
            <w:fldChar w:fldCharType="begin"/>
          </w:r>
          <w:r>
            <w:instrText xml:space="preserve"> HYPERLINK \l _Toc15153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_Toc15153 \h </w:instrText>
          </w:r>
          <w:r>
            <w:fldChar w:fldCharType="separate"/>
          </w:r>
          <w:r>
            <w:t>25</w:t>
          </w:r>
          <w:r>
            <w:fldChar w:fldCharType="end"/>
          </w:r>
          <w:r>
            <w:fldChar w:fldCharType="end"/>
          </w:r>
        </w:p>
        <w:p>
          <w:r>
            <w:rPr>
              <w:b/>
            </w:rPr>
            <w:fldChar w:fldCharType="end"/>
          </w:r>
        </w:p>
      </w:sdtContent>
    </w:sdt>
    <w:p>
      <w:pPr>
        <w:pStyle w:val="3"/>
        <w:jc w:val="center"/>
        <w:rPr>
          <w:rStyle w:val="24"/>
          <w:rFonts w:ascii="黑体" w:hAnsi="黑体" w:eastAsia="黑体"/>
          <w:b/>
          <w:bCs w:val="0"/>
        </w:rPr>
      </w:pPr>
      <w:bookmarkStart w:id="16" w:name="_Toc14282"/>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pStyle w:val="4"/>
        <w:numPr>
          <w:ilvl w:val="0"/>
          <w:numId w:val="1"/>
        </w:numPr>
        <w:rPr>
          <w:rStyle w:val="25"/>
          <w:rFonts w:ascii="黑体" w:hAnsi="黑体" w:eastAsia="黑体"/>
          <w:b w:val="0"/>
          <w:bCs w:val="0"/>
        </w:rPr>
      </w:pPr>
      <w:bookmarkStart w:id="17" w:name="_Toc20834"/>
      <w:bookmarkStart w:id="18" w:name="_Toc15396600"/>
      <w:bookmarkStart w:id="19" w:name="_Toc15377197"/>
      <w:r>
        <w:rPr>
          <w:rStyle w:val="25"/>
          <w:rFonts w:hint="eastAsia" w:ascii="黑体" w:hAnsi="黑体" w:eastAsia="黑体"/>
          <w:b w:val="0"/>
          <w:bCs w:val="0"/>
        </w:rPr>
        <w:t>主要职责</w:t>
      </w:r>
      <w:bookmarkEnd w:id="1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（9）负责公路、水路有关涉外工作，开展经济技术交流和合作，指导全市交通运输行业招商引资和利用外部资金工作。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pPr>
      <w:r>
        <w:rPr>
          <w:rFonts w:hint="eastAsia" w:ascii="仿宋_GB2312" w:hAnsi="仿宋_GB2312" w:eastAsia="仿宋_GB2312" w:cs="仿宋_GB2312"/>
          <w:sz w:val="32"/>
          <w:szCs w:val="32"/>
        </w:rPr>
        <w:t>（11）承办市政府交办的其他事项</w:t>
      </w:r>
    </w:p>
    <w:p>
      <w:pPr>
        <w:pStyle w:val="4"/>
        <w:rPr>
          <w:rFonts w:ascii="黑体" w:hAnsi="黑体" w:eastAsia="黑体"/>
          <w:b w:val="0"/>
        </w:rPr>
      </w:pPr>
      <w:bookmarkStart w:id="20" w:name="_Toc10419"/>
      <w:r>
        <w:rPr>
          <w:rFonts w:hint="eastAsia" w:ascii="黑体" w:hAnsi="黑体" w:eastAsia="黑体"/>
          <w:b w:val="0"/>
        </w:rPr>
        <w:t>二、机构设置</w:t>
      </w:r>
      <w:bookmarkEnd w:id="20"/>
    </w:p>
    <w:bookmarkEnd w:id="18"/>
    <w:bookmarkEnd w:id="19"/>
    <w:p>
      <w:pPr>
        <w:widowControl/>
        <w:ind w:firstLine="640" w:firstLineChars="200"/>
        <w:jc w:val="left"/>
        <w:rPr>
          <w:rFonts w:ascii="仿宋" w:hAnsi="仿宋" w:eastAsia="仿宋"/>
          <w:kern w:val="0"/>
          <w:sz w:val="32"/>
          <w:szCs w:val="32"/>
        </w:rPr>
      </w:pPr>
      <w:r>
        <w:rPr>
          <w:rFonts w:hint="eastAsia" w:ascii="仿宋_GB2312" w:hAnsi="仿宋_GB2312" w:eastAsia="仿宋_GB2312" w:cs="仿宋_GB2312"/>
          <w:sz w:val="32"/>
          <w:szCs w:val="32"/>
          <w:lang w:eastAsia="zh-CN"/>
        </w:rPr>
        <w:t>内设科室</w:t>
      </w:r>
      <w:r>
        <w:rPr>
          <w:rFonts w:hint="eastAsia" w:ascii="仿宋_GB2312" w:hAnsi="仿宋_GB2312" w:eastAsia="仿宋_GB2312" w:cs="仿宋_GB2312"/>
          <w:sz w:val="32"/>
          <w:szCs w:val="32"/>
          <w:lang w:val="en-US" w:eastAsia="zh-CN"/>
        </w:rPr>
        <w:t>16个，包括办公室、政策研究室、综合规划科、发展促进科、建设管理科、公路管理科、农村公路建设指导科、道路运输管理科、水运管理科、安全与环保监督科、科技和信息化科、法规科、行政审批科、财务审计科、干部人事科、组织宣传科。</w:t>
      </w:r>
      <w:r>
        <w:rPr>
          <w:rFonts w:ascii="仿宋" w:hAnsi="仿宋" w:eastAsia="仿宋"/>
          <w:sz w:val="32"/>
          <w:szCs w:val="32"/>
        </w:rPr>
        <w:br w:type="page"/>
      </w:r>
    </w:p>
    <w:p>
      <w:pPr>
        <w:pStyle w:val="3"/>
        <w:ind w:right="440"/>
        <w:jc w:val="center"/>
        <w:rPr>
          <w:rStyle w:val="24"/>
          <w:rFonts w:ascii="黑体" w:hAnsi="黑体" w:eastAsia="黑体"/>
          <w:b w:val="0"/>
          <w:bCs/>
        </w:rPr>
      </w:pPr>
      <w:bookmarkStart w:id="21" w:name="_Toc15377204"/>
      <w:bookmarkStart w:id="22" w:name="_Toc15396602"/>
      <w:bookmarkStart w:id="23" w:name="_Toc16484"/>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4"/>
          <w:rFonts w:hint="eastAsia" w:ascii="黑体" w:hAnsi="黑体" w:eastAsia="黑体"/>
          <w:b w:val="0"/>
          <w:bCs/>
        </w:rPr>
        <w:t>单位决算情况说明</w:t>
      </w:r>
      <w:bookmarkEnd w:id="21"/>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7048"/>
      <w:bookmarkStart w:id="26"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28798.29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10555.48</w:t>
      </w:r>
      <w:r>
        <w:rPr>
          <w:rFonts w:hint="eastAsia" w:ascii="仿宋" w:hAnsi="仿宋" w:eastAsia="仿宋"/>
          <w:sz w:val="32"/>
          <w:szCs w:val="32"/>
        </w:rPr>
        <w:t>万元，增长</w:t>
      </w:r>
      <w:r>
        <w:rPr>
          <w:rFonts w:hint="eastAsia" w:ascii="仿宋" w:hAnsi="仿宋" w:eastAsia="仿宋"/>
          <w:sz w:val="32"/>
          <w:szCs w:val="32"/>
          <w:lang w:val="en-US" w:eastAsia="zh-CN"/>
        </w:rPr>
        <w:t>57.86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项目支出增加，主要包括动车补贴、航线补贴等</w:t>
      </w:r>
      <w:r>
        <w:rPr>
          <w:rFonts w:hint="eastAsia" w:ascii="仿宋" w:hAnsi="仿宋" w:eastAsia="仿宋"/>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226695</wp:posOffset>
            </wp:positionH>
            <wp:positionV relativeFrom="paragraph">
              <wp:posOffset>114300</wp:posOffset>
            </wp:positionV>
            <wp:extent cx="4480560" cy="3066415"/>
            <wp:effectExtent l="4445" t="5080" r="10795" b="14605"/>
            <wp:wrapTight wrapText="bothSides">
              <wp:wrapPolygon>
                <wp:start x="-21" y="-36"/>
                <wp:lineTo x="-21" y="21434"/>
                <wp:lineTo x="21560" y="21434"/>
                <wp:lineTo x="21560" y="-36"/>
                <wp:lineTo x="-21" y="-36"/>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7" w:name="_Toc15396604"/>
      <w:bookmarkStart w:id="28" w:name="_Toc15377206"/>
      <w:bookmarkStart w:id="29" w:name="_Toc14740"/>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3972"/>
      <w:r>
        <w:rPr>
          <w:rFonts w:hint="eastAsia" w:ascii="仿宋" w:hAnsi="仿宋" w:eastAsia="仿宋"/>
          <w:sz w:val="32"/>
          <w:szCs w:val="32"/>
        </w:rPr>
        <w:t>2023年度本年收入合计</w:t>
      </w:r>
      <w:r>
        <w:rPr>
          <w:rFonts w:ascii="仿宋" w:hAnsi="仿宋" w:eastAsia="仿宋"/>
          <w:b/>
          <w:sz w:val="32"/>
          <w:szCs w:val="32"/>
        </w:rPr>
        <w:t>25870.68</w:t>
      </w:r>
      <w:r>
        <w:rPr>
          <w:rFonts w:hint="eastAsia" w:ascii="仿宋" w:hAnsi="仿宋" w:eastAsia="仿宋"/>
          <w:sz w:val="32"/>
          <w:szCs w:val="32"/>
        </w:rPr>
        <w:t>万元，其中：一般公共预算财政拨款收入</w:t>
      </w:r>
      <w:r>
        <w:rPr>
          <w:rFonts w:ascii="仿宋" w:hAnsi="仿宋" w:eastAsia="仿宋"/>
          <w:b/>
          <w:sz w:val="32"/>
          <w:szCs w:val="32"/>
        </w:rPr>
        <w:t>24584.3</w:t>
      </w:r>
      <w:r>
        <w:rPr>
          <w:rFonts w:hint="eastAsia" w:ascii="仿宋" w:hAnsi="仿宋" w:eastAsia="仿宋"/>
          <w:sz w:val="32"/>
          <w:szCs w:val="32"/>
        </w:rPr>
        <w:t>万元，占</w:t>
      </w:r>
      <w:r>
        <w:rPr>
          <w:rFonts w:ascii="仿宋" w:hAnsi="仿宋" w:eastAsia="仿宋"/>
          <w:b/>
          <w:sz w:val="32"/>
          <w:szCs w:val="32"/>
        </w:rPr>
        <w:t>95.02%</w:t>
      </w:r>
      <w:r>
        <w:rPr>
          <w:rFonts w:hint="eastAsia" w:ascii="仿宋" w:hAnsi="仿宋" w:eastAsia="仿宋"/>
          <w:sz w:val="32"/>
          <w:szCs w:val="32"/>
        </w:rPr>
        <w:t>；政府性基金预算财政拨款收入</w:t>
      </w:r>
      <w:r>
        <w:rPr>
          <w:rFonts w:ascii="仿宋" w:hAnsi="仿宋" w:eastAsia="仿宋"/>
          <w:b/>
          <w:sz w:val="32"/>
          <w:szCs w:val="32"/>
        </w:rPr>
        <w:t>18.95</w:t>
      </w:r>
      <w:r>
        <w:rPr>
          <w:rFonts w:hint="eastAsia" w:ascii="仿宋" w:hAnsi="仿宋" w:eastAsia="仿宋"/>
          <w:sz w:val="32"/>
          <w:szCs w:val="32"/>
        </w:rPr>
        <w:t>万元，占</w:t>
      </w:r>
      <w:r>
        <w:rPr>
          <w:rFonts w:ascii="仿宋" w:hAnsi="仿宋" w:eastAsia="仿宋"/>
          <w:b/>
          <w:sz w:val="32"/>
          <w:szCs w:val="32"/>
        </w:rPr>
        <w:t>0.07</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1267.44</w:t>
      </w:r>
      <w:r>
        <w:rPr>
          <w:rFonts w:hint="eastAsia" w:ascii="仿宋" w:hAnsi="仿宋" w:eastAsia="仿宋"/>
          <w:sz w:val="32"/>
          <w:szCs w:val="32"/>
        </w:rPr>
        <w:t>万元，占</w:t>
      </w:r>
      <w:r>
        <w:rPr>
          <w:rFonts w:ascii="仿宋" w:hAnsi="仿宋" w:eastAsia="仿宋"/>
          <w:b/>
          <w:sz w:val="32"/>
          <w:szCs w:val="32"/>
        </w:rPr>
        <w:t>4.89</w:t>
      </w:r>
      <w:r>
        <w:rPr>
          <w:rFonts w:ascii="仿宋" w:hAnsi="仿宋" w:eastAsia="仿宋"/>
          <w:sz w:val="32"/>
          <w:szCs w:val="32"/>
        </w:rPr>
        <w:t>%</w:t>
      </w:r>
      <w:bookmarkEnd w:id="30"/>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480060</wp:posOffset>
            </wp:positionH>
            <wp:positionV relativeFrom="paragraph">
              <wp:posOffset>128905</wp:posOffset>
            </wp:positionV>
            <wp:extent cx="3970655" cy="3219450"/>
            <wp:effectExtent l="4445" t="5080" r="6350" b="13970"/>
            <wp:wrapTight wrapText="bothSides">
              <wp:wrapPolygon>
                <wp:start x="-24" y="-34"/>
                <wp:lineTo x="-24" y="21566"/>
                <wp:lineTo x="21531" y="21566"/>
                <wp:lineTo x="21531" y="-34"/>
                <wp:lineTo x="-24" y="-34"/>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31" w:name="_Toc15377207"/>
      <w:bookmarkStart w:id="32" w:name="_Toc502"/>
      <w:bookmarkStart w:id="33" w:name="_Toc15396605"/>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spacing w:line="600" w:lineRule="exact"/>
        <w:ind w:firstLine="640" w:firstLineChars="200"/>
        <w:outlineLvl w:val="1"/>
        <w:rPr>
          <w:rFonts w:hint="eastAsia" w:ascii="仿宋_GB2312" w:hAnsi="仿宋_GB2312" w:eastAsia="仿宋_GB2312" w:cs="仿宋_GB2312"/>
          <w:sz w:val="32"/>
          <w:szCs w:val="32"/>
          <w:shd w:val="pct10" w:color="auto" w:fill="FFFFFF"/>
        </w:rPr>
      </w:pPr>
      <w:bookmarkStart w:id="34" w:name="_Toc7945"/>
      <w:r>
        <w:rPr>
          <w:rFonts w:hint="eastAsia" w:ascii="仿宋" w:hAnsi="仿宋" w:eastAsia="仿宋"/>
          <w:sz w:val="32"/>
          <w:szCs w:val="32"/>
        </w:rPr>
        <w:t>2023年度本年支出合计</w:t>
      </w:r>
      <w:r>
        <w:rPr>
          <w:rFonts w:ascii="仿宋" w:hAnsi="仿宋" w:eastAsia="仿宋"/>
          <w:b/>
          <w:sz w:val="32"/>
          <w:szCs w:val="32"/>
        </w:rPr>
        <w:t>28798.29</w:t>
      </w:r>
      <w:r>
        <w:rPr>
          <w:rFonts w:hint="eastAsia" w:ascii="仿宋" w:hAnsi="仿宋" w:eastAsia="仿宋"/>
          <w:sz w:val="32"/>
          <w:szCs w:val="32"/>
        </w:rPr>
        <w:t>万元，其中：基本支出</w:t>
      </w:r>
      <w:r>
        <w:rPr>
          <w:rFonts w:ascii="仿宋" w:hAnsi="仿宋" w:eastAsia="仿宋"/>
          <w:b/>
          <w:sz w:val="32"/>
          <w:szCs w:val="32"/>
        </w:rPr>
        <w:t>13851.81</w:t>
      </w:r>
      <w:r>
        <w:rPr>
          <w:rFonts w:hint="eastAsia" w:ascii="仿宋" w:hAnsi="仿宋" w:eastAsia="仿宋"/>
          <w:sz w:val="32"/>
          <w:szCs w:val="32"/>
        </w:rPr>
        <w:t>万元，占</w:t>
      </w:r>
      <w:r>
        <w:rPr>
          <w:rFonts w:ascii="仿宋" w:hAnsi="仿宋" w:eastAsia="仿宋"/>
          <w:b/>
          <w:sz w:val="32"/>
          <w:szCs w:val="32"/>
        </w:rPr>
        <w:t>48.09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14946.48</w:t>
      </w:r>
      <w:r>
        <w:rPr>
          <w:rFonts w:hint="eastAsia" w:ascii="仿宋" w:hAnsi="仿宋" w:eastAsia="仿宋"/>
          <w:sz w:val="32"/>
          <w:szCs w:val="32"/>
        </w:rPr>
        <w:t>万元，占</w:t>
      </w:r>
      <w:r>
        <w:rPr>
          <w:rFonts w:ascii="仿宋" w:hAnsi="仿宋" w:eastAsia="仿宋"/>
          <w:b/>
          <w:sz w:val="32"/>
          <w:szCs w:val="32"/>
        </w:rPr>
        <w:t>51.9</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537845</wp:posOffset>
            </wp:positionH>
            <wp:positionV relativeFrom="paragraph">
              <wp:posOffset>108585</wp:posOffset>
            </wp:positionV>
            <wp:extent cx="3964940" cy="2721610"/>
            <wp:effectExtent l="4445" t="4445" r="12065" b="74295"/>
            <wp:wrapTight wrapText="bothSides">
              <wp:wrapPolygon>
                <wp:start x="-24" y="-35"/>
                <wp:lineTo x="-24" y="21434"/>
                <wp:lineTo x="21562" y="21434"/>
                <wp:lineTo x="21562" y="-35"/>
                <wp:lineTo x="-24" y="-35"/>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9"/>
        <w:rPr>
          <w:rFonts w:hint="eastAsia" w:ascii="仿宋_GB2312" w:hAnsi="仿宋_GB2312" w:eastAsia="仿宋_GB2312" w:cs="仿宋_GB2312"/>
          <w:sz w:val="32"/>
          <w:szCs w:val="32"/>
        </w:rPr>
      </w:pPr>
      <w:bookmarkStart w:id="35" w:name="_Toc15377208"/>
      <w:bookmarkStart w:id="36" w:name="_Toc15396606"/>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1"/>
        <w:rPr>
          <w:rStyle w:val="25"/>
          <w:rFonts w:ascii="黑体" w:hAnsi="黑体" w:eastAsia="黑体"/>
          <w:b w:val="0"/>
        </w:rPr>
      </w:pPr>
      <w:bookmarkStart w:id="37" w:name="_Toc1408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27530.85</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9325.5</w:t>
      </w:r>
      <w:r>
        <w:rPr>
          <w:rFonts w:hint="eastAsia" w:ascii="仿宋" w:hAnsi="仿宋" w:eastAsia="仿宋"/>
          <w:sz w:val="32"/>
          <w:szCs w:val="32"/>
        </w:rPr>
        <w:t>万元，增长</w:t>
      </w:r>
      <w:r>
        <w:rPr>
          <w:rFonts w:hint="eastAsia" w:ascii="仿宋" w:hAnsi="仿宋" w:eastAsia="仿宋"/>
          <w:sz w:val="32"/>
          <w:szCs w:val="32"/>
          <w:lang w:val="en-US" w:eastAsia="zh-CN"/>
        </w:rPr>
        <w:t>51.22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项目支出增加，主要包括动车补贴、航线补贴等</w:t>
      </w:r>
      <w:r>
        <w:rPr>
          <w:rFonts w:hint="eastAsia" w:ascii="仿宋" w:hAnsi="仿宋" w:eastAsia="仿宋"/>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2336" behindDoc="1" locked="0" layoutInCell="1" allowOverlap="1">
            <wp:simplePos x="0" y="0"/>
            <wp:positionH relativeFrom="column">
              <wp:posOffset>220345</wp:posOffset>
            </wp:positionH>
            <wp:positionV relativeFrom="paragraph">
              <wp:posOffset>550545</wp:posOffset>
            </wp:positionV>
            <wp:extent cx="4994910" cy="2973070"/>
            <wp:effectExtent l="4445" t="4445" r="10795" b="13335"/>
            <wp:wrapTight wrapText="bothSides">
              <wp:wrapPolygon>
                <wp:start x="-19" y="-32"/>
                <wp:lineTo x="-19" y="21558"/>
                <wp:lineTo x="21564" y="21558"/>
                <wp:lineTo x="21564" y="-32"/>
                <wp:lineTo x="-19" y="-32"/>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8" w:name="_Toc15396607"/>
      <w:bookmarkStart w:id="39" w:name="_Toc31766"/>
      <w:bookmarkStart w:id="40"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spacing w:line="600" w:lineRule="exact"/>
        <w:ind w:firstLine="642"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27511.9</w:t>
      </w:r>
      <w:r>
        <w:rPr>
          <w:rFonts w:hint="eastAsia" w:ascii="仿宋" w:hAnsi="仿宋" w:eastAsia="仿宋"/>
          <w:sz w:val="32"/>
          <w:szCs w:val="32"/>
        </w:rPr>
        <w:t>万元，占本年支出合计的</w:t>
      </w:r>
      <w:r>
        <w:rPr>
          <w:rFonts w:ascii="仿宋" w:hAnsi="仿宋" w:eastAsia="仿宋"/>
          <w:b/>
          <w:sz w:val="32"/>
          <w:szCs w:val="32"/>
        </w:rPr>
        <w:t>95.53</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11006.55</w:t>
      </w:r>
      <w:r>
        <w:rPr>
          <w:rFonts w:hint="eastAsia" w:ascii="仿宋" w:hAnsi="仿宋" w:eastAsia="仿宋"/>
          <w:sz w:val="32"/>
          <w:szCs w:val="32"/>
        </w:rPr>
        <w:t>万元，增长</w:t>
      </w:r>
      <w:r>
        <w:rPr>
          <w:rFonts w:hint="eastAsia" w:ascii="仿宋" w:hAnsi="仿宋" w:eastAsia="仿宋"/>
          <w:sz w:val="32"/>
          <w:szCs w:val="32"/>
          <w:lang w:val="en-US" w:eastAsia="zh-CN"/>
        </w:rPr>
        <w:t>66.68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项目支出增加，主要包括动车补贴、航线补贴等</w:t>
      </w:r>
      <w:r>
        <w:rPr>
          <w:rFonts w:hint="eastAsia" w:ascii="仿宋" w:hAnsi="仿宋" w:eastAsia="仿宋"/>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spacing w:line="600" w:lineRule="exact"/>
        <w:ind w:firstLine="640" w:firstLineChars="200"/>
        <w:outlineLvl w:val="9"/>
        <w:rPr>
          <w:rFonts w:hint="eastAsia" w:ascii="仿宋" w:hAnsi="仿宋" w:eastAsia="仿宋"/>
          <w:b/>
          <w:sz w:val="32"/>
          <w:szCs w:val="32"/>
        </w:rPr>
      </w:pPr>
      <w:bookmarkStart w:id="42" w:name="_Toc15377211"/>
      <w:r>
        <w:rPr>
          <w:rFonts w:hint="eastAsia" w:ascii="仿宋_GB2312" w:hAnsi="仿宋_GB2312" w:eastAsia="仿宋_GB2312" w:cs="仿宋_GB2312"/>
          <w:sz w:val="32"/>
          <w:szCs w:val="32"/>
        </w:rPr>
        <w:drawing>
          <wp:anchor distT="0" distB="0" distL="114300" distR="114300" simplePos="0" relativeHeight="251663360" behindDoc="1" locked="0" layoutInCell="1" allowOverlap="1">
            <wp:simplePos x="0" y="0"/>
            <wp:positionH relativeFrom="column">
              <wp:posOffset>8255</wp:posOffset>
            </wp:positionH>
            <wp:positionV relativeFrom="paragraph">
              <wp:posOffset>158750</wp:posOffset>
            </wp:positionV>
            <wp:extent cx="4907915" cy="3597275"/>
            <wp:effectExtent l="5080" t="4445" r="20955" b="17780"/>
            <wp:wrapTight wrapText="bothSides">
              <wp:wrapPolygon>
                <wp:start x="-22" y="-27"/>
                <wp:lineTo x="-22" y="21478"/>
                <wp:lineTo x="21525" y="21478"/>
                <wp:lineTo x="21525" y="-27"/>
                <wp:lineTo x="-22" y="-27"/>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27511.9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67.71</w:t>
      </w:r>
      <w:r>
        <w:rPr>
          <w:rFonts w:hint="eastAsia" w:ascii="仿宋" w:hAnsi="仿宋" w:eastAsia="仿宋"/>
          <w:sz w:val="32"/>
          <w:szCs w:val="32"/>
        </w:rPr>
        <w:t>万元，占</w:t>
      </w:r>
      <w:r>
        <w:rPr>
          <w:rFonts w:hint="eastAsia" w:ascii="仿宋" w:hAnsi="仿宋" w:eastAsia="仿宋"/>
          <w:sz w:val="32"/>
          <w:szCs w:val="32"/>
          <w:lang w:val="en-US" w:eastAsia="zh-CN"/>
        </w:rPr>
        <w:t>0.25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435.95</w:t>
      </w:r>
      <w:r>
        <w:rPr>
          <w:rFonts w:hint="eastAsia" w:ascii="仿宋" w:hAnsi="仿宋" w:eastAsia="仿宋"/>
          <w:sz w:val="32"/>
          <w:szCs w:val="32"/>
        </w:rPr>
        <w:t>万元，占</w:t>
      </w:r>
      <w:r>
        <w:rPr>
          <w:rFonts w:hint="eastAsia" w:ascii="仿宋" w:hAnsi="仿宋" w:eastAsia="仿宋"/>
          <w:sz w:val="32"/>
          <w:szCs w:val="32"/>
          <w:lang w:val="en-US" w:eastAsia="zh-CN"/>
        </w:rPr>
        <w:t>1.58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71.29</w:t>
      </w:r>
      <w:r>
        <w:rPr>
          <w:rFonts w:hint="eastAsia" w:ascii="仿宋" w:hAnsi="仿宋" w:eastAsia="仿宋"/>
          <w:sz w:val="32"/>
          <w:szCs w:val="32"/>
        </w:rPr>
        <w:t>万元，占</w:t>
      </w:r>
      <w:r>
        <w:rPr>
          <w:rFonts w:hint="eastAsia" w:ascii="仿宋" w:hAnsi="仿宋" w:eastAsia="仿宋"/>
          <w:sz w:val="32"/>
          <w:szCs w:val="32"/>
          <w:lang w:val="en-US" w:eastAsia="zh-CN"/>
        </w:rPr>
        <w:t>0.26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农林水支出</w:t>
      </w:r>
      <w:r>
        <w:rPr>
          <w:rFonts w:hint="eastAsia" w:ascii="仿宋" w:hAnsi="仿宋" w:eastAsia="仿宋"/>
          <w:sz w:val="32"/>
          <w:szCs w:val="32"/>
          <w:lang w:val="en-US" w:eastAsia="zh-CN"/>
        </w:rPr>
        <w:t>1827.39</w:t>
      </w:r>
      <w:r>
        <w:rPr>
          <w:rFonts w:hint="eastAsia" w:ascii="仿宋" w:hAnsi="仿宋" w:eastAsia="仿宋"/>
          <w:sz w:val="32"/>
          <w:szCs w:val="32"/>
        </w:rPr>
        <w:t>万元，占</w:t>
      </w:r>
      <w:r>
        <w:rPr>
          <w:rFonts w:hint="eastAsia" w:ascii="仿宋" w:hAnsi="仿宋" w:eastAsia="仿宋"/>
          <w:sz w:val="32"/>
          <w:szCs w:val="32"/>
          <w:lang w:val="en-US" w:eastAsia="zh-CN"/>
        </w:rPr>
        <w:t>6.64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sz w:val="32"/>
          <w:szCs w:val="32"/>
          <w:lang w:val="en-US" w:eastAsia="zh-CN"/>
        </w:rPr>
        <w:t>23502.54万元，占85.43%；</w:t>
      </w:r>
      <w:r>
        <w:rPr>
          <w:rFonts w:hint="eastAsia" w:ascii="仿宋" w:hAnsi="仿宋" w:eastAsia="仿宋"/>
          <w:b/>
          <w:bCs/>
          <w:sz w:val="32"/>
          <w:szCs w:val="32"/>
          <w:lang w:val="en-US" w:eastAsia="zh-CN"/>
        </w:rPr>
        <w:t>商业服务业等支出</w:t>
      </w:r>
      <w:r>
        <w:rPr>
          <w:rFonts w:hint="eastAsia" w:ascii="仿宋" w:hAnsi="仿宋" w:eastAsia="仿宋"/>
          <w:sz w:val="32"/>
          <w:szCs w:val="32"/>
          <w:lang w:val="en-US" w:eastAsia="zh-CN"/>
        </w:rPr>
        <w:t>1507.16万元，占5.48%；</w:t>
      </w:r>
      <w:r>
        <w:rPr>
          <w:rFonts w:hint="eastAsia" w:ascii="仿宋" w:hAnsi="仿宋" w:eastAsia="仿宋"/>
          <w:b/>
          <w:bCs/>
          <w:sz w:val="32"/>
          <w:szCs w:val="32"/>
          <w:lang w:val="en-US" w:eastAsia="zh-CN"/>
        </w:rPr>
        <w:t>住房保障支出</w:t>
      </w:r>
      <w:r>
        <w:rPr>
          <w:rFonts w:hint="eastAsia" w:ascii="仿宋" w:hAnsi="仿宋" w:eastAsia="仿宋"/>
          <w:sz w:val="32"/>
          <w:szCs w:val="32"/>
          <w:lang w:val="en-US" w:eastAsia="zh-CN"/>
        </w:rPr>
        <w:t>88.47万元，占0.32%；</w:t>
      </w:r>
      <w:r>
        <w:rPr>
          <w:rFonts w:hint="eastAsia" w:ascii="仿宋" w:hAnsi="仿宋" w:eastAsia="仿宋"/>
          <w:b/>
          <w:bCs/>
          <w:sz w:val="32"/>
          <w:szCs w:val="32"/>
          <w:lang w:val="en-US" w:eastAsia="zh-CN"/>
        </w:rPr>
        <w:t>灾害防治及应急管理支出</w:t>
      </w:r>
      <w:r>
        <w:rPr>
          <w:rFonts w:hint="eastAsia" w:ascii="仿宋" w:hAnsi="仿宋" w:eastAsia="仿宋"/>
          <w:sz w:val="32"/>
          <w:szCs w:val="32"/>
          <w:lang w:val="en-US" w:eastAsia="zh-CN"/>
        </w:rPr>
        <w:t>11.38万元，占0.04%</w:t>
      </w:r>
      <w:r>
        <w:rPr>
          <w:rFonts w:hint="eastAsia" w:ascii="仿宋" w:hAnsi="仿宋" w:eastAsia="仿宋"/>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168275</wp:posOffset>
            </wp:positionH>
            <wp:positionV relativeFrom="paragraph">
              <wp:posOffset>145415</wp:posOffset>
            </wp:positionV>
            <wp:extent cx="4965065" cy="3444875"/>
            <wp:effectExtent l="4445" t="4445" r="21590" b="177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2"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numPr>
          <w:ilvl w:val="0"/>
          <w:numId w:val="0"/>
        </w:numPr>
        <w:ind w:firstLine="642" w:firstLineChars="200"/>
        <w:rPr>
          <w:rStyle w:val="14"/>
          <w:rFonts w:hint="eastAsia" w:ascii="仿宋" w:hAnsi="仿宋" w:eastAsia="仿宋"/>
          <w:bCs/>
          <w:sz w:val="32"/>
          <w:szCs w:val="32"/>
        </w:rPr>
      </w:pPr>
      <w:bookmarkStart w:id="44" w:name="_Toc15378460"/>
      <w:bookmarkStart w:id="45" w:name="_Toc15377213"/>
      <w:bookmarkStart w:id="46" w:name="_Toc15377444"/>
      <w:r>
        <w:rPr>
          <w:rFonts w:hint="eastAsia" w:ascii="仿宋" w:hAnsi="仿宋" w:eastAsia="仿宋"/>
          <w:b/>
          <w:sz w:val="32"/>
          <w:szCs w:val="32"/>
        </w:rPr>
        <w:t>2023年度一般公共预算支出决算数为</w:t>
      </w:r>
      <w:r>
        <w:rPr>
          <w:rFonts w:ascii="仿宋" w:hAnsi="仿宋" w:eastAsia="仿宋"/>
          <w:b/>
          <w:sz w:val="32"/>
          <w:szCs w:val="32"/>
        </w:rPr>
        <w:t>27511.9</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pPr>
        <w:numPr>
          <w:ilvl w:val="0"/>
          <w:numId w:val="0"/>
        </w:numPr>
        <w:ind w:firstLine="640" w:firstLineChars="200"/>
        <w:rPr>
          <w:rFonts w:hint="default"/>
          <w:lang w:val="en-US" w:eastAsia="zh-CN"/>
        </w:rPr>
      </w:pPr>
      <w:r>
        <w:rPr>
          <w:rFonts w:hint="eastAsia" w:ascii="仿宋_GB2312" w:hAnsi="仿宋_GB2312" w:eastAsia="仿宋_GB2312" w:cs="仿宋_GB2312"/>
          <w:b w:val="0"/>
          <w:bCs/>
          <w:sz w:val="32"/>
          <w:szCs w:val="32"/>
          <w:lang w:val="en-US" w:eastAsia="zh-CN"/>
        </w:rPr>
        <w:t>1.一般公共服务支出（类）政府办公厅（室）及相关机构事务（款）行政运行（项）：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0.27</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一般公共服务支出（类）纪检监察事务（款）派驻派出机构（项）：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3.4</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一般公共服务支出（类）组织事务（款）其他组织事务支出（项）：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2.66</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4.</w:t>
      </w:r>
      <w:r>
        <w:rPr>
          <w:rFonts w:hint="eastAsia" w:ascii="仿宋_GB2312" w:hAnsi="仿宋_GB2312" w:eastAsia="仿宋_GB2312" w:cs="仿宋_GB2312"/>
          <w:b w:val="0"/>
          <w:bCs/>
          <w:sz w:val="32"/>
          <w:szCs w:val="32"/>
          <w:lang w:val="en-US" w:eastAsia="zh-CN"/>
        </w:rPr>
        <w:t>一般公共服务支出（类）组织事务（款）其他一般公共服务支出（项）：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61.38</w:t>
      </w:r>
      <w:r>
        <w:rPr>
          <w:rFonts w:hint="eastAsia" w:ascii="仿宋_GB2312" w:hAnsi="仿宋_GB2312" w:eastAsia="仿宋_GB2312" w:cs="仿宋_GB2312"/>
          <w:b w:val="0"/>
          <w:bCs/>
          <w:sz w:val="32"/>
          <w:szCs w:val="32"/>
        </w:rPr>
        <w:t>万元，完成预算100%。</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5.</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社会保障和就业支出（类）人力资源和社会保障管理事务（款）其他人力资源和社会保障管理事务支出（项）:支出决算为</w:t>
      </w:r>
      <w:r>
        <w:rPr>
          <w:rFonts w:hint="eastAsia" w:hAnsi="仿宋_GB2312" w:cs="仿宋_GB2312"/>
          <w:b w:val="0"/>
          <w:bCs/>
          <w:sz w:val="32"/>
          <w:szCs w:val="32"/>
          <w:lang w:val="en-US" w:eastAsia="zh-CN"/>
        </w:rPr>
        <w:t>4.4</w:t>
      </w:r>
      <w:r>
        <w:rPr>
          <w:rFonts w:hint="eastAsia" w:ascii="仿宋_GB2312" w:hAnsi="仿宋_GB2312" w:eastAsia="仿宋_GB2312" w:cs="仿宋_GB2312"/>
          <w:b w:val="0"/>
          <w:bCs/>
          <w:sz w:val="32"/>
          <w:szCs w:val="32"/>
        </w:rPr>
        <w:t>万元，完成预算100%。</w:t>
      </w:r>
    </w:p>
    <w:p>
      <w:pPr>
        <w:pStyle w:val="2"/>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6.</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单位离退休（项）:支出决算为</w:t>
      </w:r>
      <w:r>
        <w:rPr>
          <w:rFonts w:hint="eastAsia" w:hAnsi="仿宋_GB2312" w:cs="仿宋_GB2312"/>
          <w:b w:val="0"/>
          <w:bCs/>
          <w:sz w:val="32"/>
          <w:szCs w:val="32"/>
          <w:lang w:val="en-US" w:eastAsia="zh-CN"/>
        </w:rPr>
        <w:t>200.85</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单位离退休（项）:支出决算为</w:t>
      </w:r>
      <w:r>
        <w:rPr>
          <w:rFonts w:hint="eastAsia" w:ascii="仿宋_GB2312" w:hAnsi="仿宋_GB2312" w:eastAsia="仿宋_GB2312" w:cs="仿宋_GB2312"/>
          <w:b w:val="0"/>
          <w:bCs/>
          <w:sz w:val="32"/>
          <w:szCs w:val="32"/>
          <w:lang w:val="en-US" w:eastAsia="zh-CN"/>
        </w:rPr>
        <w:t>2.52</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.社会保障和就业支出（类）行政事业单位养老支出（款）机关事业单位基本养老保险缴费支出（项）:支出决算为</w:t>
      </w:r>
      <w:r>
        <w:rPr>
          <w:rFonts w:hint="eastAsia" w:ascii="仿宋_GB2312" w:hAnsi="仿宋_GB2312" w:eastAsia="仿宋_GB2312" w:cs="仿宋_GB2312"/>
          <w:b w:val="0"/>
          <w:bCs/>
          <w:sz w:val="32"/>
          <w:szCs w:val="32"/>
          <w:lang w:val="en-US" w:eastAsia="zh-CN"/>
        </w:rPr>
        <w:t>126.17</w:t>
      </w:r>
      <w:r>
        <w:rPr>
          <w:rFonts w:hint="eastAsia" w:ascii="仿宋_GB2312" w:hAnsi="仿宋_GB2312" w:eastAsia="仿宋_GB2312" w:cs="仿宋_GB2312"/>
          <w:b w:val="0"/>
          <w:bCs/>
          <w:sz w:val="32"/>
          <w:szCs w:val="32"/>
        </w:rPr>
        <w:t>万元，完成预算100%。</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rPr>
        <w:t>社会保障和就业支出（类）行政事业单位养老支出（款）机关事业单位职业年金缴费支出（项）:支出决算为</w:t>
      </w:r>
      <w:r>
        <w:rPr>
          <w:rFonts w:hint="eastAsia" w:ascii="仿宋_GB2312" w:hAnsi="仿宋_GB2312" w:eastAsia="仿宋_GB2312" w:cs="仿宋_GB2312"/>
          <w:b w:val="0"/>
          <w:bCs/>
          <w:sz w:val="32"/>
          <w:szCs w:val="32"/>
          <w:lang w:val="en-US" w:eastAsia="zh-CN"/>
        </w:rPr>
        <w:t>13.82</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87.73万</w:t>
      </w:r>
      <w:r>
        <w:rPr>
          <w:rFonts w:hint="eastAsia" w:ascii="仿宋_GB2312" w:hAnsi="仿宋_GB2312" w:eastAsia="仿宋_GB2312" w:cs="仿宋_GB2312"/>
          <w:b w:val="0"/>
          <w:bCs/>
          <w:sz w:val="32"/>
          <w:szCs w:val="32"/>
        </w:rPr>
        <w:t>元，完成预算100%。</w:t>
      </w: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社会福利（款）儿童福利（项）：支出决算为0.</w:t>
      </w:r>
      <w:r>
        <w:rPr>
          <w:rFonts w:hint="eastAsia" w:hAnsi="仿宋_GB2312" w:cs="仿宋_GB2312"/>
          <w:b w:val="0"/>
          <w:bCs/>
          <w:sz w:val="32"/>
          <w:szCs w:val="32"/>
          <w:lang w:val="en-US" w:eastAsia="zh-CN"/>
        </w:rPr>
        <w:t>46</w:t>
      </w:r>
      <w:r>
        <w:rPr>
          <w:rFonts w:hint="eastAsia" w:ascii="仿宋_GB2312" w:hAnsi="仿宋_GB2312" w:eastAsia="仿宋_GB2312" w:cs="仿宋_GB2312"/>
          <w:b w:val="0"/>
          <w:bCs/>
          <w:sz w:val="32"/>
          <w:szCs w:val="32"/>
          <w:lang w:val="en-US" w:eastAsia="zh-CN"/>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56.9万</w:t>
      </w:r>
      <w:r>
        <w:rPr>
          <w:rFonts w:hint="eastAsia" w:ascii="仿宋_GB2312" w:hAnsi="仿宋_GB2312" w:eastAsia="仿宋_GB2312" w:cs="仿宋_GB2312"/>
          <w:b w:val="0"/>
          <w:bCs/>
          <w:sz w:val="32"/>
          <w:szCs w:val="32"/>
        </w:rPr>
        <w:t>元，完成预算100%。</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13.</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5.69万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7.15</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15.</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1.55</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1646.22</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17.</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农村道路建设</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20.16</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18.</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其他农业农村支出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161.01</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rPr>
        <w:t>交通运输支出（类）公路水路运输（款）行政运行（项）:支出决算为</w:t>
      </w:r>
      <w:r>
        <w:rPr>
          <w:rFonts w:hint="eastAsia" w:hAnsi="仿宋_GB2312" w:cs="仿宋_GB2312"/>
          <w:b w:val="0"/>
          <w:bCs/>
          <w:sz w:val="32"/>
          <w:szCs w:val="32"/>
          <w:lang w:val="en-US" w:eastAsia="zh-CN"/>
        </w:rPr>
        <w:t>915.3</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pStyle w:val="2"/>
        <w:ind w:firstLine="64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20.</w:t>
      </w:r>
      <w:r>
        <w:rPr>
          <w:rFonts w:hint="eastAsia" w:ascii="仿宋_GB2312" w:hAnsi="仿宋_GB2312" w:eastAsia="仿宋_GB2312" w:cs="仿宋_GB2312"/>
          <w:b w:val="0"/>
          <w:bCs/>
          <w:sz w:val="32"/>
          <w:szCs w:val="32"/>
        </w:rPr>
        <w:t>交通运输支出（类）公路水路运输（款）公路建设（项）:支出决算为</w:t>
      </w:r>
      <w:r>
        <w:rPr>
          <w:rFonts w:hint="eastAsia" w:hAnsi="仿宋_GB2312" w:cs="仿宋_GB2312"/>
          <w:b w:val="0"/>
          <w:bCs/>
          <w:sz w:val="32"/>
          <w:szCs w:val="32"/>
          <w:lang w:val="en-US" w:eastAsia="zh-CN"/>
        </w:rPr>
        <w:t>1944.48</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.交通运输支出（类）公路水路运输（款）公路养护（项）:支出决算为</w:t>
      </w:r>
      <w:r>
        <w:rPr>
          <w:rFonts w:hint="eastAsia" w:ascii="仿宋_GB2312" w:hAnsi="仿宋_GB2312" w:eastAsia="仿宋_GB2312" w:cs="仿宋_GB2312"/>
          <w:b w:val="0"/>
          <w:bCs/>
          <w:sz w:val="32"/>
          <w:szCs w:val="32"/>
          <w:lang w:val="en-US" w:eastAsia="zh-CN"/>
        </w:rPr>
        <w:t>11378.78</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交通运输支出（类）公路水路运输（款）公路运输管理（项）:支出决算为</w:t>
      </w:r>
      <w:r>
        <w:rPr>
          <w:rFonts w:hint="eastAsia" w:ascii="仿宋_GB2312" w:hAnsi="仿宋_GB2312" w:eastAsia="仿宋_GB2312" w:cs="仿宋_GB2312"/>
          <w:b w:val="0"/>
          <w:bCs/>
          <w:sz w:val="32"/>
          <w:szCs w:val="32"/>
          <w:lang w:val="en-US" w:eastAsia="zh-CN"/>
        </w:rPr>
        <w:t>45.5</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交通运输支出（类）公路水路运输（款）航道维护（项）:支出决算为</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.交通运输支出（类）公路水路运输（款）其他公路水路运输支出（项）:支出决算为</w:t>
      </w:r>
      <w:r>
        <w:rPr>
          <w:rFonts w:hint="eastAsia" w:ascii="仿宋_GB2312" w:hAnsi="仿宋_GB2312" w:eastAsia="仿宋_GB2312" w:cs="仿宋_GB2312"/>
          <w:b w:val="0"/>
          <w:bCs/>
          <w:sz w:val="32"/>
          <w:szCs w:val="32"/>
          <w:lang w:val="en-US" w:eastAsia="zh-CN"/>
        </w:rPr>
        <w:t>1202.22</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254.98</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26.</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公共交通运营补助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6592.99</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27.</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1138.29</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28.</w:t>
      </w:r>
      <w:r>
        <w:rPr>
          <w:rFonts w:hint="eastAsia" w:ascii="仿宋_GB2312" w:hAnsi="仿宋_GB2312" w:eastAsia="仿宋_GB2312" w:cs="仿宋_GB2312"/>
          <w:b w:val="0"/>
          <w:bCs/>
          <w:sz w:val="32"/>
          <w:szCs w:val="32"/>
        </w:rPr>
        <w:t>商业服务业等支出（类）</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1507.16</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29</w:t>
      </w:r>
      <w:r>
        <w:rPr>
          <w:rFonts w:hint="eastAsia" w:ascii="仿宋_GB2312" w:hAnsi="仿宋_GB2312" w:eastAsia="仿宋_GB2312" w:cs="仿宋_GB2312"/>
          <w:b w:val="0"/>
          <w:bCs/>
          <w:sz w:val="32"/>
          <w:szCs w:val="32"/>
        </w:rPr>
        <w:t>.住房保障支出（类）住房改革支出（款）住房公积金（项）:支出决算为</w:t>
      </w:r>
      <w:r>
        <w:rPr>
          <w:rFonts w:hint="eastAsia" w:ascii="仿宋_GB2312" w:hAnsi="仿宋_GB2312" w:eastAsia="仿宋_GB2312" w:cs="仿宋_GB2312"/>
          <w:b w:val="0"/>
          <w:bCs/>
          <w:sz w:val="32"/>
          <w:szCs w:val="32"/>
          <w:lang w:val="en-US" w:eastAsia="zh-CN"/>
        </w:rPr>
        <w:t>88.47</w:t>
      </w:r>
      <w:r>
        <w:rPr>
          <w:rFonts w:hint="eastAsia" w:ascii="仿宋_GB2312" w:hAnsi="仿宋_GB2312" w:eastAsia="仿宋_GB2312" w:cs="仿宋_GB2312"/>
          <w:b w:val="0"/>
          <w:bCs/>
          <w:sz w:val="32"/>
          <w:szCs w:val="32"/>
        </w:rPr>
        <w:t>万元，完成预算100%。</w:t>
      </w:r>
    </w:p>
    <w:p>
      <w:pPr>
        <w:pStyle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30</w:t>
      </w:r>
      <w:r>
        <w:rPr>
          <w:rFonts w:hint="eastAsia" w:ascii="仿宋_GB2312" w:hAnsi="仿宋_GB2312" w:eastAsia="仿宋_GB2312" w:cs="仿宋_GB2312"/>
          <w:b w:val="0"/>
          <w:bCs/>
          <w:sz w:val="32"/>
          <w:szCs w:val="32"/>
          <w:lang w:val="en-US" w:eastAsia="zh-CN"/>
        </w:rPr>
        <w:t>.灾害防治及应急管理支出（类）应急管理事务（款）行政运行（项）：支出决算</w:t>
      </w:r>
      <w:r>
        <w:rPr>
          <w:rFonts w:hint="eastAsia" w:hAnsi="仿宋_GB2312" w:cs="仿宋_GB2312"/>
          <w:b w:val="0"/>
          <w:bCs/>
          <w:sz w:val="32"/>
          <w:szCs w:val="32"/>
          <w:lang w:val="en-US" w:eastAsia="zh-CN"/>
        </w:rPr>
        <w:t>11.38</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tabs>
          <w:tab w:val="right" w:pos="8306"/>
        </w:tabs>
        <w:spacing w:line="600" w:lineRule="exact"/>
        <w:ind w:firstLine="640"/>
        <w:outlineLvl w:val="1"/>
        <w:rPr>
          <w:rStyle w:val="25"/>
        </w:rPr>
      </w:pPr>
      <w:bookmarkStart w:id="47" w:name="_Toc15377214"/>
      <w:bookmarkStart w:id="48" w:name="_Toc13753"/>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13851.81</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_GB2312" w:hAnsi="仿宋_GB2312" w:eastAsia="仿宋_GB2312" w:cs="仿宋_GB2312"/>
          <w:sz w:val="32"/>
          <w:szCs w:val="32"/>
        </w:rPr>
        <w:t>其中：</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ascii="仿宋" w:hAnsi="仿宋" w:eastAsia="仿宋"/>
          <w:b/>
          <w:sz w:val="32"/>
          <w:szCs w:val="32"/>
        </w:rPr>
        <w:t>13640.41</w:t>
      </w:r>
      <w:r>
        <w:rPr>
          <w:rFonts w:hint="eastAsia" w:ascii="仿宋_GB2312" w:hAnsi="仿宋_GB2312" w:eastAsia="仿宋_GB2312" w:cs="仿宋_GB2312"/>
          <w:sz w:val="32"/>
          <w:szCs w:val="32"/>
        </w:rPr>
        <w:t>万元，主要包括：基本工资、津贴补贴、奖金、绩效工资、机关事业单位基本养老保险缴费、其他社会保障缴费、其他工资福利支出、离休费、抚恤金、生活补助、医疗费补助、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ascii="仿宋" w:hAnsi="仿宋" w:eastAsia="仿宋"/>
          <w:b/>
          <w:sz w:val="32"/>
          <w:szCs w:val="32"/>
        </w:rPr>
        <w:t>211.4</w:t>
      </w:r>
      <w:r>
        <w:rPr>
          <w:rFonts w:hint="eastAsia" w:ascii="仿宋_GB2312" w:hAnsi="仿宋_GB2312" w:eastAsia="仿宋_GB2312" w:cs="仿宋_GB2312"/>
          <w:sz w:val="32"/>
          <w:szCs w:val="32"/>
        </w:rPr>
        <w:t>万元，主要包括：办公费、水费、电费、邮电费、差旅费、会议费、公务接待费、工会经费、福利费、公务用车运行维护费、其他交通费、其他商品和服务支出等。</w:t>
      </w:r>
    </w:p>
    <w:p>
      <w:pPr>
        <w:spacing w:line="600" w:lineRule="exact"/>
        <w:ind w:firstLine="640"/>
        <w:outlineLvl w:val="1"/>
        <w:rPr>
          <w:rStyle w:val="25"/>
          <w:rFonts w:ascii="黑体" w:hAnsi="黑体" w:eastAsia="黑体"/>
          <w:b w:val="0"/>
        </w:rPr>
      </w:pPr>
      <w:bookmarkStart w:id="50" w:name="_Toc15377215"/>
      <w:bookmarkStart w:id="51" w:name="_Toc15396609"/>
      <w:bookmarkStart w:id="52" w:name="_Toc782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hint="eastAsia" w:ascii="仿宋_GB2312" w:hAnsi="仿宋_GB2312" w:eastAsia="仿宋_GB2312" w:cs="仿宋_GB2312"/>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4.74</w:t>
      </w:r>
      <w:r>
        <w:rPr>
          <w:rFonts w:hint="eastAsia" w:ascii="仿宋" w:hAnsi="仿宋" w:eastAsia="仿宋"/>
          <w:sz w:val="32"/>
          <w:szCs w:val="32"/>
        </w:rPr>
        <w:t>万元，完成预算</w:t>
      </w:r>
      <w:r>
        <w:rPr>
          <w:rFonts w:ascii="仿宋" w:hAnsi="仿宋" w:eastAsia="仿宋"/>
          <w:b/>
          <w:sz w:val="32"/>
          <w:szCs w:val="32"/>
        </w:rPr>
        <w:t>90.45</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0.87</w:t>
      </w:r>
      <w:r>
        <w:rPr>
          <w:rFonts w:hint="eastAsia" w:ascii="仿宋" w:hAnsi="仿宋" w:eastAsia="仿宋"/>
          <w:sz w:val="32"/>
          <w:szCs w:val="32"/>
        </w:rPr>
        <w:t>万元，下降</w:t>
      </w:r>
      <w:r>
        <w:rPr>
          <w:rFonts w:hint="eastAsia" w:ascii="仿宋" w:hAnsi="仿宋" w:eastAsia="仿宋"/>
          <w:sz w:val="32"/>
          <w:szCs w:val="32"/>
          <w:lang w:val="en-US" w:eastAsia="zh-CN"/>
        </w:rPr>
        <w:t>15.51</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压缩开支</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2.92</w:t>
      </w:r>
      <w:r>
        <w:rPr>
          <w:rFonts w:hint="eastAsia" w:ascii="仿宋" w:hAnsi="仿宋" w:eastAsia="仿宋"/>
          <w:sz w:val="32"/>
          <w:szCs w:val="32"/>
        </w:rPr>
        <w:t>万元，占</w:t>
      </w:r>
      <w:r>
        <w:rPr>
          <w:rFonts w:ascii="仿宋" w:hAnsi="仿宋" w:eastAsia="仿宋"/>
          <w:b/>
          <w:sz w:val="32"/>
          <w:szCs w:val="32"/>
        </w:rPr>
        <w:t>61.53</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1.82</w:t>
      </w:r>
      <w:r>
        <w:rPr>
          <w:rFonts w:hint="eastAsia" w:ascii="仿宋" w:hAnsi="仿宋" w:eastAsia="仿宋"/>
          <w:sz w:val="32"/>
          <w:szCs w:val="32"/>
        </w:rPr>
        <w:t>万元，占</w:t>
      </w:r>
      <w:r>
        <w:rPr>
          <w:rFonts w:ascii="仿宋" w:hAnsi="仿宋" w:eastAsia="仿宋"/>
          <w:b/>
          <w:sz w:val="32"/>
          <w:szCs w:val="32"/>
        </w:rPr>
        <w:t>38.46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p>
    <w:p>
      <w:pPr>
        <w:pStyle w:val="2"/>
        <w:rPr>
          <w:rFonts w:hint="eastAsia" w:ascii="仿宋_GB2312" w:hAnsi="仿宋_GB2312" w:eastAsia="仿宋_GB2312" w:cs="仿宋_GB2312"/>
          <w:sz w:val="32"/>
          <w:szCs w:val="32"/>
        </w:rPr>
      </w:pPr>
    </w:p>
    <w:p>
      <w:pPr>
        <w:pStyle w:val="2"/>
        <w:rPr>
          <w:rFonts w:hint="eastAsia" w:ascii="仿宋" w:hAnsi="仿宋" w:eastAsia="仿宋"/>
          <w:sz w:val="32"/>
          <w:szCs w:val="32"/>
        </w:rPr>
      </w:pPr>
      <w:r>
        <w:rPr>
          <w:rFonts w:hint="eastAsia" w:ascii="仿宋_GB2312" w:hAnsi="仿宋_GB2312" w:eastAsia="仿宋_GB2312" w:cs="仿宋_GB2312"/>
          <w:sz w:val="32"/>
          <w:szCs w:val="32"/>
        </w:rPr>
        <w:drawing>
          <wp:inline distT="0" distB="0" distL="114300" distR="114300">
            <wp:extent cx="4813935" cy="3190875"/>
            <wp:effectExtent l="4445" t="4445" r="2032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仿宋_GB2312" w:eastAsia="仿宋_GB2312"/>
          <w:b/>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Cs/>
          <w:sz w:val="32"/>
          <w:szCs w:val="32"/>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p>
    <w:p>
      <w:pPr>
        <w:spacing w:line="600"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eastAsia="仿宋_GB2312"/>
          <w:b/>
          <w:sz w:val="32"/>
          <w:szCs w:val="32"/>
        </w:rPr>
        <w:t>公务用车购置及运行维护费支出</w:t>
      </w:r>
      <w:r>
        <w:rPr>
          <w:rFonts w:ascii="仿宋" w:hAnsi="仿宋" w:eastAsia="仿宋"/>
          <w:b/>
          <w:sz w:val="32"/>
          <w:szCs w:val="32"/>
        </w:rPr>
        <w:t>2.92</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Cs/>
          <w:sz w:val="32"/>
          <w:szCs w:val="32"/>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0.11</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3.63</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b w:val="0"/>
          <w:bCs/>
          <w:sz w:val="32"/>
          <w:szCs w:val="32"/>
        </w:rPr>
        <w:t>主要原因是</w:t>
      </w:r>
      <w:r>
        <w:rPr>
          <w:rFonts w:hint="eastAsia" w:ascii="仿宋_GB2312" w:hAnsi="仿宋_GB2312" w:eastAsia="仿宋_GB2312" w:cs="仿宋_GB2312"/>
          <w:b w:val="0"/>
          <w:bCs/>
          <w:sz w:val="32"/>
          <w:szCs w:val="32"/>
          <w:lang w:eastAsia="zh-CN"/>
        </w:rPr>
        <w:t>压缩三公经费</w:t>
      </w:r>
      <w:r>
        <w:rPr>
          <w:rFonts w:hint="eastAsia" w:ascii="仿宋_GB2312" w:hAnsi="仿宋_GB2312" w:eastAsia="仿宋_GB2312" w:cs="仿宋_GB2312"/>
          <w:b w:val="0"/>
          <w:bCs/>
          <w:sz w:val="32"/>
          <w:szCs w:val="32"/>
        </w:rPr>
        <w:t>。</w:t>
      </w:r>
    </w:p>
    <w:p>
      <w:p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ind w:firstLine="642" w:firstLineChars="200"/>
        <w:rPr>
          <w:rFonts w:hint="eastAsia" w:ascii="仿宋_GB2312" w:hAnsi="仿宋_GB2312" w:eastAsia="仿宋_GB2312" w:cs="仿宋_GB2312"/>
          <w:b w:val="0"/>
          <w:bCs/>
          <w:sz w:val="32"/>
          <w:szCs w:val="32"/>
        </w:rPr>
      </w:pPr>
      <w:r>
        <w:rPr>
          <w:rFonts w:hint="eastAsia" w:ascii="仿宋_GB2312" w:eastAsia="仿宋_GB2312"/>
          <w:b/>
          <w:sz w:val="32"/>
          <w:szCs w:val="32"/>
        </w:rPr>
        <w:t>公务用车运行维护费支出</w:t>
      </w:r>
      <w:r>
        <w:rPr>
          <w:rFonts w:ascii="仿宋" w:hAnsi="仿宋" w:eastAsia="仿宋"/>
          <w:b/>
          <w:sz w:val="32"/>
          <w:szCs w:val="32"/>
        </w:rPr>
        <w:t>2.92</w:t>
      </w:r>
      <w:r>
        <w:rPr>
          <w:rFonts w:hint="eastAsia" w:ascii="仿宋_GB2312" w:eastAsia="仿宋_GB2312"/>
          <w:sz w:val="32"/>
          <w:szCs w:val="32"/>
        </w:rPr>
        <w:t>万元</w:t>
      </w:r>
      <w:r>
        <w:rPr>
          <w:rFonts w:hint="eastAsia" w:ascii="仿宋_GB2312" w:hAnsi="仿宋_GB2312" w:eastAsia="仿宋_GB2312" w:cs="仿宋_GB2312"/>
          <w:b w:val="0"/>
          <w:bCs/>
          <w:sz w:val="32"/>
          <w:szCs w:val="32"/>
        </w:rPr>
        <w:t>。主要用于公路建设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安全环保检查、</w:t>
      </w:r>
      <w:r>
        <w:rPr>
          <w:rFonts w:hint="eastAsia" w:ascii="仿宋_GB2312" w:hAnsi="仿宋_GB2312" w:eastAsia="仿宋_GB2312" w:cs="仿宋_GB2312"/>
          <w:b w:val="0"/>
          <w:bCs/>
          <w:sz w:val="32"/>
          <w:szCs w:val="32"/>
        </w:rPr>
        <w:t>养护检查等所需的公务用车燃料费、维修费、过路过桥费、保险费等支出。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hAnsi="仿宋_GB2312" w:eastAsia="仿宋_GB2312" w:cs="仿宋_GB2312"/>
          <w:b w:val="0"/>
          <w:bCs/>
          <w:sz w:val="32"/>
          <w:szCs w:val="32"/>
        </w:rPr>
        <w:t>3.</w:t>
      </w:r>
      <w:r>
        <w:rPr>
          <w:rFonts w:hint="eastAsia" w:ascii="仿宋_GB2312" w:eastAsia="仿宋_GB2312"/>
          <w:b/>
          <w:sz w:val="32"/>
          <w:szCs w:val="32"/>
        </w:rPr>
        <w:t>公务接待费支出</w:t>
      </w:r>
      <w:r>
        <w:rPr>
          <w:rFonts w:ascii="仿宋" w:hAnsi="仿宋" w:eastAsia="仿宋"/>
          <w:b/>
          <w:sz w:val="32"/>
          <w:szCs w:val="32"/>
        </w:rPr>
        <w:t>1.82</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78.46%</w:t>
      </w:r>
      <w:r>
        <w:rPr>
          <w:rStyle w:val="14"/>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0.76</w:t>
      </w:r>
      <w:r>
        <w:rPr>
          <w:rFonts w:hint="eastAsia" w:ascii="仿宋_GB2312" w:eastAsia="仿宋_GB2312"/>
          <w:sz w:val="32"/>
          <w:szCs w:val="32"/>
        </w:rPr>
        <w:t>万元，下降</w:t>
      </w:r>
      <w:r>
        <w:rPr>
          <w:rFonts w:hint="eastAsia" w:ascii="仿宋_GB2312" w:eastAsia="仿宋_GB2312"/>
          <w:sz w:val="32"/>
          <w:szCs w:val="32"/>
          <w:lang w:val="en-US" w:eastAsia="zh-CN"/>
        </w:rPr>
        <w:t>29.46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压缩三公经费</w:t>
      </w:r>
      <w:r>
        <w:rPr>
          <w:rFonts w:hint="eastAsia" w:ascii="仿宋_GB2312" w:eastAsia="仿宋_GB2312"/>
          <w:sz w:val="32"/>
          <w:szCs w:val="32"/>
        </w:rPr>
        <w:t>。其中：</w:t>
      </w:r>
    </w:p>
    <w:p>
      <w:pPr>
        <w:spacing w:line="600" w:lineRule="exact"/>
        <w:ind w:firstLine="640"/>
        <w:rPr>
          <w:rFonts w:hint="eastAsia" w:ascii="仿宋_GB2312" w:hAnsi="仿宋_GB2312" w:eastAsia="仿宋_GB2312" w:cs="仿宋_GB2312"/>
          <w:b w:val="0"/>
          <w:bCs/>
          <w:sz w:val="32"/>
          <w:szCs w:val="32"/>
          <w:highlight w:val="yellow"/>
          <w:lang w:val="en-US" w:eastAsia="zh-CN"/>
        </w:rPr>
      </w:pPr>
      <w:r>
        <w:rPr>
          <w:rFonts w:hint="eastAsia" w:ascii="仿宋" w:hAnsi="仿宋" w:eastAsia="仿宋"/>
          <w:b/>
          <w:sz w:val="32"/>
          <w:szCs w:val="32"/>
        </w:rPr>
        <w:t>国内公务接待支出</w:t>
      </w:r>
      <w:r>
        <w:rPr>
          <w:rFonts w:ascii="仿宋" w:hAnsi="仿宋" w:eastAsia="仿宋"/>
          <w:b/>
          <w:sz w:val="32"/>
          <w:szCs w:val="32"/>
        </w:rPr>
        <w:t>1.82</w:t>
      </w:r>
      <w:r>
        <w:rPr>
          <w:rFonts w:hint="eastAsia" w:ascii="仿宋_GB2312" w:eastAsia="仿宋_GB2312"/>
          <w:sz w:val="32"/>
          <w:szCs w:val="32"/>
        </w:rPr>
        <w:t>万元</w:t>
      </w:r>
      <w:r>
        <w:rPr>
          <w:rFonts w:hint="eastAsia" w:ascii="仿宋_GB2312" w:hAnsi="仿宋_GB2312" w:eastAsia="仿宋_GB2312" w:cs="仿宋_GB2312"/>
          <w:b w:val="0"/>
          <w:bCs/>
          <w:sz w:val="32"/>
          <w:szCs w:val="32"/>
        </w:rPr>
        <w:t>，主要用于</w:t>
      </w:r>
      <w:r>
        <w:rPr>
          <w:rFonts w:hint="eastAsia" w:ascii="仿宋_GB2312" w:eastAsia="仿宋_GB2312"/>
          <w:sz w:val="32"/>
          <w:szCs w:val="32"/>
        </w:rPr>
        <w:t>主要用于执行公务、开展业务活动开支的用餐费。国内公务接待</w:t>
      </w:r>
      <w:r>
        <w:rPr>
          <w:rFonts w:hint="eastAsia" w:ascii="仿宋_GB2312" w:eastAsia="仿宋_GB2312"/>
          <w:sz w:val="32"/>
          <w:szCs w:val="32"/>
          <w:lang w:val="en-US" w:eastAsia="zh-CN"/>
        </w:rPr>
        <w:t>9</w:t>
      </w:r>
      <w:r>
        <w:rPr>
          <w:rFonts w:hint="eastAsia" w:ascii="仿宋_GB2312" w:eastAsia="仿宋_GB2312"/>
          <w:sz w:val="32"/>
          <w:szCs w:val="32"/>
        </w:rPr>
        <w:t>批次，</w:t>
      </w:r>
      <w:r>
        <w:rPr>
          <w:rFonts w:hint="eastAsia" w:ascii="仿宋_GB2312" w:eastAsia="仿宋_GB2312"/>
          <w:sz w:val="32"/>
          <w:szCs w:val="32"/>
          <w:lang w:val="en-US" w:eastAsia="zh-CN"/>
        </w:rPr>
        <w:t>123</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1.82</w:t>
      </w:r>
      <w:r>
        <w:rPr>
          <w:rFonts w:hint="eastAsia" w:ascii="仿宋_GB2312" w:eastAsia="仿宋_GB2312"/>
          <w:sz w:val="32"/>
          <w:szCs w:val="32"/>
        </w:rPr>
        <w:t>万元，具体内容包括：</w:t>
      </w:r>
      <w:r>
        <w:rPr>
          <w:rFonts w:hint="eastAsia" w:ascii="仿宋_GB2312" w:hAnsi="仿宋_GB2312" w:eastAsia="仿宋_GB2312" w:cs="仿宋_GB2312"/>
          <w:b w:val="0"/>
          <w:bCs/>
          <w:sz w:val="32"/>
          <w:szCs w:val="32"/>
          <w:lang w:eastAsia="zh-CN"/>
        </w:rPr>
        <w:t>接待省厅交通运输领域“双碳”试点调研</w:t>
      </w:r>
      <w:r>
        <w:rPr>
          <w:rFonts w:hint="eastAsia" w:ascii="仿宋_GB2312" w:hAnsi="仿宋_GB2312" w:eastAsia="仿宋_GB2312" w:cs="仿宋_GB2312"/>
          <w:b w:val="0"/>
          <w:bCs/>
          <w:sz w:val="32"/>
          <w:szCs w:val="32"/>
          <w:lang w:val="en-US" w:eastAsia="zh-CN"/>
        </w:rPr>
        <w:t>0.32万元，接待省机场集团来盘调研0.27万元，接待省厅公路局G227雅新大桥监测评定0.4万元，接待中国铁建西南区总部0.2万元，接待省厅岁末年初重大安全隐患整治督导0.18万元，接待开展防范统计造价和应统尽统专项行动省级检查组0.18万元，接待省厅共同富裕试验区调研组0.16万元，</w:t>
      </w:r>
      <w:r>
        <w:rPr>
          <w:rFonts w:hint="eastAsia" w:ascii="仿宋_GB2312" w:hAnsi="仿宋_GB2312" w:eastAsia="仿宋_GB2312" w:cs="仿宋_GB2312"/>
          <w:b w:val="0"/>
          <w:bCs/>
          <w:sz w:val="32"/>
          <w:szCs w:val="32"/>
          <w:highlight w:val="none"/>
          <w:lang w:val="en-US" w:eastAsia="zh-CN"/>
        </w:rPr>
        <w:t>接待省厅公路局全省普通公路超限检测站点规划及运行管理调研0.11万元。</w:t>
      </w:r>
    </w:p>
    <w:p>
      <w:pPr>
        <w:spacing w:line="600" w:lineRule="exact"/>
        <w:ind w:firstLine="642" w:firstLineChars="200"/>
        <w:rPr>
          <w:rFonts w:hint="eastAsia" w:ascii="仿宋_GB2312" w:hAnsi="仿宋_GB2312" w:eastAsia="仿宋_GB2312" w:cs="仿宋_GB2312"/>
          <w:b w:val="0"/>
          <w:bCs/>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hAnsi="仿宋_GB2312" w:eastAsia="仿宋_GB2312" w:cs="仿宋_GB2312"/>
          <w:b w:val="0"/>
          <w:bCs/>
          <w:sz w:val="32"/>
          <w:szCs w:val="32"/>
          <w:lang w:eastAsia="zh-CN"/>
        </w:rPr>
        <w:t>。</w:t>
      </w:r>
      <w:bookmarkStart w:id="55" w:name="_Toc15377218"/>
      <w:bookmarkStart w:id="56" w:name="_Toc15396610"/>
    </w:p>
    <w:p>
      <w:pPr>
        <w:spacing w:line="600" w:lineRule="exact"/>
        <w:ind w:firstLine="640"/>
        <w:outlineLvl w:val="1"/>
        <w:rPr>
          <w:rStyle w:val="25"/>
          <w:rFonts w:ascii="黑体" w:hAnsi="黑体" w:eastAsia="黑体"/>
        </w:rPr>
      </w:pPr>
      <w:bookmarkStart w:id="57" w:name="_Toc21026"/>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sz w:val="32"/>
          <w:szCs w:val="32"/>
        </w:rPr>
      </w:pPr>
      <w:bookmarkStart w:id="58" w:name="_Toc15377219"/>
      <w:bookmarkStart w:id="59" w:name="_Toc15396611"/>
      <w:r>
        <w:rPr>
          <w:rFonts w:hint="eastAsia" w:ascii="仿宋_GB2312" w:eastAsia="仿宋_GB2312"/>
          <w:sz w:val="32"/>
          <w:szCs w:val="32"/>
        </w:rPr>
        <w:t>2023年度政府性基金预算财政拨款支出</w:t>
      </w:r>
      <w:r>
        <w:rPr>
          <w:rFonts w:ascii="仿宋" w:hAnsi="仿宋" w:eastAsia="仿宋"/>
          <w:b/>
          <w:sz w:val="32"/>
          <w:szCs w:val="32"/>
        </w:rPr>
        <w:t>18.95</w:t>
      </w:r>
      <w:r>
        <w:rPr>
          <w:rFonts w:hint="eastAsia" w:ascii="仿宋_GB2312" w:eastAsia="仿宋_GB2312"/>
          <w:sz w:val="32"/>
          <w:szCs w:val="32"/>
        </w:rPr>
        <w:t>万元。</w:t>
      </w:r>
    </w:p>
    <w:p>
      <w:pPr>
        <w:numPr>
          <w:ilvl w:val="0"/>
          <w:numId w:val="3"/>
        </w:numPr>
        <w:spacing w:line="600" w:lineRule="exact"/>
        <w:ind w:firstLine="640"/>
        <w:outlineLvl w:val="1"/>
        <w:rPr>
          <w:rStyle w:val="25"/>
          <w:rFonts w:ascii="黑体" w:hAnsi="黑体" w:eastAsia="黑体"/>
          <w:b w:val="0"/>
        </w:rPr>
      </w:pPr>
      <w:bookmarkStart w:id="60" w:name="_Toc7881"/>
      <w:r>
        <w:rPr>
          <w:rStyle w:val="25"/>
          <w:rFonts w:hint="eastAsia" w:ascii="黑体" w:hAnsi="黑体" w:eastAsia="黑体"/>
          <w:b w:val="0"/>
        </w:rPr>
        <w:t>国有资本经营预算支出决算情况说明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5"/>
          <w:rFonts w:ascii="黑体" w:hAnsi="黑体" w:eastAsia="黑体"/>
          <w:b w:val="0"/>
        </w:rPr>
      </w:pPr>
      <w:bookmarkStart w:id="61" w:name="_Toc15377221"/>
      <w:bookmarkStart w:id="62" w:name="_Toc15396612"/>
      <w:bookmarkStart w:id="63" w:name="_Toc11739"/>
      <w:r>
        <w:rPr>
          <w:rStyle w:val="25"/>
          <w:rFonts w:hint="eastAsia" w:ascii="黑体" w:hAnsi="黑体" w:eastAsia="黑体"/>
          <w:b w:val="0"/>
        </w:rPr>
        <w:t>其他重要事项的情况说明</w:t>
      </w:r>
      <w:bookmarkEnd w:id="61"/>
      <w:bookmarkEnd w:id="62"/>
      <w:bookmarkEnd w:id="63"/>
    </w:p>
    <w:p>
      <w:pPr>
        <w:spacing w:line="600" w:lineRule="exact"/>
        <w:ind w:firstLine="642"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_GB2312" w:eastAsia="仿宋_GB2312"/>
          <w:sz w:val="32"/>
          <w:szCs w:val="32"/>
        </w:rPr>
      </w:pPr>
      <w:bookmarkStart w:id="65" w:name="_Toc15377223"/>
      <w:r>
        <w:rPr>
          <w:rFonts w:hint="eastAsia" w:ascii="仿宋_GB2312" w:eastAsia="仿宋_GB2312"/>
          <w:sz w:val="32"/>
          <w:szCs w:val="32"/>
        </w:rPr>
        <w:t>2023年度，</w:t>
      </w:r>
      <w:r>
        <w:rPr>
          <w:rFonts w:ascii="仿宋_GB2312" w:eastAsia="仿宋_GB2312"/>
          <w:b/>
          <w:sz w:val="32"/>
          <w:szCs w:val="32"/>
        </w:rPr>
        <w:t>四川省攀枝花市交通运输局（本级）</w:t>
      </w:r>
      <w:r>
        <w:rPr>
          <w:rFonts w:hint="eastAsia" w:ascii="仿宋_GB2312" w:eastAsia="仿宋_GB2312"/>
          <w:sz w:val="32"/>
          <w:szCs w:val="32"/>
        </w:rPr>
        <w:t>机关运行经费支出</w:t>
      </w:r>
      <w:r>
        <w:rPr>
          <w:rFonts w:ascii="仿宋" w:hAnsi="仿宋" w:eastAsia="仿宋"/>
          <w:b/>
          <w:sz w:val="32"/>
          <w:szCs w:val="32"/>
        </w:rPr>
        <w:t>211.4</w:t>
      </w:r>
      <w:r>
        <w:rPr>
          <w:rFonts w:hint="eastAsia" w:ascii="仿宋_GB2312" w:eastAsia="仿宋_GB2312"/>
          <w:sz w:val="32"/>
          <w:szCs w:val="32"/>
        </w:rPr>
        <w:t>万元，比2022年度增加</w:t>
      </w:r>
      <w:r>
        <w:rPr>
          <w:rFonts w:hint="eastAsia" w:ascii="仿宋_GB2312" w:eastAsia="仿宋_GB2312"/>
          <w:sz w:val="32"/>
          <w:szCs w:val="32"/>
          <w:lang w:val="en-US" w:eastAsia="zh-CN"/>
        </w:rPr>
        <w:t>56.71</w:t>
      </w:r>
      <w:r>
        <w:rPr>
          <w:rFonts w:hint="eastAsia" w:ascii="仿宋_GB2312" w:eastAsia="仿宋_GB2312"/>
          <w:sz w:val="32"/>
          <w:szCs w:val="32"/>
        </w:rPr>
        <w:t>万元，增长</w:t>
      </w:r>
      <w:r>
        <w:rPr>
          <w:rFonts w:hint="eastAsia" w:ascii="仿宋_GB2312" w:eastAsia="仿宋_GB2312"/>
          <w:sz w:val="32"/>
          <w:szCs w:val="32"/>
          <w:lang w:val="en-US" w:eastAsia="zh-CN"/>
        </w:rPr>
        <w:t>36.67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车贴、向上争取资金工作经费等增加</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65"/>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四川省攀枝花市交通运输局（本级）</w:t>
      </w:r>
      <w:r>
        <w:rPr>
          <w:rFonts w:hint="eastAsia" w:ascii="仿宋_GB2312" w:eastAsia="仿宋_GB2312"/>
          <w:sz w:val="32"/>
          <w:szCs w:val="32"/>
        </w:rPr>
        <w:t>政府采购支出总额</w:t>
      </w:r>
      <w:r>
        <w:rPr>
          <w:rFonts w:ascii="仿宋" w:hAnsi="仿宋" w:eastAsia="仿宋"/>
          <w:b/>
          <w:sz w:val="32"/>
          <w:szCs w:val="32"/>
        </w:rPr>
        <w:t>51.69</w:t>
      </w:r>
      <w:r>
        <w:rPr>
          <w:rFonts w:hint="eastAsia" w:ascii="仿宋_GB2312" w:eastAsia="仿宋_GB2312"/>
          <w:sz w:val="32"/>
          <w:szCs w:val="32"/>
        </w:rPr>
        <w:t>万元，其中：政府采购货物支出</w:t>
      </w:r>
      <w:r>
        <w:rPr>
          <w:rFonts w:ascii="仿宋" w:hAnsi="仿宋" w:eastAsia="仿宋"/>
          <w:b/>
          <w:sz w:val="32"/>
          <w:szCs w:val="32"/>
        </w:rPr>
        <w:t>1.39</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50.3</w:t>
      </w:r>
      <w:r>
        <w:rPr>
          <w:rFonts w:hint="eastAsia" w:ascii="仿宋_GB2312" w:eastAsia="仿宋_GB2312"/>
          <w:sz w:val="32"/>
          <w:szCs w:val="32"/>
        </w:rPr>
        <w:t>万元。主要用于</w:t>
      </w:r>
      <w:r>
        <w:rPr>
          <w:rFonts w:hint="eastAsia" w:ascii="仿宋" w:hAnsi="仿宋" w:eastAsia="仿宋" w:cs="仿宋"/>
          <w:sz w:val="32"/>
          <w:szCs w:val="32"/>
        </w:rPr>
        <w:t>交通运输通信网络租用服务采购</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四川省攀枝花市交通运输局（本级）</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hAnsi="仿宋_GB2312" w:eastAsia="仿宋_GB2312" w:cs="仿宋_GB2312"/>
          <w:b w:val="0"/>
          <w:bCs/>
          <w:sz w:val="32"/>
          <w:szCs w:val="32"/>
        </w:rPr>
        <w:t>公路建设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安全环保检查、</w:t>
      </w:r>
      <w:r>
        <w:rPr>
          <w:rFonts w:hint="eastAsia" w:ascii="仿宋_GB2312" w:hAnsi="仿宋_GB2312" w:eastAsia="仿宋_GB2312" w:cs="仿宋_GB2312"/>
          <w:b w:val="0"/>
          <w:bCs/>
          <w:sz w:val="32"/>
          <w:szCs w:val="32"/>
        </w:rPr>
        <w:t>养护检查等公务</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w:t>
      </w:r>
      <w:r>
        <w:rPr>
          <w:rFonts w:hint="eastAsia" w:hAnsi="仿宋_GB2312" w:cs="仿宋_GB2312"/>
          <w:sz w:val="32"/>
          <w:szCs w:val="32"/>
          <w:lang w:val="en-US" w:eastAsia="zh-CN"/>
        </w:rPr>
        <w:t>3</w:t>
      </w:r>
      <w:r>
        <w:rPr>
          <w:rFonts w:hint="eastAsia" w:hAnsi="仿宋_GB2312" w:cs="仿宋_GB2312"/>
          <w:sz w:val="32"/>
          <w:szCs w:val="32"/>
        </w:rPr>
        <w:t>年度预算编制阶段，组织对</w:t>
      </w:r>
      <w:r>
        <w:rPr>
          <w:rFonts w:hint="eastAsia" w:hAnsi="仿宋_GB2312" w:cs="仿宋_GB2312"/>
          <w:sz w:val="32"/>
          <w:szCs w:val="32"/>
          <w:lang w:eastAsia="zh-CN"/>
        </w:rPr>
        <w:t>国省干线公路国土空间控制规划等</w:t>
      </w:r>
      <w:r>
        <w:rPr>
          <w:rFonts w:hint="eastAsia" w:hAnsi="仿宋_GB2312" w:cs="仿宋_GB2312"/>
          <w:sz w:val="32"/>
          <w:szCs w:val="32"/>
          <w:lang w:val="en-US" w:eastAsia="zh-CN"/>
        </w:rPr>
        <w:t>33</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33</w:t>
      </w:r>
      <w:r>
        <w:rPr>
          <w:rFonts w:hint="eastAsia" w:hAnsi="仿宋_GB2312" w:cs="仿宋_GB2312"/>
          <w:sz w:val="32"/>
          <w:szCs w:val="32"/>
        </w:rPr>
        <w:t>个项目编制了绩效目标，预算执行过程中，组织对</w:t>
      </w:r>
      <w:r>
        <w:rPr>
          <w:rFonts w:hint="eastAsia" w:hAnsi="仿宋_GB2312" w:cs="仿宋_GB2312"/>
          <w:sz w:val="32"/>
          <w:szCs w:val="32"/>
          <w:lang w:val="en-US" w:eastAsia="zh-CN"/>
        </w:rPr>
        <w:t>33</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67" w:name="_Toc15396613"/>
      <w:bookmarkStart w:id="68" w:name="_Toc24770"/>
      <w:bookmarkStart w:id="69" w:name="_Toc15377225"/>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2"/>
        <w:spacing w:line="560" w:lineRule="exact"/>
        <w:ind w:firstLine="640" w:firstLineChars="200"/>
        <w:rPr>
          <w:rFonts w:hint="eastAsia" w:ascii="仿宋_GB2312" w:hAnsi="仿宋_GB2312" w:eastAsia="仿宋_GB2312" w:cs="仿宋_GB2312"/>
          <w:sz w:val="32"/>
          <w:szCs w:val="32"/>
        </w:rPr>
      </w:pPr>
      <w:bookmarkStart w:id="70" w:name="_Toc15377226"/>
      <w:r>
        <w:rPr>
          <w:rFonts w:hint="eastAsia" w:ascii="仿宋_GB2312" w:hAnsi="仿宋_GB2312" w:eastAsia="仿宋_GB2312" w:cs="仿宋_GB2312"/>
          <w:sz w:val="32"/>
          <w:szCs w:val="32"/>
        </w:rPr>
        <w:t>1.财政拨款收入：指单位从同级财政部门取得的财政预算资金。</w:t>
      </w:r>
    </w:p>
    <w:p>
      <w:pPr>
        <w:pStyle w:val="2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2.其他收入：指单位取得的除上述收入以外的各项收入。主要是非同级财政拨款收入等。</w:t>
      </w:r>
    </w:p>
    <w:p>
      <w:pPr>
        <w:pStyle w:val="2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3.使用非财政拨款结余：指事业单位使用以前年度积累的非财政拨款结余弥补当年收支差额的金额。 </w:t>
      </w:r>
    </w:p>
    <w:p>
      <w:pPr>
        <w:pStyle w:val="2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4.年初结转和结余：指以前年度尚未完成、结转到本年按有关规定继续使用的资金。 </w:t>
      </w:r>
    </w:p>
    <w:p>
      <w:pPr>
        <w:pStyle w:val="2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5.年末结转和结余：指单位按有关规定结转到下年或以后年度继续使用的资金。</w:t>
      </w:r>
    </w:p>
    <w:p>
      <w:pPr>
        <w:numPr>
          <w:ilvl w:val="0"/>
          <w:numId w:val="0"/>
        </w:num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6.一般公共服务支出（类）政府办公厅（室）及相关机构事务（款）行政运行（项）：指</w:t>
      </w:r>
      <w:r>
        <w:rPr>
          <w:rFonts w:hint="eastAsia" w:ascii="仿宋_GB2312" w:hAnsi="仿宋_GB2312" w:eastAsia="仿宋_GB2312" w:cs="仿宋_GB2312"/>
          <w:b w:val="0"/>
          <w:bCs/>
          <w:sz w:val="32"/>
          <w:szCs w:val="32"/>
          <w:lang w:eastAsia="zh-CN"/>
        </w:rPr>
        <w:t>行政单位（包括实行公务员管理的事业单位）的基本支出。</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7.</w:t>
      </w:r>
      <w:r>
        <w:rPr>
          <w:rFonts w:hint="eastAsia" w:ascii="仿宋_GB2312" w:hAnsi="仿宋_GB2312" w:eastAsia="仿宋_GB2312" w:cs="仿宋_GB2312"/>
          <w:b w:val="0"/>
          <w:bCs/>
          <w:sz w:val="32"/>
          <w:szCs w:val="32"/>
          <w:lang w:val="en-US" w:eastAsia="zh-CN"/>
        </w:rPr>
        <w:t>一般公共服务支出（类）纪检监察事务（款）派驻派出机构（项）：指由纪检监察部门负担的派驻各部门和单位的纪检监察人员的专项业务支出。</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一般公共服务支出（类）组织事务（款）其他组织事务支出（项）：</w:t>
      </w:r>
      <w:r>
        <w:rPr>
          <w:rFonts w:hint="eastAsia" w:ascii="仿宋_GB2312" w:hAnsi="仿宋_GB2312" w:eastAsia="仿宋_GB2312" w:cs="仿宋_GB2312"/>
          <w:b w:val="0"/>
          <w:bCs/>
          <w:sz w:val="32"/>
          <w:szCs w:val="32"/>
          <w:lang w:eastAsia="zh-CN"/>
        </w:rPr>
        <w:t>指其他用于中国共产党组织部门的事务支出</w:t>
      </w:r>
      <w:r>
        <w:rPr>
          <w:rFonts w:hint="eastAsia" w:ascii="仿宋_GB2312" w:hAnsi="仿宋_GB2312" w:eastAsia="仿宋_GB2312" w:cs="仿宋_GB2312"/>
          <w:b w:val="0"/>
          <w:bCs/>
          <w:sz w:val="32"/>
          <w:szCs w:val="32"/>
        </w:rPr>
        <w:t>。</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lang w:val="en-US" w:eastAsia="zh-CN"/>
        </w:rPr>
        <w:t>一般公共服务支出（类）组织事务（款）其他一般公共服务支出（项）：</w:t>
      </w:r>
      <w:r>
        <w:rPr>
          <w:rFonts w:hint="eastAsia" w:ascii="仿宋_GB2312" w:hAnsi="仿宋_GB2312" w:eastAsia="仿宋_GB2312" w:cs="仿宋_GB2312"/>
          <w:b w:val="0"/>
          <w:bCs/>
          <w:sz w:val="32"/>
          <w:szCs w:val="32"/>
          <w:lang w:eastAsia="zh-CN"/>
        </w:rPr>
        <w:t>指其他一般公共服务支出</w:t>
      </w:r>
      <w:r>
        <w:rPr>
          <w:rFonts w:hint="eastAsia" w:ascii="仿宋_GB2312" w:hAnsi="仿宋_GB2312" w:eastAsia="仿宋_GB2312" w:cs="仿宋_GB2312"/>
          <w:b w:val="0"/>
          <w:bCs/>
          <w:sz w:val="32"/>
          <w:szCs w:val="32"/>
        </w:rPr>
        <w:t>。</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10.</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w:t>
      </w:r>
      <w:r>
        <w:rPr>
          <w:rFonts w:hint="eastAsia" w:hAnsi="仿宋_GB2312" w:cs="仿宋_GB2312"/>
          <w:b w:val="0"/>
          <w:bCs/>
          <w:sz w:val="32"/>
          <w:szCs w:val="32"/>
          <w:lang w:eastAsia="zh-CN"/>
        </w:rPr>
        <w:t>其他用于人力资源和社会保障事务方面的支出</w:t>
      </w:r>
      <w:r>
        <w:rPr>
          <w:rFonts w:hint="eastAsia" w:ascii="仿宋_GB2312" w:hAnsi="仿宋_GB2312" w:eastAsia="仿宋_GB2312" w:cs="仿宋_GB2312"/>
          <w:b w:val="0"/>
          <w:bCs/>
          <w:sz w:val="32"/>
          <w:szCs w:val="32"/>
        </w:rPr>
        <w:t>。</w:t>
      </w:r>
    </w:p>
    <w:p>
      <w:pPr>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指行政单位（包括实行公务员法管理的事业单位）开支的离退休经费。</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指事业单位开支的离退休经费。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z w:val="32"/>
          <w:szCs w:val="32"/>
          <w:lang w:val="en-US" w:eastAsia="zh-CN"/>
        </w:rPr>
        <w:t>机关事业单位实施养老保险制度由单位缴纳的基本养老保险费支出</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rPr>
        <w:t>社会保障和就业支出（类）行政事业单位养老支出（款）机关事业单位职业年金缴费支出（项）:</w:t>
      </w:r>
      <w:r>
        <w:rPr>
          <w:rFonts w:hint="eastAsia" w:ascii="仿宋_GB2312" w:hAnsi="仿宋_GB2312" w:eastAsia="仿宋_GB2312" w:cs="仿宋_GB2312"/>
          <w:b w:val="0"/>
          <w:bCs/>
          <w:sz w:val="32"/>
          <w:szCs w:val="32"/>
          <w:lang w:eastAsia="zh-CN"/>
        </w:rPr>
        <w:t>指机关事业单位实施养老保险制度由单位实际缴纳的职业年金支出（含职业年金补记支出）。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指按规定用于烈士和牺牲、病故人员家属的一次性和定期抚恤金、丧葬补助费以及烈士褒扬金。</w:t>
      </w:r>
    </w:p>
    <w:p>
      <w:p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w:t>
      </w:r>
      <w:r>
        <w:rPr>
          <w:rFonts w:hint="eastAsia" w:ascii="仿宋_GB2312" w:hAnsi="仿宋_GB2312" w:eastAsia="仿宋_GB2312" w:cs="仿宋_GB2312"/>
          <w:color w:val="000000"/>
          <w:sz w:val="32"/>
          <w:szCs w:val="32"/>
        </w:rPr>
        <w:t>指对儿童提供福利服务方面的支出。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指财政部门安排的行政单位（包括实行公务员管理的事业单位）基本医疗保险缴费经费、为参加医疗保险的行政单位的公费医疗经费，按国家规定享受离休人员、红军老战士待遇人员的医疗经费。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18.</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指财政部门安排的公务员医疗补助经费。</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指其他用于行政事业单位医疗方面的支出。</w:t>
      </w:r>
    </w:p>
    <w:p>
      <w:pPr>
        <w:pStyle w:val="2"/>
        <w:ind w:firstLine="64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20.</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指其他用于卫生健康方面的支出。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21.</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指用于农村社会事业发展的支出。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农村道路建设</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指用于乡村内街巷和农田间机耕道建设方面的支出。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23.</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其他农业农村支出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指其他用于农业农村方面的支出。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24.</w:t>
      </w:r>
      <w:r>
        <w:rPr>
          <w:rFonts w:hint="eastAsia" w:ascii="仿宋_GB2312" w:hAnsi="仿宋_GB2312" w:eastAsia="仿宋_GB2312" w:cs="仿宋_GB2312"/>
          <w:b w:val="0"/>
          <w:bCs/>
          <w:sz w:val="32"/>
          <w:szCs w:val="32"/>
        </w:rPr>
        <w:t>交通运输支出（类）公路水路运输（款）行政运行（项）:</w:t>
      </w:r>
      <w:r>
        <w:rPr>
          <w:rFonts w:hint="eastAsia" w:ascii="仿宋_GB2312" w:hAnsi="仿宋_GB2312" w:eastAsia="仿宋_GB2312" w:cs="仿宋_GB2312"/>
          <w:color w:val="000000"/>
          <w:sz w:val="32"/>
          <w:szCs w:val="32"/>
        </w:rPr>
        <w:t>指交通运输方面的行政单位（包括实行公务员法管理的事业单位）的基本支出。</w:t>
      </w:r>
    </w:p>
    <w:p>
      <w:pPr>
        <w:pStyle w:val="2"/>
        <w:ind w:firstLine="64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25.</w:t>
      </w:r>
      <w:r>
        <w:rPr>
          <w:rFonts w:hint="eastAsia" w:ascii="仿宋_GB2312" w:hAnsi="仿宋_GB2312" w:eastAsia="仿宋_GB2312" w:cs="仿宋_GB2312"/>
          <w:b w:val="0"/>
          <w:bCs/>
          <w:sz w:val="32"/>
          <w:szCs w:val="32"/>
        </w:rPr>
        <w:t>交通运输支出（类）公路水路运输（款）公路建设（项）:</w:t>
      </w:r>
      <w:r>
        <w:rPr>
          <w:rFonts w:hint="eastAsia" w:hAnsi="仿宋_GB2312" w:cs="仿宋_GB2312"/>
          <w:b w:val="0"/>
          <w:bCs/>
          <w:sz w:val="32"/>
          <w:szCs w:val="32"/>
          <w:lang w:eastAsia="zh-CN"/>
        </w:rPr>
        <w:t>指用于公路新建和改扩建支出，特大型桥梁建设、公路客货运场（站）以及公路相关设备设施建设支出。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rPr>
        <w:t>.交通运输支出（类）公路水路运输（款）公路养护（项）:</w:t>
      </w:r>
      <w:r>
        <w:rPr>
          <w:rFonts w:hint="eastAsia" w:ascii="仿宋_GB2312" w:hAnsi="仿宋_GB2312" w:eastAsia="仿宋_GB2312" w:cs="仿宋_GB2312"/>
          <w:color w:val="000000"/>
          <w:sz w:val="32"/>
          <w:szCs w:val="32"/>
        </w:rPr>
        <w:t>指公路养护支出。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交通运输支出（类）公路水路运输（款）公路运输管理（项）:</w:t>
      </w:r>
      <w:r>
        <w:rPr>
          <w:rFonts w:hint="eastAsia" w:ascii="仿宋_GB2312" w:hAnsi="仿宋_GB2312" w:eastAsia="仿宋_GB2312" w:cs="仿宋_GB2312"/>
          <w:b w:val="0"/>
          <w:bCs/>
          <w:sz w:val="32"/>
          <w:szCs w:val="32"/>
          <w:lang w:eastAsia="zh-CN"/>
        </w:rPr>
        <w:t>指公路运输管理支出和公路路政管理支出。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交通运输支出（类）公路水路运输（款）航道维护（项）:</w:t>
      </w:r>
      <w:r>
        <w:rPr>
          <w:rFonts w:hint="eastAsia" w:ascii="仿宋_GB2312" w:hAnsi="仿宋_GB2312" w:eastAsia="仿宋_GB2312" w:cs="仿宋_GB2312"/>
          <w:b w:val="0"/>
          <w:bCs/>
          <w:sz w:val="32"/>
          <w:szCs w:val="32"/>
          <w:lang w:eastAsia="zh-CN"/>
        </w:rPr>
        <w:t>指内河航道整治、维护方面的支出。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29</w:t>
      </w:r>
      <w:r>
        <w:rPr>
          <w:rFonts w:hint="eastAsia" w:ascii="仿宋_GB2312" w:hAnsi="仿宋_GB2312" w:eastAsia="仿宋_GB2312" w:cs="仿宋_GB2312"/>
          <w:b w:val="0"/>
          <w:bCs/>
          <w:sz w:val="32"/>
          <w:szCs w:val="32"/>
        </w:rPr>
        <w:t>.交通运输支出（类）公路水路运输（款）其他公路水路运输支出（项）:</w:t>
      </w:r>
      <w:r>
        <w:rPr>
          <w:rFonts w:hint="eastAsia" w:ascii="仿宋_GB2312" w:hAnsi="仿宋_GB2312" w:eastAsia="仿宋_GB2312" w:cs="仿宋_GB2312"/>
          <w:color w:val="000000"/>
          <w:sz w:val="32"/>
          <w:szCs w:val="32"/>
        </w:rPr>
        <w:t>指其他用于公路水路运输方面的支出。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指其他用于民用航空方面的支出。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31.</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公共交通运营补助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指对公共交通运输企业的补助支出。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32.</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指其他交通运输支出中除对公共交通运营补助以外的其他支出。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33.</w:t>
      </w:r>
      <w:r>
        <w:rPr>
          <w:rFonts w:hint="eastAsia" w:ascii="仿宋_GB2312" w:hAnsi="仿宋_GB2312" w:eastAsia="仿宋_GB2312" w:cs="仿宋_GB2312"/>
          <w:b w:val="0"/>
          <w:bCs/>
          <w:sz w:val="32"/>
          <w:szCs w:val="32"/>
        </w:rPr>
        <w:t>商业服务业等支出（类）</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w:t>
      </w:r>
      <w:r>
        <w:rPr>
          <w:rFonts w:hint="eastAsia" w:ascii="仿宋_GB2312" w:hAnsi="仿宋_GB2312" w:eastAsia="仿宋_GB2312" w:cs="仿宋_GB2312"/>
          <w:b w:val="0"/>
          <w:bCs/>
          <w:sz w:val="32"/>
          <w:szCs w:val="32"/>
        </w:rPr>
        <w:t>商业服务业等支出</w:t>
      </w:r>
      <w:r>
        <w:rPr>
          <w:rFonts w:hint="eastAsia" w:ascii="仿宋_GB2312" w:hAnsi="仿宋_GB2312" w:eastAsia="仿宋_GB2312" w:cs="仿宋_GB2312"/>
          <w:b w:val="0"/>
          <w:bCs/>
          <w:sz w:val="32"/>
          <w:szCs w:val="32"/>
          <w:lang w:eastAsia="zh-CN"/>
        </w:rPr>
        <w:t>中的其他支出。</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34</w:t>
      </w:r>
      <w:r>
        <w:rPr>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35</w:t>
      </w:r>
      <w:r>
        <w:rPr>
          <w:rFonts w:hint="eastAsia" w:ascii="仿宋_GB2312" w:hAnsi="仿宋_GB2312" w:eastAsia="仿宋_GB2312" w:cs="仿宋_GB2312"/>
          <w:b w:val="0"/>
          <w:bCs/>
          <w:sz w:val="32"/>
          <w:szCs w:val="32"/>
          <w:lang w:val="en-US" w:eastAsia="zh-CN"/>
        </w:rPr>
        <w:t>.灾害防治及应急管理支出（类）应急管理事务（款）行政运行（项）：</w:t>
      </w:r>
      <w:r>
        <w:rPr>
          <w:rFonts w:hint="eastAsia" w:hAnsi="仿宋_GB2312" w:cs="仿宋_GB2312"/>
          <w:b w:val="0"/>
          <w:bCs/>
          <w:sz w:val="32"/>
          <w:szCs w:val="32"/>
          <w:lang w:val="en-US" w:eastAsia="zh-CN"/>
        </w:rPr>
        <w:t>指应急管理行政单位（包括实行公务员管理的事业单位）的基本支出。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pStyle w:val="2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r>
        <w:rPr>
          <w:rFonts w:hint="eastAsia" w:ascii="仿宋_GB2312" w:hAnsi="仿宋_GB2312" w:eastAsia="仿宋_GB2312" w:cs="仿宋_GB2312"/>
          <w:b/>
          <w:sz w:val="32"/>
          <w:szCs w:val="32"/>
        </w:rPr>
        <w:br w:type="page"/>
      </w:r>
      <w:bookmarkStart w:id="71" w:name="_Toc15396614"/>
      <w:bookmarkStart w:id="72" w:name="_Toc10788"/>
      <w:r>
        <w:rPr>
          <w:rFonts w:hint="eastAsia" w:ascii="黑体" w:hAnsi="黑体" w:eastAsia="黑体"/>
          <w:sz w:val="44"/>
          <w:szCs w:val="44"/>
        </w:rPr>
        <w:t>第</w:t>
      </w:r>
      <w:r>
        <w:rPr>
          <w:rStyle w:val="24"/>
          <w:rFonts w:hint="eastAsia" w:ascii="黑体" w:hAnsi="黑体" w:eastAsia="黑体"/>
          <w:b w:val="0"/>
        </w:rPr>
        <w:t>四部分 附件</w:t>
      </w:r>
      <w:bookmarkEnd w:id="71"/>
      <w:bookmarkEnd w:id="72"/>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hint="eastAsia" w:ascii="仿宋_GB2312" w:hAnsi="仿宋_GB2312" w:eastAsia="仿宋_GB2312" w:cs="仿宋_GB2312"/>
          <w:kern w:val="0"/>
          <w:sz w:val="32"/>
          <w:szCs w:val="32"/>
          <w:lang w:eastAsia="zh-CN"/>
        </w:rPr>
      </w:pPr>
      <w:bookmarkStart w:id="73" w:name="_Toc24683"/>
      <w:bookmarkStart w:id="74" w:name="_Toc15396618"/>
      <w:r>
        <w:rPr>
          <w:rFonts w:hint="eastAsia" w:ascii="仿宋_GB2312" w:hAnsi="仿宋_GB2312" w:eastAsia="仿宋_GB2312" w:cs="仿宋_GB2312"/>
          <w:kern w:val="0"/>
          <w:sz w:val="32"/>
          <w:szCs w:val="32"/>
        </w:rPr>
        <w:t>部门预算项目支出绩效自评表（202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bookmarkEnd w:id="73"/>
    </w:p>
    <w:p>
      <w:pPr>
        <w:spacing w:line="600" w:lineRule="exact"/>
        <w:jc w:val="left"/>
        <w:outlineLvl w:val="9"/>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75" w:name="_Toc7232"/>
      <w:r>
        <w:rPr>
          <w:rFonts w:hint="eastAsia" w:ascii="黑体" w:hAnsi="黑体" w:eastAsia="黑体"/>
          <w:sz w:val="44"/>
          <w:szCs w:val="44"/>
        </w:rPr>
        <w:t>第</w:t>
      </w:r>
      <w:r>
        <w:rPr>
          <w:rStyle w:val="24"/>
          <w:rFonts w:hint="eastAsia" w:ascii="黑体" w:hAnsi="黑体" w:eastAsia="黑体"/>
          <w:b w:val="0"/>
        </w:rPr>
        <w:t>五部分 附表</w:t>
      </w:r>
      <w:bookmarkEnd w:id="70"/>
      <w:bookmarkEnd w:id="74"/>
      <w:bookmarkEnd w:id="75"/>
      <w:bookmarkStart w:id="76" w:name="_Toc15396619"/>
    </w:p>
    <w:p>
      <w:pPr>
        <w:pStyle w:val="4"/>
        <w:rPr>
          <w:rFonts w:ascii="仿宋" w:hAnsi="仿宋" w:eastAsia="仿宋"/>
        </w:rPr>
      </w:pPr>
      <w:bookmarkStart w:id="77" w:name="_Toc19189"/>
      <w:r>
        <w:rPr>
          <w:rFonts w:hint="eastAsia" w:ascii="仿宋" w:hAnsi="仿宋" w:eastAsia="仿宋"/>
          <w:b w:val="0"/>
        </w:rPr>
        <w:t>一、收</w:t>
      </w:r>
      <w:r>
        <w:rPr>
          <w:rStyle w:val="25"/>
          <w:rFonts w:hint="eastAsia" w:ascii="仿宋" w:hAnsi="仿宋" w:eastAsia="仿宋"/>
          <w:b w:val="0"/>
          <w:bCs w:val="0"/>
        </w:rPr>
        <w:t>入支出决算总表</w:t>
      </w:r>
      <w:bookmarkEnd w:id="76"/>
      <w:bookmarkEnd w:id="77"/>
    </w:p>
    <w:p>
      <w:pPr>
        <w:pStyle w:val="4"/>
        <w:rPr>
          <w:rFonts w:ascii="仿宋" w:hAnsi="仿宋" w:eastAsia="仿宋"/>
        </w:rPr>
      </w:pPr>
      <w:bookmarkStart w:id="78" w:name="_Toc23980"/>
      <w:bookmarkStart w:id="79" w:name="_Toc15396620"/>
      <w:r>
        <w:rPr>
          <w:rFonts w:hint="eastAsia" w:ascii="仿宋" w:hAnsi="仿宋" w:eastAsia="仿宋"/>
          <w:b w:val="0"/>
        </w:rPr>
        <w:t>二、收</w:t>
      </w:r>
      <w:r>
        <w:rPr>
          <w:rStyle w:val="25"/>
          <w:rFonts w:hint="eastAsia" w:ascii="仿宋" w:hAnsi="仿宋" w:eastAsia="仿宋"/>
          <w:b w:val="0"/>
          <w:bCs w:val="0"/>
        </w:rPr>
        <w:t>入决算表</w:t>
      </w:r>
      <w:bookmarkEnd w:id="78"/>
      <w:bookmarkEnd w:id="79"/>
    </w:p>
    <w:p>
      <w:pPr>
        <w:pStyle w:val="4"/>
        <w:rPr>
          <w:rFonts w:ascii="仿宋" w:hAnsi="仿宋" w:eastAsia="仿宋"/>
        </w:rPr>
      </w:pPr>
      <w:bookmarkStart w:id="80" w:name="_Toc14510"/>
      <w:bookmarkStart w:id="81"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0"/>
      <w:bookmarkEnd w:id="81"/>
    </w:p>
    <w:p>
      <w:pPr>
        <w:pStyle w:val="4"/>
        <w:rPr>
          <w:rFonts w:ascii="仿宋" w:hAnsi="仿宋" w:eastAsia="仿宋"/>
          <w:b w:val="0"/>
        </w:rPr>
      </w:pPr>
      <w:bookmarkStart w:id="82" w:name="_Toc24355"/>
      <w:bookmarkStart w:id="83"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2"/>
      <w:bookmarkEnd w:id="83"/>
    </w:p>
    <w:p>
      <w:pPr>
        <w:pStyle w:val="4"/>
        <w:rPr>
          <w:rStyle w:val="25"/>
          <w:rFonts w:ascii="仿宋" w:hAnsi="仿宋" w:eastAsia="仿宋"/>
          <w:b w:val="0"/>
          <w:bCs w:val="0"/>
        </w:rPr>
      </w:pPr>
      <w:bookmarkStart w:id="84" w:name="_Toc15396623"/>
      <w:bookmarkStart w:id="85" w:name="_Toc12936"/>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4"/>
      <w:bookmarkEnd w:id="85"/>
      <w:bookmarkStart w:id="86" w:name="_Toc15396624"/>
    </w:p>
    <w:p>
      <w:pPr>
        <w:pStyle w:val="4"/>
        <w:rPr>
          <w:rFonts w:ascii="仿宋" w:hAnsi="仿宋" w:eastAsia="仿宋"/>
        </w:rPr>
      </w:pPr>
      <w:bookmarkStart w:id="87" w:name="_Toc23679"/>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bookmarkEnd w:id="87"/>
    </w:p>
    <w:p>
      <w:pPr>
        <w:pStyle w:val="4"/>
        <w:rPr>
          <w:rFonts w:ascii="仿宋" w:hAnsi="仿宋" w:eastAsia="仿宋"/>
        </w:rPr>
      </w:pPr>
      <w:bookmarkStart w:id="88" w:name="_Toc15396625"/>
      <w:bookmarkStart w:id="89" w:name="_Toc18649"/>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8"/>
      <w:bookmarkEnd w:id="89"/>
    </w:p>
    <w:p>
      <w:pPr>
        <w:pStyle w:val="4"/>
        <w:rPr>
          <w:rFonts w:ascii="仿宋" w:hAnsi="仿宋" w:eastAsia="仿宋"/>
        </w:rPr>
      </w:pPr>
      <w:bookmarkStart w:id="90" w:name="_Toc255"/>
      <w:bookmarkStart w:id="9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0"/>
      <w:bookmarkEnd w:id="91"/>
    </w:p>
    <w:p>
      <w:pPr>
        <w:pStyle w:val="4"/>
        <w:rPr>
          <w:rFonts w:ascii="仿宋" w:hAnsi="仿宋" w:eastAsia="仿宋"/>
        </w:rPr>
      </w:pPr>
      <w:bookmarkStart w:id="92" w:name="_Toc27932"/>
      <w:bookmarkStart w:id="9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2"/>
      <w:bookmarkEnd w:id="93"/>
    </w:p>
    <w:p>
      <w:pPr>
        <w:pStyle w:val="4"/>
        <w:rPr>
          <w:rFonts w:ascii="仿宋" w:hAnsi="仿宋" w:eastAsia="仿宋"/>
        </w:rPr>
      </w:pPr>
      <w:bookmarkStart w:id="94" w:name="_Toc15396628"/>
      <w:bookmarkStart w:id="95" w:name="_Toc1668"/>
      <w:r>
        <w:rPr>
          <w:rStyle w:val="25"/>
          <w:rFonts w:hint="eastAsia" w:ascii="仿宋" w:hAnsi="仿宋" w:eastAsia="仿宋"/>
          <w:b w:val="0"/>
          <w:bCs w:val="0"/>
        </w:rPr>
        <w:t>十、</w:t>
      </w:r>
      <w:bookmarkEnd w:id="94"/>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5"/>
    </w:p>
    <w:p>
      <w:pPr>
        <w:pStyle w:val="4"/>
        <w:rPr>
          <w:rFonts w:hint="eastAsia" w:ascii="仿宋" w:hAnsi="仿宋" w:eastAsia="仿宋"/>
          <w:lang w:eastAsia="zh-CN"/>
        </w:rPr>
      </w:pPr>
      <w:bookmarkStart w:id="96" w:name="_Toc15396629"/>
      <w:bookmarkStart w:id="97" w:name="_Toc3773"/>
      <w:r>
        <w:rPr>
          <w:rStyle w:val="25"/>
          <w:rFonts w:hint="eastAsia" w:ascii="仿宋" w:hAnsi="仿宋" w:eastAsia="仿宋"/>
          <w:b w:val="0"/>
          <w:bCs w:val="0"/>
        </w:rPr>
        <w:t>十一、</w:t>
      </w:r>
      <w:bookmarkEnd w:id="96"/>
      <w:r>
        <w:rPr>
          <w:rFonts w:hint="eastAsia" w:ascii="仿宋" w:hAnsi="仿宋" w:eastAsia="仿宋"/>
          <w:b w:val="0"/>
        </w:rPr>
        <w:t>国</w:t>
      </w:r>
      <w:r>
        <w:rPr>
          <w:rStyle w:val="25"/>
          <w:rFonts w:hint="eastAsia" w:ascii="仿宋" w:hAnsi="仿宋" w:eastAsia="仿宋"/>
          <w:b w:val="0"/>
          <w:bCs w:val="0"/>
        </w:rPr>
        <w:t>有资本经营预算财政拨款收入支出决算表</w:t>
      </w:r>
      <w:r>
        <w:rPr>
          <w:rStyle w:val="25"/>
          <w:rFonts w:hint="eastAsia" w:ascii="仿宋" w:hAnsi="仿宋" w:eastAsia="仿宋"/>
          <w:b w:val="0"/>
          <w:bCs w:val="0"/>
          <w:lang w:eastAsia="zh-CN"/>
        </w:rPr>
        <w:t>（此表无数据）</w:t>
      </w:r>
      <w:bookmarkEnd w:id="97"/>
    </w:p>
    <w:p>
      <w:pPr>
        <w:pStyle w:val="4"/>
        <w:rPr>
          <w:rFonts w:hint="eastAsia" w:ascii="仿宋" w:hAnsi="仿宋" w:eastAsia="仿宋"/>
          <w:lang w:eastAsia="zh-CN"/>
        </w:rPr>
      </w:pPr>
      <w:bookmarkStart w:id="98" w:name="_Toc15396630"/>
      <w:bookmarkStart w:id="99" w:name="_Toc28592"/>
      <w:r>
        <w:rPr>
          <w:rStyle w:val="25"/>
          <w:rFonts w:hint="eastAsia" w:ascii="仿宋" w:hAnsi="仿宋" w:eastAsia="仿宋"/>
          <w:b w:val="0"/>
          <w:bCs w:val="0"/>
        </w:rPr>
        <w:t>十二、</w:t>
      </w:r>
      <w:bookmarkEnd w:id="98"/>
      <w:r>
        <w:rPr>
          <w:rStyle w:val="25"/>
          <w:rFonts w:hint="eastAsia" w:ascii="仿宋" w:hAnsi="仿宋" w:eastAsia="仿宋"/>
          <w:b w:val="0"/>
          <w:bCs w:val="0"/>
        </w:rPr>
        <w:t>国有资本经营预算财政拨款支出决算表</w:t>
      </w:r>
      <w:r>
        <w:rPr>
          <w:rStyle w:val="25"/>
          <w:rFonts w:hint="eastAsia" w:ascii="仿宋" w:hAnsi="仿宋" w:eastAsia="仿宋"/>
          <w:b w:val="0"/>
          <w:bCs w:val="0"/>
          <w:lang w:eastAsia="zh-CN"/>
        </w:rPr>
        <w:t>（此表无数据）</w:t>
      </w:r>
      <w:bookmarkEnd w:id="99"/>
    </w:p>
    <w:p>
      <w:pPr>
        <w:pStyle w:val="4"/>
        <w:rPr>
          <w:rFonts w:eastAsia="仿宋"/>
        </w:rPr>
      </w:pPr>
      <w:bookmarkStart w:id="100" w:name="_Toc15396631"/>
      <w:bookmarkStart w:id="101" w:name="_Toc15153"/>
      <w:r>
        <w:rPr>
          <w:rStyle w:val="25"/>
          <w:rFonts w:hint="eastAsia" w:ascii="仿宋" w:hAnsi="仿宋" w:eastAsia="仿宋"/>
          <w:b w:val="0"/>
          <w:bCs w:val="0"/>
        </w:rPr>
        <w:t>十三、</w:t>
      </w:r>
      <w:bookmarkEnd w:id="100"/>
      <w:r>
        <w:rPr>
          <w:rStyle w:val="25"/>
          <w:rFonts w:hint="eastAsia" w:ascii="仿宋" w:hAnsi="仿宋" w:eastAsia="仿宋"/>
          <w:b w:val="0"/>
          <w:bCs w:val="0"/>
        </w:rPr>
        <w:t>财政拨款“三公”经费支出决算表</w:t>
      </w:r>
      <w:bookmarkEnd w:id="101"/>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0884"/>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244B"/>
    <w:rsid w:val="00FD3CC1"/>
    <w:rsid w:val="00FF1E02"/>
    <w:rsid w:val="00FF30B4"/>
    <w:rsid w:val="01C32732"/>
    <w:rsid w:val="01CE08B2"/>
    <w:rsid w:val="02B075F4"/>
    <w:rsid w:val="02C220EE"/>
    <w:rsid w:val="02C866AB"/>
    <w:rsid w:val="03676B59"/>
    <w:rsid w:val="04D96F34"/>
    <w:rsid w:val="05191E3C"/>
    <w:rsid w:val="053A62B5"/>
    <w:rsid w:val="0595464F"/>
    <w:rsid w:val="05DA07FE"/>
    <w:rsid w:val="05FC40F1"/>
    <w:rsid w:val="06F1432C"/>
    <w:rsid w:val="07083CF5"/>
    <w:rsid w:val="076F6096"/>
    <w:rsid w:val="08B1198F"/>
    <w:rsid w:val="08DE7FD2"/>
    <w:rsid w:val="09045677"/>
    <w:rsid w:val="09B545A3"/>
    <w:rsid w:val="09EC26E4"/>
    <w:rsid w:val="0A2032A3"/>
    <w:rsid w:val="0A22681A"/>
    <w:rsid w:val="0A4042DA"/>
    <w:rsid w:val="0A4B2DA1"/>
    <w:rsid w:val="0ABF0394"/>
    <w:rsid w:val="0B8A37D8"/>
    <w:rsid w:val="0B970782"/>
    <w:rsid w:val="0C706F43"/>
    <w:rsid w:val="0C8573BB"/>
    <w:rsid w:val="0C8B1868"/>
    <w:rsid w:val="0DFC6444"/>
    <w:rsid w:val="0E4C52EE"/>
    <w:rsid w:val="0EA0665B"/>
    <w:rsid w:val="0EA20F58"/>
    <w:rsid w:val="0EB229D1"/>
    <w:rsid w:val="0F063405"/>
    <w:rsid w:val="0FAD112E"/>
    <w:rsid w:val="1015428D"/>
    <w:rsid w:val="102D2243"/>
    <w:rsid w:val="10433760"/>
    <w:rsid w:val="10791A5F"/>
    <w:rsid w:val="10C055FF"/>
    <w:rsid w:val="111B6524"/>
    <w:rsid w:val="11624A45"/>
    <w:rsid w:val="118107EC"/>
    <w:rsid w:val="11DD6519"/>
    <w:rsid w:val="11FA707D"/>
    <w:rsid w:val="126B3F80"/>
    <w:rsid w:val="12E12E71"/>
    <w:rsid w:val="131E2CFD"/>
    <w:rsid w:val="135568F4"/>
    <w:rsid w:val="136D3977"/>
    <w:rsid w:val="13F93B28"/>
    <w:rsid w:val="15317466"/>
    <w:rsid w:val="15636D69"/>
    <w:rsid w:val="15B82C26"/>
    <w:rsid w:val="15BE7EFE"/>
    <w:rsid w:val="16641DC9"/>
    <w:rsid w:val="1666025D"/>
    <w:rsid w:val="16BB723D"/>
    <w:rsid w:val="18015F3F"/>
    <w:rsid w:val="18500A90"/>
    <w:rsid w:val="18DD7E7B"/>
    <w:rsid w:val="18FC7201"/>
    <w:rsid w:val="191E097B"/>
    <w:rsid w:val="1A256591"/>
    <w:rsid w:val="1A887A5C"/>
    <w:rsid w:val="1ABC340F"/>
    <w:rsid w:val="1AF35BA4"/>
    <w:rsid w:val="1BC57E16"/>
    <w:rsid w:val="1BE8440E"/>
    <w:rsid w:val="1BF259E0"/>
    <w:rsid w:val="1BF412F5"/>
    <w:rsid w:val="1CB80141"/>
    <w:rsid w:val="1D155CEE"/>
    <w:rsid w:val="1D166FCC"/>
    <w:rsid w:val="1D973923"/>
    <w:rsid w:val="1DB918CB"/>
    <w:rsid w:val="1DCD7775"/>
    <w:rsid w:val="1DD05D75"/>
    <w:rsid w:val="1E453DA4"/>
    <w:rsid w:val="1F010C8F"/>
    <w:rsid w:val="1FBA5711"/>
    <w:rsid w:val="1FCC6F6B"/>
    <w:rsid w:val="20782350"/>
    <w:rsid w:val="208C23F8"/>
    <w:rsid w:val="20F57F95"/>
    <w:rsid w:val="214F7A7A"/>
    <w:rsid w:val="21C8441D"/>
    <w:rsid w:val="22371443"/>
    <w:rsid w:val="227910C8"/>
    <w:rsid w:val="22FF6214"/>
    <w:rsid w:val="23307478"/>
    <w:rsid w:val="240371BF"/>
    <w:rsid w:val="241E2177"/>
    <w:rsid w:val="242F51F8"/>
    <w:rsid w:val="24ED1072"/>
    <w:rsid w:val="24FF6CC4"/>
    <w:rsid w:val="25711CC6"/>
    <w:rsid w:val="257C02E6"/>
    <w:rsid w:val="259102D8"/>
    <w:rsid w:val="25C741E6"/>
    <w:rsid w:val="26B23CD0"/>
    <w:rsid w:val="270C1ACD"/>
    <w:rsid w:val="27842671"/>
    <w:rsid w:val="28BB0CDC"/>
    <w:rsid w:val="28F01A05"/>
    <w:rsid w:val="2914700E"/>
    <w:rsid w:val="291D0D6A"/>
    <w:rsid w:val="29415F8B"/>
    <w:rsid w:val="29B21BF5"/>
    <w:rsid w:val="29FD04D3"/>
    <w:rsid w:val="2AA76BFC"/>
    <w:rsid w:val="2ABE7A3E"/>
    <w:rsid w:val="2B8A3EC7"/>
    <w:rsid w:val="2B982A86"/>
    <w:rsid w:val="2BAE7680"/>
    <w:rsid w:val="2BD1274B"/>
    <w:rsid w:val="2C3E7E8A"/>
    <w:rsid w:val="2CA234A8"/>
    <w:rsid w:val="2DA7741E"/>
    <w:rsid w:val="2DB40E41"/>
    <w:rsid w:val="2E003569"/>
    <w:rsid w:val="2E4104BE"/>
    <w:rsid w:val="2E573128"/>
    <w:rsid w:val="2EF75847"/>
    <w:rsid w:val="2EFA178C"/>
    <w:rsid w:val="30B46D73"/>
    <w:rsid w:val="31031D93"/>
    <w:rsid w:val="31890334"/>
    <w:rsid w:val="319F7F4E"/>
    <w:rsid w:val="33962EB0"/>
    <w:rsid w:val="33D0798B"/>
    <w:rsid w:val="34036C94"/>
    <w:rsid w:val="343A22EE"/>
    <w:rsid w:val="348016AD"/>
    <w:rsid w:val="34EC7728"/>
    <w:rsid w:val="35062A56"/>
    <w:rsid w:val="35374E47"/>
    <w:rsid w:val="354D51C6"/>
    <w:rsid w:val="3558570A"/>
    <w:rsid w:val="35EA0EFE"/>
    <w:rsid w:val="36C23FAA"/>
    <w:rsid w:val="370D12E8"/>
    <w:rsid w:val="3761176B"/>
    <w:rsid w:val="37851E2C"/>
    <w:rsid w:val="37966DEB"/>
    <w:rsid w:val="37EC3674"/>
    <w:rsid w:val="383D272C"/>
    <w:rsid w:val="397E7C08"/>
    <w:rsid w:val="39AE70AB"/>
    <w:rsid w:val="39C44CC0"/>
    <w:rsid w:val="3A255BB6"/>
    <w:rsid w:val="3ACD3B57"/>
    <w:rsid w:val="3AD92C8D"/>
    <w:rsid w:val="3AFD61EB"/>
    <w:rsid w:val="3B280D40"/>
    <w:rsid w:val="3B8775E7"/>
    <w:rsid w:val="3C0417FB"/>
    <w:rsid w:val="3C0C0783"/>
    <w:rsid w:val="3C315F2F"/>
    <w:rsid w:val="3C447AF0"/>
    <w:rsid w:val="3C532D1E"/>
    <w:rsid w:val="3CBF0AE9"/>
    <w:rsid w:val="3D51281E"/>
    <w:rsid w:val="3D864A72"/>
    <w:rsid w:val="3E592691"/>
    <w:rsid w:val="3F4F17A8"/>
    <w:rsid w:val="3F9F3A96"/>
    <w:rsid w:val="3FB853C1"/>
    <w:rsid w:val="403F4D23"/>
    <w:rsid w:val="40972CCF"/>
    <w:rsid w:val="412F10C8"/>
    <w:rsid w:val="41A01FC6"/>
    <w:rsid w:val="41A24E22"/>
    <w:rsid w:val="42134797"/>
    <w:rsid w:val="43252782"/>
    <w:rsid w:val="45365E66"/>
    <w:rsid w:val="45406D1A"/>
    <w:rsid w:val="45E92540"/>
    <w:rsid w:val="4649027F"/>
    <w:rsid w:val="4670640B"/>
    <w:rsid w:val="46A208D4"/>
    <w:rsid w:val="46F77F3F"/>
    <w:rsid w:val="478B54E7"/>
    <w:rsid w:val="4846543F"/>
    <w:rsid w:val="4864183A"/>
    <w:rsid w:val="48BF60AB"/>
    <w:rsid w:val="48FA19FD"/>
    <w:rsid w:val="493C27E9"/>
    <w:rsid w:val="496F39ED"/>
    <w:rsid w:val="497365D1"/>
    <w:rsid w:val="49770F45"/>
    <w:rsid w:val="49907ABB"/>
    <w:rsid w:val="49C72C5D"/>
    <w:rsid w:val="49FF41D3"/>
    <w:rsid w:val="4A2F24D9"/>
    <w:rsid w:val="4A8F0E29"/>
    <w:rsid w:val="4BE068DB"/>
    <w:rsid w:val="4BF6002B"/>
    <w:rsid w:val="4C7958ED"/>
    <w:rsid w:val="4C9170DB"/>
    <w:rsid w:val="4D255D1B"/>
    <w:rsid w:val="4D5D39E1"/>
    <w:rsid w:val="4DDA776A"/>
    <w:rsid w:val="4ECE2238"/>
    <w:rsid w:val="4F045452"/>
    <w:rsid w:val="503264DF"/>
    <w:rsid w:val="50A2798F"/>
    <w:rsid w:val="51663853"/>
    <w:rsid w:val="51DB4B86"/>
    <w:rsid w:val="525910AB"/>
    <w:rsid w:val="52D771EF"/>
    <w:rsid w:val="52E06A84"/>
    <w:rsid w:val="53130849"/>
    <w:rsid w:val="535D017F"/>
    <w:rsid w:val="53CA38BA"/>
    <w:rsid w:val="54472C35"/>
    <w:rsid w:val="547726D0"/>
    <w:rsid w:val="54F63F7F"/>
    <w:rsid w:val="55333C3E"/>
    <w:rsid w:val="56095F34"/>
    <w:rsid w:val="56ED7E54"/>
    <w:rsid w:val="572F484E"/>
    <w:rsid w:val="58D4636D"/>
    <w:rsid w:val="58FF05FE"/>
    <w:rsid w:val="59081F11"/>
    <w:rsid w:val="59D57D96"/>
    <w:rsid w:val="5A3110AA"/>
    <w:rsid w:val="5B393E14"/>
    <w:rsid w:val="5B667D51"/>
    <w:rsid w:val="5BBD1546"/>
    <w:rsid w:val="5C573484"/>
    <w:rsid w:val="5CA75A75"/>
    <w:rsid w:val="5D203835"/>
    <w:rsid w:val="5D235745"/>
    <w:rsid w:val="5D4D6706"/>
    <w:rsid w:val="5DA36667"/>
    <w:rsid w:val="5DFD7161"/>
    <w:rsid w:val="5E402BFD"/>
    <w:rsid w:val="5F5024B8"/>
    <w:rsid w:val="5FBB0B6C"/>
    <w:rsid w:val="6042008A"/>
    <w:rsid w:val="6069342C"/>
    <w:rsid w:val="61700C15"/>
    <w:rsid w:val="61E80460"/>
    <w:rsid w:val="61F642C5"/>
    <w:rsid w:val="62334965"/>
    <w:rsid w:val="627670D7"/>
    <w:rsid w:val="629B764B"/>
    <w:rsid w:val="62F90495"/>
    <w:rsid w:val="635D3DB0"/>
    <w:rsid w:val="63DB0C0B"/>
    <w:rsid w:val="63F34885"/>
    <w:rsid w:val="64115B91"/>
    <w:rsid w:val="64AA4875"/>
    <w:rsid w:val="64C400AD"/>
    <w:rsid w:val="64CA39A1"/>
    <w:rsid w:val="64D554AE"/>
    <w:rsid w:val="65A3135E"/>
    <w:rsid w:val="65AC7364"/>
    <w:rsid w:val="65D53D3B"/>
    <w:rsid w:val="65EB68BD"/>
    <w:rsid w:val="66642445"/>
    <w:rsid w:val="66D94FCE"/>
    <w:rsid w:val="66EC20AE"/>
    <w:rsid w:val="676A4D31"/>
    <w:rsid w:val="676D7B78"/>
    <w:rsid w:val="67A16134"/>
    <w:rsid w:val="67A36096"/>
    <w:rsid w:val="682B3C43"/>
    <w:rsid w:val="683E0648"/>
    <w:rsid w:val="68C41F93"/>
    <w:rsid w:val="695D23C7"/>
    <w:rsid w:val="69630ADE"/>
    <w:rsid w:val="6990454A"/>
    <w:rsid w:val="6BC955C4"/>
    <w:rsid w:val="6C253E74"/>
    <w:rsid w:val="6C4A05C8"/>
    <w:rsid w:val="6CD468D4"/>
    <w:rsid w:val="6D3B1A89"/>
    <w:rsid w:val="6E4504C3"/>
    <w:rsid w:val="6F0537E2"/>
    <w:rsid w:val="6F16586D"/>
    <w:rsid w:val="700F07F7"/>
    <w:rsid w:val="705F07D2"/>
    <w:rsid w:val="70EB0ED2"/>
    <w:rsid w:val="71BF4EC2"/>
    <w:rsid w:val="721958EA"/>
    <w:rsid w:val="7241754D"/>
    <w:rsid w:val="72734D90"/>
    <w:rsid w:val="72B8716D"/>
    <w:rsid w:val="72C214EC"/>
    <w:rsid w:val="72D6671B"/>
    <w:rsid w:val="7412278C"/>
    <w:rsid w:val="74735BA6"/>
    <w:rsid w:val="74F851F6"/>
    <w:rsid w:val="75291AB9"/>
    <w:rsid w:val="75862CA5"/>
    <w:rsid w:val="77B77FF7"/>
    <w:rsid w:val="77DB3E79"/>
    <w:rsid w:val="77F73614"/>
    <w:rsid w:val="78055E5D"/>
    <w:rsid w:val="79456370"/>
    <w:rsid w:val="794F10EF"/>
    <w:rsid w:val="79E7B28D"/>
    <w:rsid w:val="79ED7793"/>
    <w:rsid w:val="7B607302"/>
    <w:rsid w:val="7BED7F5C"/>
    <w:rsid w:val="7C3074CB"/>
    <w:rsid w:val="7C8D66C7"/>
    <w:rsid w:val="7CE43A4E"/>
    <w:rsid w:val="7D386176"/>
    <w:rsid w:val="7D7C3B40"/>
    <w:rsid w:val="7E040C0B"/>
    <w:rsid w:val="7E461B7C"/>
    <w:rsid w:val="7F7F3488"/>
    <w:rsid w:val="7F9F20EE"/>
    <w:rsid w:val="7FB665C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样式1"/>
    <w:basedOn w:val="10"/>
    <w:qFormat/>
    <w:uiPriority w:val="0"/>
    <w:rPr>
      <w:rFonts w:ascii="仿宋_GB2312" w:eastAsia="仿宋_GB2312"/>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收、支决算总计变动情况图</a:t>
            </a:r>
            <a:endParaRPr lang="zh-CN" altLang="en-US">
              <a:solidFill>
                <a:schemeClr val="tx1">
                  <a:lumMod val="50000"/>
                </a:schemeClr>
              </a:solidFill>
              <a:uFillTx/>
            </a:endParaRPr>
          </a:p>
        </c:rich>
      </c:tx>
      <c:layout/>
      <c:overlay val="false"/>
      <c:spPr>
        <a:noFill/>
        <a:ln>
          <a:noFill/>
        </a:ln>
        <a:effectLst/>
      </c:spPr>
    </c:title>
    <c:autoTitleDeleted val="false"/>
    <c:plotArea>
      <c:layout>
        <c:manualLayout>
          <c:layoutTarget val="inner"/>
          <c:xMode val="edge"/>
          <c:yMode val="edge"/>
          <c:x val="0.0868989958653278"/>
          <c:y val="0.130972842901341"/>
          <c:w val="0.888883638511518"/>
          <c:h val="0.708044001375043"/>
        </c:manualLayout>
      </c:layout>
      <c:barChart>
        <c:barDir val="col"/>
        <c:grouping val="clustered"/>
        <c:varyColors val="false"/>
        <c:ser>
          <c:idx val="0"/>
          <c:order val="0"/>
          <c:tx>
            <c:strRef>
              <c:f>Sheet1!$B$1</c:f>
              <c:strCache>
                <c:ptCount val="1"/>
                <c:pt idx="0">
                  <c:v>2022年度</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18242.81</c:v>
                </c:pt>
                <c:pt idx="1">
                  <c:v>18242.81</c:v>
                </c:pt>
              </c:numCache>
            </c:numRef>
          </c:val>
        </c:ser>
        <c:ser>
          <c:idx val="1"/>
          <c:order val="1"/>
          <c:tx>
            <c:strRef>
              <c:f>Sheet1!$C$1</c:f>
              <c:strCache>
                <c:ptCount val="1"/>
                <c:pt idx="0">
                  <c:v>2023年度</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28798.29</c:v>
                </c:pt>
                <c:pt idx="1">
                  <c:v>28798.29</c:v>
                </c:pt>
              </c:numCache>
            </c:numRef>
          </c:val>
        </c:ser>
        <c:dLbls>
          <c:showLegendKey val="false"/>
          <c:showVal val="true"/>
          <c:showCatName val="false"/>
          <c:showSerName val="false"/>
          <c:showPercent val="false"/>
          <c:showBubbleSize val="false"/>
        </c:dLbls>
        <c:gapWidth val="219"/>
        <c:overlap val="-27"/>
        <c:axId val="645858728"/>
        <c:axId val="829565038"/>
      </c:barChart>
      <c:catAx>
        <c:axId val="64585872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a:t>
            </a:r>
          </a:p>
        </c:rich>
      </c:tx>
      <c:layout/>
      <c:overlay val="false"/>
      <c:spPr>
        <a:noFill/>
        <a:ln>
          <a:noFill/>
        </a:ln>
        <a:effectLst/>
      </c:spPr>
    </c:title>
    <c:autoTitleDeleted val="false"/>
    <c:plotArea>
      <c:layout>
        <c:manualLayout>
          <c:layoutTarget val="inner"/>
          <c:xMode val="edge"/>
          <c:yMode val="edge"/>
          <c:x val="0.00479769710538941"/>
          <c:y val="0.301794871794872"/>
          <c:w val="0.818077722693107"/>
          <c:h val="0.630927021696252"/>
        </c:manualLayout>
      </c:layout>
      <c:pieChart>
        <c:varyColors val="true"/>
        <c:ser>
          <c:idx val="0"/>
          <c:order val="0"/>
          <c:tx>
            <c:strRef>
              <c:f>Sheet1!$B$1</c:f>
              <c:strCache>
                <c:ptCount val="1"/>
                <c:pt idx="0">
                  <c:v>收入</c:v>
                </c:pt>
              </c:strCache>
            </c:strRef>
          </c:tx>
          <c:spPr>
            <a:scene3d>
              <a:camera prst="orthographicFront"/>
              <a:lightRig rig="threePt" dir="t"/>
            </a:scene3d>
            <a:sp3d contourW="9525"/>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dLbl>
              <c:idx val="2"/>
              <c:layout>
                <c:manualLayout>
                  <c:x val="0.0911562450023988"/>
                  <c:y val="0.0088757396449704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一般公共预算</c:v>
                </c:pt>
                <c:pt idx="1">
                  <c:v>政府性基金预算</c:v>
                </c:pt>
                <c:pt idx="2">
                  <c:v>其他收入</c:v>
                </c:pt>
              </c:strCache>
            </c:strRef>
          </c:cat>
          <c:val>
            <c:numRef>
              <c:f>Sheet1!$B$2:$B$4</c:f>
              <c:numCache>
                <c:formatCode>General</c:formatCode>
                <c:ptCount val="3"/>
                <c:pt idx="0">
                  <c:v>24584.3</c:v>
                </c:pt>
                <c:pt idx="1">
                  <c:v>18.95</c:v>
                </c:pt>
                <c:pt idx="2">
                  <c:v>1267.44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支出决算结构图</a:t>
            </a:r>
            <a:endParaRPr lang="zh-CN" altLang="en-US">
              <a:solidFill>
                <a:schemeClr val="tx1">
                  <a:lumMod val="50000"/>
                </a:schemeClr>
              </a:solidFill>
              <a:uFillTx/>
            </a:endParaRPr>
          </a:p>
        </c:rich>
      </c:tx>
      <c:layout>
        <c:manualLayout>
          <c:xMode val="edge"/>
          <c:yMode val="edge"/>
          <c:x val="0.364509929532351"/>
          <c:y val="0.0319645356976202"/>
        </c:manualLayout>
      </c:layout>
      <c:overlay val="false"/>
      <c:spPr>
        <a:noFill/>
        <a:ln>
          <a:noFill/>
        </a:ln>
        <a:effectLst/>
      </c:spPr>
    </c:title>
    <c:autoTitleDeleted val="false"/>
    <c:plotArea>
      <c:layout/>
      <c:pieChart>
        <c:varyColors val="true"/>
        <c:ser>
          <c:idx val="0"/>
          <c:order val="0"/>
          <c:tx>
            <c:strRef>
              <c:f>Sheet1!$B$1</c:f>
              <c:strCache>
                <c:ptCount val="1"/>
                <c:pt idx="0">
                  <c:v>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13851.81</c:v>
                </c:pt>
                <c:pt idx="1">
                  <c:v>14946.48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344891095451634"/>
          <c:y val="0.89452715453973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收、支决算总计变动情况</a:t>
            </a:r>
            <a:endParaRPr lang="zh-CN" altLang="en-US" b="1">
              <a:solidFill>
                <a:schemeClr val="tx1">
                  <a:lumMod val="50000"/>
                </a:schemeClr>
              </a:solidFill>
            </a:endParaRPr>
          </a:p>
        </c:rich>
      </c:tx>
      <c:layout>
        <c:manualLayout>
          <c:xMode val="edge"/>
          <c:yMode val="edge"/>
          <c:x val="0.308568598315998"/>
          <c:y val="0.0157350517008841"/>
        </c:manualLayout>
      </c:layout>
      <c:overlay val="false"/>
      <c:spPr>
        <a:noFill/>
        <a:ln>
          <a:noFill/>
        </a:ln>
        <a:effectLst/>
      </c:spPr>
    </c:title>
    <c:autoTitleDeleted val="false"/>
    <c:plotArea>
      <c:layout>
        <c:manualLayout>
          <c:layoutTarget val="inner"/>
          <c:xMode val="edge"/>
          <c:yMode val="edge"/>
          <c:x val="0.1043970653789"/>
          <c:y val="0.0812962409226826"/>
          <c:w val="0.87555"/>
          <c:h val="0.7605"/>
        </c:manualLayout>
      </c:layout>
      <c:barChart>
        <c:barDir val="col"/>
        <c:grouping val="clustered"/>
        <c:varyColors val="false"/>
        <c:ser>
          <c:idx val="0"/>
          <c:order val="0"/>
          <c:tx>
            <c:strRef>
              <c:f>Sheet1!$B$1</c:f>
              <c:strCache>
                <c:ptCount val="1"/>
                <c:pt idx="0">
                  <c:v>2022年度</c:v>
                </c:pt>
              </c:strCache>
            </c:strRef>
          </c:tx>
          <c:spPr>
            <a:solidFill>
              <a:schemeClr val="tx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18205.35</c:v>
                </c:pt>
                <c:pt idx="1">
                  <c:v>18205.35</c:v>
                </c:pt>
              </c:numCache>
            </c:numRef>
          </c:val>
        </c:ser>
        <c:ser>
          <c:idx val="1"/>
          <c:order val="1"/>
          <c:tx>
            <c:strRef>
              <c:f>Sheet1!$C$1</c:f>
              <c:strCache>
                <c:ptCount val="1"/>
                <c:pt idx="0">
                  <c:v>2023年度</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27530.85</c:v>
                </c:pt>
                <c:pt idx="1">
                  <c:v>27530.85</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406143146"/>
        <c:axId val="185996679"/>
      </c:barChart>
      <c:catAx>
        <c:axId val="4061431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true"/>
        <c:lblAlgn val="ctr"/>
        <c:lblOffset val="100"/>
        <c:noMultiLvlLbl val="false"/>
      </c:catAx>
      <c:valAx>
        <c:axId val="18599667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egendEntry>
        <c:idx val="2"/>
        <c:delete val="true"/>
      </c:legendEntry>
      <c:layout>
        <c:manualLayout>
          <c:xMode val="edge"/>
          <c:yMode val="edge"/>
          <c:x val="0.340762753838534"/>
          <c:y val="0.9295669114341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一般公共预算财政拨款支出决算变动情况</a:t>
            </a:r>
            <a:endParaRPr lang="zh-CN" altLang="en-US">
              <a:solidFill>
                <a:schemeClr val="bg2">
                  <a:lumMod val="10000"/>
                </a:schemeClr>
              </a:solidFill>
              <a:uFillTx/>
            </a:endParaRPr>
          </a:p>
        </c:rich>
      </c:tx>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2022年</c:v>
                </c:pt>
              </c:strCache>
            </c:strRef>
          </c:tx>
          <c:spPr>
            <a:gradFill>
              <a:gsLst>
                <a:gs pos="0">
                  <a:srgbClr val="012D86"/>
                </a:gs>
                <a:gs pos="100000">
                  <a:srgbClr val="0E2557"/>
                </a:gs>
              </a:gsLst>
              <a:lin ang="5400000" scaled="false"/>
            </a:gradFill>
            <a:ln>
              <a:noFill/>
            </a:ln>
            <a:effectLst/>
          </c:spPr>
          <c:invertIfNegative val="false"/>
          <c:dLbls>
            <c:delete val="true"/>
          </c:dLbls>
          <c:val>
            <c:numRef>
              <c:f>Sheet1!$B$2</c:f>
              <c:numCache>
                <c:formatCode>General</c:formatCode>
                <c:ptCount val="1"/>
                <c:pt idx="0">
                  <c:v>16505.35</c:v>
                </c:pt>
              </c:numCache>
            </c:numRef>
          </c:val>
        </c:ser>
        <c:ser>
          <c:idx val="1"/>
          <c:order val="1"/>
          <c:tx>
            <c:strRef>
              <c:f>Sheet1!$A$3</c:f>
              <c:strCache>
                <c:ptCount val="1"/>
                <c:pt idx="0">
                  <c:v>2023年</c:v>
                </c:pt>
              </c:strCache>
            </c:strRef>
          </c:tx>
          <c:spPr>
            <a:solidFill>
              <a:schemeClr val="accent2"/>
            </a:solidFill>
            <a:ln>
              <a:noFill/>
            </a:ln>
            <a:effectLst/>
          </c:spPr>
          <c:invertIfNegative val="false"/>
          <c:dLbls>
            <c:delete val="true"/>
          </c:dLbls>
          <c:val>
            <c:numRef>
              <c:f>Sheet1!$B$3</c:f>
              <c:numCache>
                <c:formatCode>General</c:formatCode>
                <c:ptCount val="1"/>
                <c:pt idx="0">
                  <c:v>27511.9</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75"/>
        <c:overlap val="-25"/>
        <c:axId val="954681512"/>
        <c:axId val="557350736"/>
      </c:barChart>
      <c:catAx>
        <c:axId val="9546815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true"/>
        <c:lblAlgn val="ctr"/>
        <c:lblOffset val="100"/>
        <c:noMultiLvlLbl val="false"/>
      </c:catAx>
      <c:valAx>
        <c:axId val="55735073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一般公共预算财政拨款支出决算结构</a:t>
            </a:r>
            <a:endParaRPr lang="zh-CN" altLang="en-US" sz="1400">
              <a:solidFill>
                <a:schemeClr val="tx1"/>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explosion val="24"/>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dPt>
          <c:dPt>
            <c:idx val="6"/>
            <c:bubble3D val="false"/>
          </c:dPt>
          <c:dPt>
            <c:idx val="7"/>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卫生健康支出</c:v>
                </c:pt>
                <c:pt idx="1">
                  <c:v>一般公共服务支出</c:v>
                </c:pt>
                <c:pt idx="2">
                  <c:v>社会保障和就业支出</c:v>
                </c:pt>
                <c:pt idx="3">
                  <c:v>农林水支出</c:v>
                </c:pt>
                <c:pt idx="4">
                  <c:v>交通运输支出</c:v>
                </c:pt>
                <c:pt idx="5">
                  <c:v>商业服务业等支出</c:v>
                </c:pt>
                <c:pt idx="6">
                  <c:v>住房保障支出</c:v>
                </c:pt>
                <c:pt idx="7">
                  <c:v>灾害防治及应急管理支出</c:v>
                </c:pt>
              </c:strCache>
            </c:strRef>
          </c:cat>
          <c:val>
            <c:numRef>
              <c:f>Sheet1!$B$2:$B$9</c:f>
              <c:numCache>
                <c:formatCode>General</c:formatCode>
                <c:ptCount val="8"/>
                <c:pt idx="0">
                  <c:v>71.29</c:v>
                </c:pt>
                <c:pt idx="1">
                  <c:v>67.71</c:v>
                </c:pt>
                <c:pt idx="2">
                  <c:v>435.95</c:v>
                </c:pt>
                <c:pt idx="3">
                  <c:v>1827.39</c:v>
                </c:pt>
                <c:pt idx="4">
                  <c:v>23502.54</c:v>
                </c:pt>
                <c:pt idx="5">
                  <c:v>1507.16</c:v>
                </c:pt>
                <c:pt idx="6">
                  <c:v>88.47</c:v>
                </c:pt>
                <c:pt idx="7">
                  <c:v>11.38</c:v>
                </c:pt>
              </c:numCache>
            </c:numRef>
          </c:val>
        </c:ser>
        <c:dLbls>
          <c:showLegendKey val="false"/>
          <c:showVal val="true"/>
          <c:showCatName val="false"/>
          <c:showSerName val="false"/>
          <c:showPercent val="false"/>
          <c:showBubbleSize val="false"/>
          <c:showLeaderLines val="true"/>
        </c:dLbls>
        <c:firstSliceAng val="43"/>
      </c:pieChart>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solidFill>
                <a:uFillTx/>
              </a:rPr>
              <a:t>三公经费结构图</a:t>
            </a:r>
            <a:endParaRPr lang="zh-CN" altLang="en-US">
              <a:solidFill>
                <a:schemeClr val="tx1"/>
              </a:solidFill>
              <a:uFillTx/>
            </a:endParaRPr>
          </a:p>
        </c:rich>
      </c:tx>
      <c:layout/>
      <c:overlay val="false"/>
      <c:spPr>
        <a:noFill/>
        <a:ln>
          <a:noFill/>
        </a:ln>
        <a:effectLst/>
      </c:spPr>
    </c:title>
    <c:autoTitleDeleted val="false"/>
    <c:plotArea>
      <c:layout>
        <c:manualLayout>
          <c:layoutTarget val="inner"/>
          <c:xMode val="edge"/>
          <c:yMode val="edge"/>
          <c:x val="0.082325"/>
          <c:y val="0.16015"/>
          <c:w val="0.8316"/>
          <c:h val="0.669533333333333"/>
        </c:manualLayout>
      </c:layout>
      <c:pieChart>
        <c:varyColors val="true"/>
        <c:ser>
          <c:idx val="0"/>
          <c:order val="0"/>
          <c:tx>
            <c:strRef>
              <c:f>Sheet1!$B$1</c:f>
              <c:strCache>
                <c:ptCount val="1"/>
                <c:pt idx="0">
                  <c:v>三公经费结构图</c:v>
                </c:pt>
              </c:strCache>
            </c:strRef>
          </c:tx>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Lbls>
            <c:dLbl>
              <c:idx val="0"/>
              <c:layout>
                <c:manualLayout>
                  <c:x val="-0.0306768611053863"/>
                  <c:y val="-0.332661363008178"/>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公务</a:t>
                    </a:r>
                    <a:r>
                      <a:rPr lang="zh-CN" altLang="en-US">
                        <a:solidFill>
                          <a:schemeClr val="tx1">
                            <a:lumMod val="50000"/>
                          </a:schemeClr>
                        </a:solidFill>
                        <a:uFillTx/>
                      </a:rPr>
                      <a:t>用车购置及运行维护</a:t>
                    </a:r>
                    <a:r>
                      <a:rPr lang="en-US" altLang="zh-CN">
                        <a:solidFill>
                          <a:schemeClr val="tx1">
                            <a:lumMod val="50000"/>
                          </a:schemeClr>
                        </a:solidFill>
                        <a:uFillTx/>
                      </a:rPr>
                      <a:t>2.92</a:t>
                    </a:r>
                    <a:r>
                      <a:rPr altLang="en-US">
                        <a:solidFill>
                          <a:schemeClr val="tx1">
                            <a:lumMod val="50000"/>
                          </a:schemeClr>
                        </a:solidFill>
                        <a:uFillTx/>
                      </a:rPr>
                      <a:t>万元</a:t>
                    </a:r>
                    <a:r>
                      <a:rPr lang="zh-CN" altLang="en-US">
                        <a:solidFill>
                          <a:schemeClr val="tx1">
                            <a:lumMod val="50000"/>
                          </a:schemeClr>
                        </a:solidFill>
                      </a:rPr>
                      <a:t>，</a:t>
                    </a:r>
                    <a:r>
                      <a:rPr lang="en-US" altLang="zh-CN">
                        <a:solidFill>
                          <a:schemeClr val="tx1">
                            <a:lumMod val="50000"/>
                          </a:schemeClr>
                        </a:solidFill>
                      </a:rPr>
                      <a:t>61.53%</a:t>
                    </a:r>
                    <a:endParaRPr lang="en-US" altLang="zh-CN">
                      <a:solidFill>
                        <a:schemeClr val="tx1">
                          <a:lumMod val="50000"/>
                        </a:schemeClr>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85142956074397"/>
                  <c:y val="-0.0923009950248756"/>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接待费 </a:t>
                    </a:r>
                    <a:r>
                      <a:rPr lang="en-US" altLang="zh-CN">
                        <a:solidFill>
                          <a:schemeClr val="tx1"/>
                        </a:solidFill>
                        <a:uFillTx/>
                      </a:rPr>
                      <a:t>1.82</a:t>
                    </a:r>
                    <a:r>
                      <a:rPr altLang="en-US">
                        <a:solidFill>
                          <a:schemeClr val="tx1"/>
                        </a:solidFill>
                        <a:uFillTx/>
                      </a:rPr>
                      <a:t>万元</a:t>
                    </a:r>
                    <a:r>
                      <a:rPr lang="en-US" altLang="zh-CN">
                        <a:solidFill>
                          <a:schemeClr val="tx1"/>
                        </a:solidFill>
                        <a:uFillTx/>
                      </a:rPr>
                      <a:t> </a:t>
                    </a:r>
                    <a:r>
                      <a:rPr lang="zh-CN" altLang="en-US">
                        <a:solidFill>
                          <a:schemeClr val="tx1"/>
                        </a:solidFill>
                        <a:uFillTx/>
                      </a:rPr>
                      <a:t>，</a:t>
                    </a:r>
                    <a:r>
                      <a:rPr lang="en-US" altLang="zh-CN">
                        <a:solidFill>
                          <a:schemeClr val="tx1"/>
                        </a:solidFill>
                        <a:uFillTx/>
                      </a:rPr>
                      <a:t>38.46%</a:t>
                    </a:r>
                    <a:endParaRPr lang="en-US" altLang="zh-CN">
                      <a:solidFill>
                        <a:schemeClr val="tx1"/>
                      </a:solidFill>
                      <a:uFillTx/>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12700" cmpd="sng">
                <a:solidFill>
                  <a:schemeClr val="accent1"/>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2.92</c:v>
                </c:pt>
                <c:pt idx="1">
                  <c:v>1.82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8085</Words>
  <Characters>8912</Characters>
  <Lines>41</Lines>
  <Paragraphs>11</Paragraphs>
  <TotalTime>0</TotalTime>
  <ScaleCrop>false</ScaleCrop>
  <LinksUpToDate>false</LinksUpToDate>
  <CharactersWithSpaces>9036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李颉妍</cp:lastModifiedBy>
  <cp:lastPrinted>2023-07-31T10:35:00Z</cp:lastPrinted>
  <dcterms:modified xsi:type="dcterms:W3CDTF">2024-09-18T10:17:32Z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DCD793BB96C14FC4A7E6EEE4A057F8AA</vt:lpwstr>
  </property>
</Properties>
</file>