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szCs w:val="21"/>
        </w:rPr>
      </w:pPr>
      <w:bookmarkStart w:id="0"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96475"/>
      <w:bookmarkStart w:id="3" w:name="_Toc6021"/>
      <w:bookmarkStart w:id="4" w:name="_Toc15378441"/>
      <w:bookmarkStart w:id="5" w:name="_Toc15396597"/>
      <w:bookmarkStart w:id="6"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7" w:name="_Toc21931"/>
      <w:bookmarkStart w:id="8" w:name="_Toc15396476"/>
      <w:bookmarkStart w:id="9" w:name="_Toc15396598"/>
      <w:bookmarkStart w:id="10" w:name="_Toc15378442"/>
      <w:bookmarkStart w:id="11" w:name="_Toc15377194"/>
      <w:bookmarkStart w:id="12" w:name="_Toc15377426"/>
      <w:r>
        <w:rPr>
          <w:rFonts w:hint="eastAsia" w:ascii="方正小标宋简体" w:hAnsi="方正小标宋简体" w:eastAsia="方正小标宋简体" w:cs="方正小标宋简体"/>
          <w:sz w:val="72"/>
          <w:szCs w:val="72"/>
        </w:rPr>
        <w:t>攀枝花市</w:t>
      </w:r>
      <w:bookmarkEnd w:id="0"/>
      <w:bookmarkStart w:id="13" w:name="_Toc15306268"/>
      <w:r>
        <w:rPr>
          <w:rFonts w:hint="eastAsia" w:ascii="方正小标宋简体" w:hAnsi="方正小标宋简体" w:eastAsia="方正小标宋简体" w:cs="方正小标宋简体"/>
          <w:sz w:val="72"/>
          <w:szCs w:val="72"/>
          <w:lang w:val="en-US" w:eastAsia="zh-CN"/>
        </w:rPr>
        <w:t>交通运输</w:t>
      </w:r>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5836"/>
      <w:r>
        <w:rPr>
          <w:rFonts w:hint="eastAsia" w:ascii="方正小标宋简体" w:hAnsi="方正小标宋简体" w:eastAsia="方正小标宋简体" w:cs="方正小标宋简体"/>
          <w:sz w:val="72"/>
          <w:szCs w:val="72"/>
          <w:lang w:val="en-US" w:eastAsia="zh-CN"/>
        </w:rPr>
        <w:t>服务中心</w:t>
      </w:r>
      <w:r>
        <w:rPr>
          <w:rFonts w:hint="eastAsia" w:ascii="方正小标宋简体" w:hAnsi="方正小标宋简体" w:eastAsia="方正小标宋简体" w:cs="方正小标宋简体"/>
          <w:sz w:val="72"/>
          <w:szCs w:val="72"/>
        </w:rPr>
        <w:t>单位决算</w:t>
      </w:r>
      <w:bookmarkEnd w:id="8"/>
      <w:bookmarkEnd w:id="9"/>
      <w:bookmarkEnd w:id="10"/>
      <w:bookmarkEnd w:id="11"/>
      <w:bookmarkEnd w:id="12"/>
      <w:bookmarkEnd w:id="13"/>
      <w:bookmarkEnd w:id="14"/>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0"/>
      </w:pPr>
      <w:r>
        <w:rPr>
          <w:rFonts w:hint="eastAsia"/>
        </w:rPr>
        <w:t>公开时间：2023年9月</w:t>
      </w:r>
      <w:r>
        <w:t>1</w:t>
      </w:r>
      <w:r>
        <w:rPr>
          <w:rFonts w:hint="eastAsia"/>
          <w:lang w:val="en-US" w:eastAsia="zh-CN"/>
        </w:rPr>
        <w:t>5</w:t>
      </w:r>
      <w:r>
        <w:rPr>
          <w:rFonts w:hint="eastAsia"/>
        </w:rPr>
        <w:t>日</w:t>
      </w:r>
    </w:p>
    <w:p/>
    <w:sdt>
      <w:sdtPr>
        <w:rPr>
          <w:rFonts w:hint="eastAsia" w:ascii="仿宋_GB2312" w:hAnsi="仿宋_GB2312" w:eastAsia="仿宋_GB2312" w:cs="仿宋_GB2312"/>
          <w:kern w:val="2"/>
          <w:sz w:val="21"/>
          <w:szCs w:val="24"/>
          <w:lang w:val="en-US" w:eastAsia="zh-CN" w:bidi="ar-SA"/>
        </w:rPr>
        <w:id w:val="147471907"/>
        <w15:color w:val="DBDBDB"/>
        <w:docPartObj>
          <w:docPartGallery w:val="Table of Contents"/>
          <w:docPartUnique/>
        </w:docPartObj>
      </w:sdtPr>
      <w:sdtEndPr>
        <w:rPr>
          <w:rFonts w:hint="eastAsia" w:ascii="仿宋_GB2312" w:hAnsi="仿宋_GB2312" w:eastAsia="仿宋_GB2312" w:cs="仿宋_GB2312"/>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TOC \o "1-3" \h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_Toc6021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_Toc21793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第一部分 单位</w:t>
          </w:r>
          <w:r>
            <w:rPr>
              <w:rFonts w:hint="eastAsia" w:ascii="仿宋_GB2312" w:hAnsi="仿宋_GB2312" w:eastAsia="仿宋_GB2312" w:cs="仿宋_GB2312"/>
              <w:bCs w:val="0"/>
              <w:sz w:val="28"/>
              <w:szCs w:val="28"/>
            </w:rPr>
            <w:t>概况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_Toc21793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_Toc30632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sz w:val="28"/>
              <w:szCs w:val="28"/>
            </w:rPr>
            <w:t>一、 主要职责</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_Toc30632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_Toc16927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二、机构设置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_Toc16927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_Toc4957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第二部分 2022年度</w:t>
          </w:r>
          <w:r>
            <w:rPr>
              <w:rFonts w:hint="eastAsia" w:ascii="仿宋_GB2312" w:hAnsi="仿宋_GB2312" w:eastAsia="仿宋_GB2312" w:cs="仿宋_GB2312"/>
              <w:bCs/>
              <w:sz w:val="28"/>
              <w:szCs w:val="28"/>
            </w:rPr>
            <w:t>单位决算情况说明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_Toc4957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_Toc7563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 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_Toc7563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_Toc6202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 收入决算情况说明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_Toc6202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_Toc25527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 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_Toc25527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_Toc30999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_Toc30999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_Toc4637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_Toc4637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_Toc14727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（一）一般公共预算财政拨款支出决算总体情况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_Toc14727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_Toc12806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（二）一般公共预算财政拨款支出决算结构情况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_Toc12806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_Toc27076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（三）一般公共预算财政拨款支出决算具体情况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_Toc27076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_Toc22156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_Toc22156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_Toc11551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七、财政拨款“三公”经费支出决算情况说明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_Toc11551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_Toc2004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（一）“三公”经费财政拨款支出决算总体情况说明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_Toc2004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_Toc31964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（二）“三公”经费财政拨款支出决算具体情况说明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_Toc31964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_Toc27901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_Toc27901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_Toc21216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九、 国有资本经营预算支出决算情况说明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_Toc21216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_Toc21137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十、 其他重要事项的情况说明</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_Toc21137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（一）机关运行经费支出情况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_Toc735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_Toc22912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（二）政府采购支出情况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_Toc22912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_Toc32237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（三）国有资产占有使用情况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_Toc32237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2"/>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_Toc15082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（四）预算绩效管理情况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_Toc15082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_Toc23450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第三部分 名词解释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_Toc23450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_Toc12099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第四部分 附件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_Toc12099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0"/>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_Toc7435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第五部分 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_Toc7435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_Toc15258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一、收入支出决算总表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_Toc15258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_Toc423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二、收入决算表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_Toc423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_Toc32262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三、支出决算表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_Toc32262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_Toc16971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四、财政拨款收入支出决算总表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_Toc16971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_Toc6787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五、财政拨款支出决算明细表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_Toc6787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_Toc28467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六、一般公共预算财政拨款支出决算表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_Toc28467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_Toc13262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七、一般公共预算财政拨款支出决算明细表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_Toc13262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_Toc19946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八、一般公共预算财政拨款基本支出决算表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_Toc19946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_Toc30717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九、一般公共预算财政拨款项目支出决算表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_Toc30717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_Toc16387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十、政府性基金预算财政拨款收入支出决算表（此表无数据）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_Toc16387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_Toc18142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十一、国有资本经营预算财政拨款收入支出决算表（此表无数据）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_Toc18142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_Toc16501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十二、国有资本经营预算财政拨款支出决算表（此表无数据）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_Toc16501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31"/>
            <w:tabs>
              <w:tab w:val="right" w:leader="dot" w:pos="8306"/>
            </w:tabs>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_Toc26734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bCs w:val="0"/>
              <w:kern w:val="2"/>
              <w:sz w:val="28"/>
              <w:szCs w:val="28"/>
              <w:lang w:val="en-US" w:eastAsia="zh-CN" w:bidi="ar-SA"/>
            </w:rPr>
            <w:t>十三、财政拨款“三公”经费支出决算表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_Toc26734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end"/>
          </w:r>
        </w:p>
      </w:sdtContent>
    </w:sdt>
    <w:p>
      <w:pPr>
        <w:widowControl/>
        <w:spacing w:line="440" w:lineRule="exact"/>
        <w:jc w:val="left"/>
        <w:rPr>
          <w:rFonts w:hint="eastAsia" w:ascii="仿宋_GB2312" w:hAnsi="仿宋_GB2312" w:eastAsia="仿宋_GB2312" w:cs="仿宋_GB2312"/>
          <w:bCs/>
          <w:kern w:val="44"/>
          <w:sz w:val="28"/>
          <w:szCs w:val="28"/>
        </w:rPr>
      </w:pPr>
      <w:bookmarkStart w:id="15" w:name="_Toc15377196"/>
      <w:bookmarkStart w:id="16" w:name="_Toc15396599"/>
      <w:r>
        <w:rPr>
          <w:rFonts w:hint="eastAsia" w:ascii="仿宋_GB2312" w:hAnsi="仿宋_GB2312" w:eastAsia="仿宋_GB2312" w:cs="仿宋_GB2312"/>
          <w:b/>
          <w:sz w:val="28"/>
          <w:szCs w:val="28"/>
        </w:rPr>
        <w:br w:type="page"/>
      </w:r>
    </w:p>
    <w:p>
      <w:pPr>
        <w:pStyle w:val="3"/>
        <w:jc w:val="center"/>
        <w:rPr>
          <w:rStyle w:val="24"/>
          <w:rFonts w:ascii="黑体" w:hAnsi="黑体" w:eastAsia="黑体"/>
          <w:b/>
          <w:bCs w:val="0"/>
        </w:rPr>
      </w:pPr>
      <w:bookmarkStart w:id="17" w:name="_Toc21793"/>
      <w:r>
        <w:rPr>
          <w:rFonts w:hint="eastAsia" w:ascii="黑体" w:hAnsi="黑体" w:eastAsia="黑体"/>
          <w:b w:val="0"/>
        </w:rPr>
        <w:t>第一部分 单位</w:t>
      </w:r>
      <w:r>
        <w:rPr>
          <w:rStyle w:val="24"/>
          <w:rFonts w:hint="eastAsia" w:ascii="黑体" w:hAnsi="黑体" w:eastAsia="黑体"/>
          <w:b w:val="0"/>
          <w:bCs w:val="0"/>
        </w:rPr>
        <w:t>概况</w:t>
      </w:r>
      <w:bookmarkEnd w:id="15"/>
      <w:bookmarkEnd w:id="16"/>
      <w:bookmarkEnd w:id="17"/>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8" w:name="_Toc30632"/>
      <w:bookmarkStart w:id="19" w:name="_Toc15396600"/>
      <w:bookmarkStart w:id="20" w:name="_Toc15377197"/>
      <w:r>
        <w:rPr>
          <w:rStyle w:val="25"/>
          <w:rFonts w:hint="eastAsia" w:ascii="黑体" w:hAnsi="黑体" w:eastAsia="黑体"/>
          <w:b w:val="0"/>
          <w:bCs w:val="0"/>
        </w:rPr>
        <w:t>主要职责</w:t>
      </w:r>
      <w:bookmarkEnd w:id="18"/>
    </w:p>
    <w:p>
      <w:pPr>
        <w:ind w:firstLine="640" w:firstLineChars="200"/>
        <w:rPr>
          <w:rFonts w:hint="eastAsia" w:ascii="Times New Roman" w:hAnsi="Times New Roman" w:eastAsia="仿宋_GB2312" w:cs="Times New Roman"/>
          <w:color w:val="000000"/>
          <w:sz w:val="32"/>
          <w:szCs w:val="32"/>
          <w:lang w:val="zh-CN" w:eastAsia="zh-CN"/>
        </w:rPr>
      </w:pPr>
      <w:bookmarkStart w:id="21" w:name="_Toc3955"/>
      <w:r>
        <w:rPr>
          <w:rFonts w:hint="eastAsia" w:ascii="Times New Roman" w:hAnsi="Times New Roman" w:eastAsia="仿宋_GB2312" w:cs="Times New Roman"/>
          <w:color w:val="000000"/>
          <w:sz w:val="32"/>
          <w:szCs w:val="32"/>
          <w:lang w:val="zh-CN" w:eastAsia="zh-CN"/>
        </w:rPr>
        <w:t>负责道路旅客运输、货物运输、站场运营、机动车维修与综合性能检测、机动车驾驶员培训、城市公共交通、出租汽车、汽车租赁等行业发展的事务性工作，承担道路运输管理的行政辅助工作和行业统计工作。</w:t>
      </w:r>
      <w:bookmarkEnd w:id="21"/>
    </w:p>
    <w:p>
      <w:pPr>
        <w:pStyle w:val="4"/>
        <w:numPr>
          <w:ilvl w:val="0"/>
          <w:numId w:val="1"/>
        </w:numPr>
        <w:ind w:left="0" w:leftChars="0" w:firstLine="0" w:firstLineChars="0"/>
        <w:rPr>
          <w:rFonts w:hint="eastAsia" w:ascii="黑体" w:hAnsi="黑体" w:eastAsia="黑体"/>
          <w:b w:val="0"/>
        </w:rPr>
      </w:pPr>
      <w:bookmarkStart w:id="22" w:name="_Toc16927"/>
      <w:r>
        <w:rPr>
          <w:rFonts w:hint="eastAsia" w:ascii="黑体" w:hAnsi="黑体" w:eastAsia="黑体"/>
          <w:b w:val="0"/>
        </w:rPr>
        <w:t>机构设置</w:t>
      </w:r>
      <w:bookmarkEnd w:id="22"/>
    </w:p>
    <w:p>
      <w:pPr>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zh-CN" w:eastAsia="zh-CN"/>
        </w:rPr>
        <w:t>根据上述职能职责，</w:t>
      </w:r>
      <w:r>
        <w:rPr>
          <w:rFonts w:hint="eastAsia" w:ascii="Times New Roman" w:hAnsi="Times New Roman" w:eastAsia="仿宋_GB2312" w:cs="Times New Roman"/>
          <w:color w:val="000000"/>
          <w:sz w:val="32"/>
          <w:szCs w:val="32"/>
          <w:lang w:val="en-US" w:eastAsia="zh-CN"/>
        </w:rPr>
        <w:t>交通运输服务</w:t>
      </w:r>
      <w:r>
        <w:rPr>
          <w:rFonts w:hint="eastAsia" w:ascii="Times New Roman" w:hAnsi="Times New Roman" w:eastAsia="仿宋_GB2312" w:cs="Times New Roman"/>
          <w:color w:val="000000"/>
          <w:sz w:val="32"/>
          <w:szCs w:val="32"/>
          <w:lang w:val="zh-CN" w:eastAsia="zh-CN"/>
        </w:rPr>
        <w:t>中心设</w:t>
      </w:r>
      <w:r>
        <w:rPr>
          <w:rFonts w:hint="eastAsia" w:ascii="Times New Roman" w:hAnsi="Times New Roman" w:eastAsia="仿宋_GB2312" w:cs="Times New Roman"/>
          <w:color w:val="000000"/>
          <w:sz w:val="32"/>
          <w:szCs w:val="32"/>
          <w:lang w:val="en-US" w:eastAsia="zh-CN"/>
        </w:rPr>
        <w:t>9</w:t>
      </w:r>
      <w:r>
        <w:rPr>
          <w:rFonts w:hint="eastAsia" w:ascii="Times New Roman" w:hAnsi="Times New Roman" w:eastAsia="仿宋_GB2312" w:cs="Times New Roman"/>
          <w:color w:val="000000"/>
          <w:sz w:val="32"/>
          <w:szCs w:val="32"/>
          <w:lang w:val="zh-CN" w:eastAsia="zh-CN"/>
        </w:rPr>
        <w:t>个内设机构。</w:t>
      </w:r>
      <w:r>
        <w:rPr>
          <w:rFonts w:hint="eastAsia" w:ascii="Times New Roman" w:hAnsi="Times New Roman" w:eastAsia="仿宋_GB2312" w:cs="Times New Roman"/>
          <w:color w:val="000000"/>
          <w:sz w:val="32"/>
          <w:szCs w:val="32"/>
          <w:lang w:val="en-US" w:eastAsia="zh-CN"/>
        </w:rPr>
        <w:t>包括</w:t>
      </w:r>
      <w:r>
        <w:rPr>
          <w:rFonts w:hint="eastAsia" w:ascii="Times New Roman" w:hAnsi="Times New Roman" w:eastAsia="仿宋_GB2312" w:cs="Times New Roman"/>
          <w:color w:val="000000"/>
          <w:sz w:val="32"/>
          <w:szCs w:val="32"/>
          <w:lang w:val="zh-CN" w:eastAsia="zh-CN"/>
        </w:rPr>
        <w:t>综合科、</w:t>
      </w:r>
      <w:r>
        <w:rPr>
          <w:rFonts w:hint="eastAsia" w:ascii="Times New Roman" w:hAnsi="Times New Roman" w:eastAsia="仿宋_GB2312" w:cs="Times New Roman"/>
          <w:color w:val="000000"/>
          <w:sz w:val="32"/>
          <w:szCs w:val="32"/>
          <w:lang w:val="en-US" w:eastAsia="zh-CN"/>
        </w:rPr>
        <w:t>财务统计科、道路客运科、道路货运科、城市客运科、安全法规科、从业人员培训科、车辆技术维修科、公共服务科。</w:t>
      </w:r>
    </w:p>
    <w:p>
      <w:pPr>
        <w:numPr>
          <w:ilvl w:val="0"/>
          <w:numId w:val="0"/>
        </w:numPr>
        <w:ind w:leftChars="0"/>
      </w:pPr>
    </w:p>
    <w:bookmarkEnd w:id="19"/>
    <w:bookmarkEnd w:id="20"/>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23" w:name="_Toc15396602"/>
      <w:bookmarkStart w:id="24" w:name="_Toc4957"/>
      <w:bookmarkStart w:id="25"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23"/>
      <w:bookmarkEnd w:id="24"/>
      <w:bookmarkEnd w:id="25"/>
    </w:p>
    <w:p/>
    <w:p>
      <w:pPr>
        <w:pStyle w:val="23"/>
        <w:numPr>
          <w:ilvl w:val="0"/>
          <w:numId w:val="2"/>
        </w:numPr>
        <w:spacing w:line="600" w:lineRule="exact"/>
        <w:ind w:firstLineChars="0"/>
        <w:outlineLvl w:val="1"/>
        <w:rPr>
          <w:rStyle w:val="25"/>
          <w:rFonts w:ascii="黑体" w:hAnsi="黑体" w:eastAsia="黑体"/>
          <w:b w:val="0"/>
        </w:rPr>
      </w:pPr>
      <w:bookmarkStart w:id="26" w:name="_Toc15377205"/>
      <w:bookmarkStart w:id="27" w:name="_Toc15396603"/>
      <w:bookmarkStart w:id="28" w:name="_Toc7563"/>
      <w:r>
        <w:rPr>
          <w:rFonts w:hint="eastAsia" w:ascii="黑体" w:hAnsi="黑体" w:eastAsia="黑体"/>
          <w:sz w:val="32"/>
          <w:szCs w:val="32"/>
        </w:rPr>
        <w:t>收</w:t>
      </w:r>
      <w:r>
        <w:rPr>
          <w:rStyle w:val="25"/>
          <w:rFonts w:hint="eastAsia" w:ascii="黑体" w:hAnsi="黑体" w:eastAsia="黑体"/>
          <w:b w:val="0"/>
        </w:rPr>
        <w:t>入支出决算总体情况说明</w:t>
      </w:r>
      <w:bookmarkEnd w:id="26"/>
      <w:bookmarkEnd w:id="27"/>
      <w:bookmarkEnd w:id="28"/>
    </w:p>
    <w:p>
      <w:pPr>
        <w:ind w:firstLine="640" w:firstLineChars="200"/>
        <w:rPr>
          <w:rFonts w:hint="eastAsia" w:eastAsia="仿宋_GB2312"/>
          <w:color w:val="000000"/>
          <w:sz w:val="32"/>
          <w:szCs w:val="32"/>
        </w:rPr>
      </w:pPr>
      <w:r>
        <w:rPr>
          <w:rFonts w:hint="eastAsia" w:eastAsia="仿宋_GB2312"/>
          <w:color w:val="000000"/>
          <w:sz w:val="32"/>
          <w:szCs w:val="32"/>
        </w:rPr>
        <w:t>2022年度收、</w:t>
      </w:r>
      <w:r>
        <w:rPr>
          <w:rFonts w:hint="eastAsia" w:eastAsia="仿宋_GB2312"/>
          <w:color w:val="000000"/>
          <w:sz w:val="32"/>
          <w:szCs w:val="32"/>
          <w:lang w:val="en-US" w:eastAsia="zh-CN"/>
        </w:rPr>
        <w:t>支总计2900.98</w:t>
      </w:r>
      <w:r>
        <w:rPr>
          <w:rFonts w:hint="eastAsia" w:eastAsia="仿宋_GB2312"/>
          <w:color w:val="000000"/>
          <w:sz w:val="32"/>
          <w:szCs w:val="32"/>
        </w:rPr>
        <w:t>万元。与2021年相比，收</w:t>
      </w:r>
      <w:r>
        <w:rPr>
          <w:rFonts w:hint="eastAsia" w:eastAsia="仿宋_GB2312"/>
          <w:color w:val="000000"/>
          <w:sz w:val="32"/>
          <w:szCs w:val="32"/>
          <w:lang w:val="en-US" w:eastAsia="zh-CN"/>
        </w:rPr>
        <w:t>入增加1785.74万元，增长61.6%；</w:t>
      </w:r>
      <w:r>
        <w:rPr>
          <w:rFonts w:hint="eastAsia" w:eastAsia="仿宋_GB2312"/>
          <w:color w:val="000000"/>
          <w:sz w:val="32"/>
          <w:szCs w:val="32"/>
        </w:rPr>
        <w:t>支</w:t>
      </w:r>
      <w:r>
        <w:rPr>
          <w:rFonts w:hint="eastAsia" w:eastAsia="仿宋_GB2312"/>
          <w:color w:val="000000"/>
          <w:sz w:val="32"/>
          <w:szCs w:val="32"/>
          <w:lang w:val="en-US" w:eastAsia="zh-CN"/>
        </w:rPr>
        <w:t>出</w:t>
      </w:r>
      <w:r>
        <w:rPr>
          <w:rFonts w:hint="eastAsia" w:eastAsia="仿宋_GB2312"/>
          <w:color w:val="000000"/>
          <w:sz w:val="32"/>
          <w:szCs w:val="32"/>
        </w:rPr>
        <w:t>增加</w:t>
      </w:r>
      <w:r>
        <w:rPr>
          <w:rFonts w:hint="eastAsia" w:eastAsia="仿宋_GB2312"/>
          <w:color w:val="000000"/>
          <w:sz w:val="32"/>
          <w:szCs w:val="32"/>
          <w:lang w:val="en-US" w:eastAsia="zh-CN"/>
        </w:rPr>
        <w:t>1785.74</w:t>
      </w:r>
      <w:r>
        <w:rPr>
          <w:rFonts w:hint="eastAsia" w:eastAsia="仿宋_GB2312"/>
          <w:color w:val="000000"/>
          <w:sz w:val="32"/>
          <w:szCs w:val="32"/>
        </w:rPr>
        <w:t>万元，增长</w:t>
      </w:r>
      <w:r>
        <w:rPr>
          <w:rFonts w:hint="eastAsia" w:eastAsia="仿宋_GB2312"/>
          <w:color w:val="000000"/>
          <w:sz w:val="32"/>
          <w:szCs w:val="32"/>
          <w:lang w:val="en-US" w:eastAsia="zh-CN"/>
        </w:rPr>
        <w:t>61.6</w:t>
      </w:r>
      <w:r>
        <w:rPr>
          <w:rFonts w:hint="eastAsia" w:eastAsia="仿宋_GB2312"/>
          <w:color w:val="000000"/>
          <w:sz w:val="32"/>
          <w:szCs w:val="32"/>
        </w:rPr>
        <w:t>%。主要变动原因是</w:t>
      </w:r>
      <w:r>
        <w:rPr>
          <w:rFonts w:hint="eastAsia" w:eastAsia="仿宋_GB2312"/>
          <w:color w:val="000000"/>
          <w:sz w:val="32"/>
          <w:szCs w:val="32"/>
          <w:lang w:val="en-US" w:eastAsia="zh-CN"/>
        </w:rPr>
        <w:t>2021年增加了2314.9万元的油补资金</w:t>
      </w:r>
      <w:r>
        <w:rPr>
          <w:rFonts w:hint="eastAsia" w:eastAsia="仿宋_GB2312"/>
          <w:color w:val="000000"/>
          <w:sz w:val="32"/>
          <w:szCs w:val="32"/>
        </w:rPr>
        <w:t>。</w:t>
      </w:r>
    </w:p>
    <w:p>
      <w:pPr>
        <w:ind w:firstLine="640" w:firstLineChars="200"/>
        <w:rPr>
          <w:rFonts w:hint="eastAsia" w:eastAsia="仿宋_GB2312"/>
          <w:color w:val="000000"/>
          <w:sz w:val="32"/>
          <w:szCs w:val="32"/>
        </w:rPr>
      </w:pPr>
      <w:r>
        <w:rPr>
          <w:rFonts w:hint="eastAsia" w:eastAsia="仿宋_GB2312"/>
          <w:color w:val="000000"/>
          <w:sz w:val="32"/>
          <w:szCs w:val="32"/>
        </w:rPr>
        <w:t>（图1：收、支决算总计变动情况图）</w:t>
      </w:r>
    </w:p>
    <w:p>
      <w:pPr>
        <w:spacing w:line="600" w:lineRule="exact"/>
        <w:ind w:firstLine="640" w:firstLineChars="200"/>
        <w:jc w:val="left"/>
        <w:rPr>
          <w:rFonts w:ascii="仿宋_GB2312" w:eastAsia="仿宋_GB2312"/>
          <w:sz w:val="32"/>
          <w:szCs w:val="32"/>
        </w:rPr>
      </w:pPr>
    </w:p>
    <w:p>
      <w:pPr>
        <w:pStyle w:val="2"/>
        <w:rPr>
          <w:rFonts w:ascii="仿宋_GB2312" w:eastAsia="仿宋_GB2312"/>
          <w:sz w:val="32"/>
          <w:szCs w:val="32"/>
        </w:rPr>
      </w:pPr>
      <w:r>
        <w:rPr>
          <w:rFonts w:hint="eastAsia" w:ascii="仿宋_GB2312" w:hAnsi="仿宋_GB2312" w:eastAsia="仿宋_GB2312" w:cs="仿宋_GB2312"/>
          <w:sz w:val="32"/>
          <w:szCs w:val="32"/>
        </w:rPr>
        <w:drawing>
          <wp:inline distT="0" distB="0" distL="114300" distR="114300">
            <wp:extent cx="5546725" cy="3295015"/>
            <wp:effectExtent l="4445" t="4445" r="11430" b="1524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29" w:name="_Toc6202"/>
      <w:bookmarkStart w:id="30" w:name="_Toc15396604"/>
      <w:bookmarkStart w:id="31" w:name="_Toc15377206"/>
      <w:r>
        <w:rPr>
          <w:rFonts w:hint="eastAsia" w:ascii="黑体" w:hAnsi="黑体" w:eastAsia="黑体"/>
          <w:sz w:val="32"/>
          <w:szCs w:val="32"/>
        </w:rPr>
        <w:t>收</w:t>
      </w:r>
      <w:r>
        <w:rPr>
          <w:rStyle w:val="25"/>
          <w:rFonts w:hint="eastAsia" w:ascii="黑体" w:hAnsi="黑体" w:eastAsia="黑体"/>
          <w:b w:val="0"/>
        </w:rPr>
        <w:t>入决算情况说明</w:t>
      </w:r>
      <w:bookmarkEnd w:id="29"/>
      <w:bookmarkEnd w:id="30"/>
      <w:bookmarkEnd w:id="31"/>
    </w:p>
    <w:p>
      <w:pPr>
        <w:ind w:firstLine="640" w:firstLineChars="200"/>
        <w:rPr>
          <w:rFonts w:hint="eastAsia" w:eastAsia="仿宋_GB2312"/>
          <w:color w:val="000000"/>
          <w:sz w:val="32"/>
          <w:szCs w:val="32"/>
        </w:rPr>
      </w:pPr>
      <w:r>
        <w:rPr>
          <w:rFonts w:hint="eastAsia" w:eastAsia="仿宋_GB2312"/>
          <w:color w:val="000000"/>
          <w:sz w:val="32"/>
          <w:szCs w:val="32"/>
        </w:rPr>
        <w:t>2022年本年收入合计</w:t>
      </w:r>
      <w:r>
        <w:rPr>
          <w:rFonts w:hint="eastAsia" w:eastAsia="仿宋_GB2312"/>
          <w:color w:val="000000"/>
          <w:sz w:val="32"/>
          <w:szCs w:val="32"/>
          <w:lang w:val="en-US" w:eastAsia="zh-CN"/>
        </w:rPr>
        <w:t>2900.98</w:t>
      </w:r>
      <w:r>
        <w:rPr>
          <w:rFonts w:hint="eastAsia" w:eastAsia="仿宋_GB2312"/>
          <w:color w:val="000000"/>
          <w:sz w:val="32"/>
          <w:szCs w:val="32"/>
        </w:rPr>
        <w:t>万元，其中：一般公共预算财政拨款收入</w:t>
      </w:r>
      <w:r>
        <w:rPr>
          <w:rFonts w:hint="eastAsia" w:eastAsia="仿宋_GB2312"/>
          <w:color w:val="000000"/>
          <w:sz w:val="32"/>
          <w:szCs w:val="32"/>
          <w:lang w:val="en-US" w:eastAsia="zh-CN"/>
        </w:rPr>
        <w:t>2888.69</w:t>
      </w:r>
      <w:r>
        <w:rPr>
          <w:rFonts w:hint="eastAsia" w:eastAsia="仿宋_GB2312"/>
          <w:color w:val="000000"/>
          <w:sz w:val="32"/>
          <w:szCs w:val="32"/>
        </w:rPr>
        <w:t>万元，占</w:t>
      </w:r>
      <w:r>
        <w:rPr>
          <w:rFonts w:hint="eastAsia" w:eastAsia="仿宋_GB2312"/>
          <w:color w:val="000000"/>
          <w:sz w:val="32"/>
          <w:szCs w:val="32"/>
          <w:lang w:val="en-US" w:eastAsia="zh-CN"/>
        </w:rPr>
        <w:t>99.6</w:t>
      </w:r>
      <w:r>
        <w:rPr>
          <w:rFonts w:hint="eastAsia" w:eastAsia="仿宋_GB2312"/>
          <w:color w:val="000000"/>
          <w:sz w:val="32"/>
          <w:szCs w:val="32"/>
        </w:rPr>
        <w:t>%；</w:t>
      </w:r>
      <w:r>
        <w:rPr>
          <w:rFonts w:hint="eastAsia" w:eastAsia="仿宋_GB2312"/>
          <w:color w:val="000000"/>
          <w:sz w:val="32"/>
          <w:szCs w:val="32"/>
          <w:lang w:val="en-US" w:eastAsia="zh-CN"/>
        </w:rPr>
        <w:t>年初结转和结余12.29</w:t>
      </w:r>
      <w:r>
        <w:rPr>
          <w:rFonts w:hint="eastAsia" w:eastAsia="仿宋_GB2312"/>
          <w:color w:val="000000"/>
          <w:sz w:val="32"/>
          <w:szCs w:val="32"/>
        </w:rPr>
        <w:t>万元，占</w:t>
      </w:r>
      <w:r>
        <w:rPr>
          <w:rFonts w:hint="eastAsia" w:eastAsia="仿宋_GB2312"/>
          <w:color w:val="000000"/>
          <w:sz w:val="32"/>
          <w:szCs w:val="32"/>
          <w:lang w:val="en-US" w:eastAsia="zh-CN"/>
        </w:rPr>
        <w:t>0.4</w:t>
      </w:r>
      <w:r>
        <w:rPr>
          <w:rFonts w:hint="eastAsia" w:eastAsia="仿宋_GB2312"/>
          <w:color w:val="000000"/>
          <w:sz w:val="32"/>
          <w:szCs w:val="32"/>
        </w:rPr>
        <w:t>%。</w:t>
      </w:r>
    </w:p>
    <w:p>
      <w:pPr>
        <w:ind w:firstLine="640" w:firstLineChars="200"/>
        <w:rPr>
          <w:rFonts w:hint="eastAsia" w:eastAsia="仿宋_GB2312"/>
          <w:color w:val="000000"/>
          <w:sz w:val="32"/>
          <w:szCs w:val="32"/>
        </w:rPr>
      </w:pPr>
      <w:r>
        <w:rPr>
          <w:rFonts w:hint="eastAsia" w:eastAsia="仿宋_GB2312"/>
          <w:color w:val="000000"/>
          <w:sz w:val="32"/>
          <w:szCs w:val="32"/>
        </w:rPr>
        <w:t>（图2：收入决算结构图）</w:t>
      </w:r>
    </w:p>
    <w:p>
      <w:pPr>
        <w:pStyle w:val="2"/>
        <w:rPr>
          <w:rFonts w:hint="eastAsia"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5431790" cy="2545080"/>
            <wp:effectExtent l="4445" t="4445" r="12065" b="222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_GB2312" w:eastAsia="仿宋_GB2312"/>
          <w:sz w:val="32"/>
          <w:szCs w:val="32"/>
        </w:rPr>
      </w:pPr>
    </w:p>
    <w:p>
      <w:pPr>
        <w:pStyle w:val="23"/>
        <w:numPr>
          <w:ilvl w:val="0"/>
          <w:numId w:val="2"/>
        </w:numPr>
        <w:spacing w:line="600" w:lineRule="exact"/>
        <w:ind w:firstLineChars="0"/>
        <w:outlineLvl w:val="1"/>
        <w:rPr>
          <w:rStyle w:val="25"/>
          <w:rFonts w:ascii="黑体" w:hAnsi="黑体" w:eastAsia="黑体"/>
          <w:b w:val="0"/>
        </w:rPr>
      </w:pPr>
      <w:bookmarkStart w:id="32" w:name="_Toc25527"/>
      <w:bookmarkStart w:id="33" w:name="_Toc15396605"/>
      <w:bookmarkStart w:id="34" w:name="_Toc15377207"/>
      <w:r>
        <w:rPr>
          <w:rFonts w:hint="eastAsia" w:ascii="黑体" w:hAnsi="黑体" w:eastAsia="黑体"/>
          <w:sz w:val="32"/>
          <w:szCs w:val="32"/>
        </w:rPr>
        <w:t>支</w:t>
      </w:r>
      <w:r>
        <w:rPr>
          <w:rStyle w:val="25"/>
          <w:rFonts w:hint="eastAsia" w:ascii="黑体" w:hAnsi="黑体" w:eastAsia="黑体"/>
          <w:b w:val="0"/>
        </w:rPr>
        <w:t>出决算情况说明</w:t>
      </w:r>
      <w:bookmarkEnd w:id="32"/>
      <w:bookmarkEnd w:id="33"/>
      <w:bookmarkEnd w:id="34"/>
    </w:p>
    <w:p>
      <w:pPr>
        <w:ind w:firstLine="640" w:firstLineChars="200"/>
        <w:rPr>
          <w:rFonts w:hint="eastAsia" w:eastAsia="仿宋_GB2312"/>
          <w:color w:val="000000"/>
          <w:sz w:val="32"/>
          <w:szCs w:val="32"/>
        </w:rPr>
      </w:pPr>
      <w:r>
        <w:rPr>
          <w:rFonts w:hint="eastAsia" w:eastAsia="仿宋_GB2312"/>
          <w:color w:val="000000"/>
          <w:sz w:val="32"/>
          <w:szCs w:val="32"/>
        </w:rPr>
        <w:t>2022年本年支出合计</w:t>
      </w:r>
      <w:r>
        <w:rPr>
          <w:rFonts w:hint="eastAsia" w:eastAsia="仿宋_GB2312"/>
          <w:color w:val="000000"/>
          <w:sz w:val="32"/>
          <w:szCs w:val="32"/>
          <w:lang w:val="en-US" w:eastAsia="zh-CN"/>
        </w:rPr>
        <w:t>2900.98</w:t>
      </w:r>
      <w:r>
        <w:rPr>
          <w:rFonts w:hint="eastAsia" w:eastAsia="仿宋_GB2312"/>
          <w:color w:val="000000"/>
          <w:sz w:val="32"/>
          <w:szCs w:val="32"/>
        </w:rPr>
        <w:t>万元，其中：基本支出</w:t>
      </w:r>
      <w:r>
        <w:rPr>
          <w:rFonts w:hint="eastAsia" w:eastAsia="仿宋_GB2312"/>
          <w:color w:val="000000"/>
          <w:sz w:val="32"/>
          <w:szCs w:val="32"/>
          <w:lang w:val="en-US" w:eastAsia="zh-CN"/>
        </w:rPr>
        <w:t>585.1567</w:t>
      </w:r>
      <w:r>
        <w:rPr>
          <w:rFonts w:hint="eastAsia" w:eastAsia="仿宋_GB2312"/>
          <w:color w:val="000000"/>
          <w:sz w:val="32"/>
          <w:szCs w:val="32"/>
        </w:rPr>
        <w:t>万元，占</w:t>
      </w:r>
      <w:r>
        <w:rPr>
          <w:rFonts w:hint="eastAsia" w:eastAsia="仿宋_GB2312"/>
          <w:color w:val="000000"/>
          <w:sz w:val="32"/>
          <w:szCs w:val="32"/>
          <w:lang w:val="en-US" w:eastAsia="zh-CN"/>
        </w:rPr>
        <w:t>20.2</w:t>
      </w:r>
      <w:r>
        <w:rPr>
          <w:rFonts w:hint="eastAsia" w:eastAsia="仿宋_GB2312"/>
          <w:color w:val="000000"/>
          <w:sz w:val="32"/>
          <w:szCs w:val="32"/>
        </w:rPr>
        <w:t>%；项目支出</w:t>
      </w:r>
      <w:r>
        <w:rPr>
          <w:rFonts w:hint="eastAsia" w:eastAsia="仿宋_GB2312"/>
          <w:color w:val="000000"/>
          <w:sz w:val="32"/>
          <w:szCs w:val="32"/>
          <w:lang w:val="en-US" w:eastAsia="zh-CN"/>
        </w:rPr>
        <w:t>2315.8243</w:t>
      </w:r>
      <w:r>
        <w:rPr>
          <w:rFonts w:hint="eastAsia" w:eastAsia="仿宋_GB2312"/>
          <w:color w:val="000000"/>
          <w:sz w:val="32"/>
          <w:szCs w:val="32"/>
        </w:rPr>
        <w:t>万元，占</w:t>
      </w:r>
      <w:r>
        <w:rPr>
          <w:rFonts w:hint="eastAsia" w:eastAsia="仿宋_GB2312"/>
          <w:color w:val="000000"/>
          <w:sz w:val="32"/>
          <w:szCs w:val="32"/>
          <w:lang w:val="en-US" w:eastAsia="zh-CN"/>
        </w:rPr>
        <w:t>79.8</w:t>
      </w:r>
      <w:r>
        <w:rPr>
          <w:rFonts w:hint="eastAsia" w:eastAsia="仿宋_GB2312"/>
          <w:color w:val="000000"/>
          <w:sz w:val="32"/>
          <w:szCs w:val="32"/>
        </w:rPr>
        <w:t>%。</w:t>
      </w:r>
    </w:p>
    <w:p>
      <w:pPr>
        <w:ind w:firstLine="640" w:firstLineChars="200"/>
        <w:rPr>
          <w:rFonts w:hint="eastAsia" w:ascii="仿宋" w:hAnsi="仿宋" w:eastAsia="仿宋"/>
          <w:sz w:val="32"/>
          <w:szCs w:val="32"/>
        </w:rPr>
      </w:pPr>
      <w:r>
        <w:rPr>
          <w:rFonts w:hint="eastAsia" w:eastAsia="仿宋_GB2312"/>
          <w:color w:val="000000"/>
          <w:sz w:val="32"/>
          <w:szCs w:val="32"/>
        </w:rPr>
        <w:t>（图3：支出决算结构图）</w:t>
      </w:r>
    </w:p>
    <w:p>
      <w:pPr>
        <w:pStyle w:val="2"/>
        <w:rPr>
          <w:rFonts w:hint="eastAsia"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5117465" cy="2445385"/>
            <wp:effectExtent l="4445" t="4445" r="21590" b="762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rPr>
          <w:rFonts w:ascii="仿宋_GB2312" w:eastAsia="仿宋_GB2312"/>
          <w:sz w:val="32"/>
          <w:szCs w:val="32"/>
        </w:rPr>
      </w:pPr>
    </w:p>
    <w:p>
      <w:pPr>
        <w:spacing w:line="600" w:lineRule="exact"/>
        <w:ind w:firstLine="640" w:firstLineChars="200"/>
        <w:outlineLvl w:val="1"/>
        <w:rPr>
          <w:rStyle w:val="25"/>
          <w:rFonts w:ascii="黑体" w:hAnsi="黑体" w:eastAsia="黑体"/>
          <w:b w:val="0"/>
        </w:rPr>
      </w:pPr>
      <w:bookmarkStart w:id="35" w:name="_Toc15377208"/>
      <w:bookmarkStart w:id="36" w:name="_Toc30999"/>
      <w:bookmarkStart w:id="37" w:name="_Toc15396606"/>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5"/>
      <w:bookmarkEnd w:id="36"/>
      <w:bookmarkEnd w:id="37"/>
    </w:p>
    <w:p>
      <w:pPr>
        <w:ind w:firstLine="640" w:firstLineChars="200"/>
        <w:rPr>
          <w:rFonts w:hint="eastAsia" w:eastAsia="仿宋_GB2312"/>
          <w:color w:val="000000"/>
          <w:sz w:val="32"/>
          <w:szCs w:val="32"/>
        </w:rPr>
      </w:pPr>
      <w:r>
        <w:rPr>
          <w:rFonts w:hint="eastAsia" w:eastAsia="仿宋_GB2312"/>
          <w:color w:val="000000"/>
          <w:sz w:val="32"/>
          <w:szCs w:val="32"/>
        </w:rPr>
        <w:t>2022年财政拨款收、支总计</w:t>
      </w:r>
      <w:r>
        <w:rPr>
          <w:rFonts w:hint="eastAsia" w:eastAsia="仿宋_GB2312"/>
          <w:color w:val="000000"/>
          <w:sz w:val="32"/>
          <w:szCs w:val="32"/>
          <w:lang w:val="en-US" w:eastAsia="zh-CN"/>
        </w:rPr>
        <w:t>2900.98</w:t>
      </w:r>
      <w:r>
        <w:rPr>
          <w:rFonts w:hint="eastAsia" w:eastAsia="仿宋_GB2312"/>
          <w:color w:val="000000"/>
          <w:sz w:val="32"/>
          <w:szCs w:val="32"/>
        </w:rPr>
        <w:t>万元。与2021年相比，财政拨款收、支总计各增加</w:t>
      </w:r>
      <w:r>
        <w:rPr>
          <w:rFonts w:hint="eastAsia" w:eastAsia="仿宋_GB2312"/>
          <w:color w:val="000000"/>
          <w:sz w:val="32"/>
          <w:szCs w:val="32"/>
          <w:lang w:val="en-US" w:eastAsia="zh-CN"/>
        </w:rPr>
        <w:t>1785.74万元，增长61.6%</w:t>
      </w:r>
      <w:r>
        <w:rPr>
          <w:rFonts w:hint="eastAsia" w:eastAsia="仿宋_GB2312"/>
          <w:color w:val="000000"/>
          <w:sz w:val="32"/>
          <w:szCs w:val="32"/>
        </w:rPr>
        <w:t>。主要变动原因是</w:t>
      </w:r>
      <w:r>
        <w:rPr>
          <w:rFonts w:hint="eastAsia" w:eastAsia="仿宋_GB2312"/>
          <w:color w:val="000000"/>
          <w:sz w:val="32"/>
          <w:szCs w:val="32"/>
          <w:lang w:val="en-US" w:eastAsia="zh-CN"/>
        </w:rPr>
        <w:t>2021年增加了2314.9万元的油补资金</w:t>
      </w:r>
      <w:r>
        <w:rPr>
          <w:rFonts w:hint="eastAsia" w:eastAsia="仿宋_GB2312"/>
          <w:color w:val="000000"/>
          <w:sz w:val="32"/>
          <w:szCs w:val="32"/>
        </w:rPr>
        <w:t>。</w:t>
      </w:r>
    </w:p>
    <w:p>
      <w:pPr>
        <w:ind w:firstLine="640" w:firstLineChars="200"/>
        <w:rPr>
          <w:rFonts w:hint="eastAsia" w:eastAsia="仿宋_GB2312"/>
          <w:color w:val="000000"/>
          <w:sz w:val="32"/>
          <w:szCs w:val="32"/>
        </w:rPr>
      </w:pPr>
      <w:r>
        <w:rPr>
          <w:rFonts w:hint="eastAsia" w:eastAsia="仿宋_GB2312"/>
          <w:color w:val="000000"/>
          <w:sz w:val="32"/>
          <w:szCs w:val="32"/>
        </w:rPr>
        <w:t>（图4：财政拨款收、支决算总计变动情况）</w:t>
      </w:r>
    </w:p>
    <w:p>
      <w:pPr>
        <w:spacing w:line="600" w:lineRule="exact"/>
        <w:ind w:firstLine="640"/>
        <w:rPr>
          <w:rFonts w:ascii="仿宋" w:hAnsi="仿宋" w:eastAsia="仿宋"/>
          <w:b/>
          <w:sz w:val="32"/>
          <w:szCs w:val="32"/>
        </w:rPr>
      </w:pPr>
    </w:p>
    <w:p>
      <w:pPr>
        <w:pStyle w:val="2"/>
        <w:rPr>
          <w:rFonts w:ascii="仿宋" w:hAnsi="仿宋" w:eastAsia="仿宋"/>
          <w:b/>
          <w:sz w:val="32"/>
          <w:szCs w:val="32"/>
        </w:rPr>
      </w:pPr>
      <w:r>
        <w:rPr>
          <w:rFonts w:hint="eastAsia" w:ascii="仿宋_GB2312" w:hAnsi="仿宋_GB2312" w:eastAsia="仿宋_GB2312" w:cs="仿宋_GB2312"/>
          <w:sz w:val="32"/>
          <w:szCs w:val="32"/>
        </w:rPr>
        <w:drawing>
          <wp:inline distT="0" distB="0" distL="114300" distR="114300">
            <wp:extent cx="5469255" cy="3340735"/>
            <wp:effectExtent l="4445" t="4445" r="12700" b="762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2"/>
        <w:rPr>
          <w:rFonts w:ascii="仿宋" w:hAnsi="仿宋" w:eastAsia="仿宋"/>
          <w:b/>
          <w:sz w:val="32"/>
          <w:szCs w:val="32"/>
        </w:rPr>
      </w:pPr>
    </w:p>
    <w:p>
      <w:pPr>
        <w:spacing w:line="600" w:lineRule="exact"/>
        <w:ind w:firstLine="640" w:firstLineChars="200"/>
        <w:outlineLvl w:val="1"/>
        <w:rPr>
          <w:rStyle w:val="25"/>
          <w:rFonts w:ascii="黑体" w:hAnsi="黑体" w:eastAsia="黑体"/>
          <w:b w:val="0"/>
        </w:rPr>
      </w:pPr>
      <w:bookmarkStart w:id="38" w:name="_Toc15377209"/>
      <w:bookmarkStart w:id="39" w:name="_Toc15396607"/>
      <w:bookmarkStart w:id="40" w:name="_Toc4637"/>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8"/>
      <w:bookmarkEnd w:id="39"/>
      <w:bookmarkEnd w:id="40"/>
    </w:p>
    <w:p>
      <w:pPr>
        <w:spacing w:line="600" w:lineRule="exact"/>
        <w:ind w:firstLine="640" w:firstLineChars="200"/>
        <w:outlineLvl w:val="2"/>
        <w:rPr>
          <w:rFonts w:ascii="仿宋" w:hAnsi="仿宋" w:eastAsia="仿宋"/>
          <w:b/>
          <w:sz w:val="32"/>
          <w:szCs w:val="32"/>
        </w:rPr>
      </w:pPr>
      <w:bookmarkStart w:id="41" w:name="_Toc15377210"/>
      <w:bookmarkStart w:id="42" w:name="_Toc14727"/>
      <w:r>
        <w:rPr>
          <w:rFonts w:hint="eastAsia" w:ascii="仿宋" w:hAnsi="仿宋" w:eastAsia="仿宋"/>
          <w:b/>
          <w:sz w:val="32"/>
          <w:szCs w:val="32"/>
        </w:rPr>
        <w:t>（一）一般公共预算财政拨款支出决算总体情况</w:t>
      </w:r>
      <w:bookmarkEnd w:id="41"/>
      <w:bookmarkEnd w:id="42"/>
    </w:p>
    <w:p>
      <w:pPr>
        <w:ind w:firstLine="640" w:firstLineChars="200"/>
        <w:rPr>
          <w:rFonts w:hint="eastAsia" w:eastAsia="仿宋_GB2312"/>
          <w:color w:val="000000"/>
          <w:sz w:val="32"/>
          <w:szCs w:val="32"/>
        </w:rPr>
      </w:pPr>
      <w:r>
        <w:rPr>
          <w:rFonts w:hint="eastAsia" w:eastAsia="仿宋_GB2312"/>
          <w:color w:val="000000"/>
          <w:sz w:val="32"/>
          <w:szCs w:val="32"/>
        </w:rPr>
        <w:t>2022年一般公共预算财政拨款支出</w:t>
      </w:r>
      <w:r>
        <w:rPr>
          <w:rFonts w:hint="eastAsia" w:eastAsia="仿宋_GB2312"/>
          <w:color w:val="000000"/>
          <w:sz w:val="32"/>
          <w:szCs w:val="32"/>
          <w:lang w:val="en-US" w:eastAsia="zh-CN"/>
        </w:rPr>
        <w:t>2900.98</w:t>
      </w:r>
      <w:r>
        <w:rPr>
          <w:rFonts w:hint="eastAsia" w:eastAsia="仿宋_GB2312"/>
          <w:color w:val="000000"/>
          <w:sz w:val="32"/>
          <w:szCs w:val="32"/>
        </w:rPr>
        <w:t>万元，占本年支出合计的</w:t>
      </w:r>
      <w:r>
        <w:rPr>
          <w:rFonts w:hint="eastAsia" w:eastAsia="仿宋_GB2312"/>
          <w:color w:val="000000"/>
          <w:sz w:val="32"/>
          <w:szCs w:val="32"/>
          <w:lang w:val="en-US" w:eastAsia="zh-CN"/>
        </w:rPr>
        <w:t>100</w:t>
      </w:r>
      <w:r>
        <w:rPr>
          <w:rFonts w:hint="eastAsia" w:eastAsia="仿宋_GB2312"/>
          <w:color w:val="000000"/>
          <w:sz w:val="32"/>
          <w:szCs w:val="32"/>
        </w:rPr>
        <w:t>%。与2021年相比，一般公共预算财政拨款支出增加</w:t>
      </w:r>
      <w:r>
        <w:rPr>
          <w:rFonts w:hint="eastAsia" w:eastAsia="仿宋_GB2312"/>
          <w:color w:val="000000"/>
          <w:sz w:val="32"/>
          <w:szCs w:val="32"/>
          <w:lang w:val="en-US" w:eastAsia="zh-CN"/>
        </w:rPr>
        <w:t>1785.74万元</w:t>
      </w:r>
      <w:r>
        <w:rPr>
          <w:rFonts w:hint="eastAsia" w:eastAsia="仿宋_GB2312"/>
          <w:color w:val="000000"/>
          <w:sz w:val="32"/>
          <w:szCs w:val="32"/>
        </w:rPr>
        <w:t>，</w:t>
      </w:r>
      <w:r>
        <w:rPr>
          <w:rFonts w:hint="eastAsia" w:eastAsia="仿宋_GB2312"/>
          <w:color w:val="000000"/>
          <w:sz w:val="32"/>
          <w:szCs w:val="32"/>
          <w:lang w:val="en-US" w:eastAsia="zh-CN"/>
        </w:rPr>
        <w:t>增长61.6%</w:t>
      </w:r>
      <w:r>
        <w:rPr>
          <w:rFonts w:hint="eastAsia" w:eastAsia="仿宋_GB2312"/>
          <w:color w:val="000000"/>
          <w:sz w:val="32"/>
          <w:szCs w:val="32"/>
        </w:rPr>
        <w:t>。主要变动原因是</w:t>
      </w:r>
      <w:r>
        <w:rPr>
          <w:rFonts w:hint="eastAsia" w:eastAsia="仿宋_GB2312"/>
          <w:color w:val="000000"/>
          <w:sz w:val="32"/>
          <w:szCs w:val="32"/>
          <w:lang w:val="en-US" w:eastAsia="zh-CN"/>
        </w:rPr>
        <w:t>2021年增加了2314.9万元的油补资金</w:t>
      </w:r>
      <w:r>
        <w:rPr>
          <w:rFonts w:hint="eastAsia" w:eastAsia="仿宋_GB2312"/>
          <w:color w:val="000000"/>
          <w:sz w:val="32"/>
          <w:szCs w:val="32"/>
        </w:rPr>
        <w:t>。</w:t>
      </w:r>
    </w:p>
    <w:p>
      <w:pPr>
        <w:ind w:firstLine="640" w:firstLineChars="200"/>
        <w:rPr>
          <w:rFonts w:hint="eastAsia" w:eastAsia="仿宋_GB2312"/>
          <w:color w:val="000000"/>
          <w:sz w:val="32"/>
          <w:szCs w:val="32"/>
        </w:rPr>
      </w:pPr>
      <w:r>
        <w:rPr>
          <w:rFonts w:hint="eastAsia" w:eastAsia="仿宋_GB2312"/>
          <w:color w:val="000000"/>
          <w:sz w:val="32"/>
          <w:szCs w:val="32"/>
        </w:rPr>
        <w:t>（图5：一般公共预算财政拨款支出决算变动情况）</w:t>
      </w:r>
    </w:p>
    <w:p>
      <w:pPr>
        <w:pStyle w:val="2"/>
        <w:rPr>
          <w:rFonts w:hint="eastAsia"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5250815" cy="3169920"/>
            <wp:effectExtent l="4445" t="4445" r="21590" b="698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rPr>
          <w:rFonts w:ascii="仿宋" w:hAnsi="仿宋" w:eastAsia="仿宋"/>
          <w:sz w:val="32"/>
          <w:szCs w:val="32"/>
        </w:rPr>
      </w:pPr>
    </w:p>
    <w:p>
      <w:pPr>
        <w:spacing w:line="600" w:lineRule="exact"/>
        <w:ind w:firstLine="640" w:firstLineChars="200"/>
        <w:outlineLvl w:val="2"/>
        <w:rPr>
          <w:rFonts w:ascii="仿宋" w:hAnsi="仿宋" w:eastAsia="仿宋"/>
          <w:b/>
          <w:sz w:val="32"/>
          <w:szCs w:val="32"/>
        </w:rPr>
      </w:pPr>
      <w:bookmarkStart w:id="43" w:name="_Toc12806"/>
      <w:bookmarkStart w:id="44" w:name="_Toc15377211"/>
      <w:r>
        <w:rPr>
          <w:rFonts w:hint="eastAsia" w:ascii="仿宋" w:hAnsi="仿宋" w:eastAsia="仿宋"/>
          <w:b/>
          <w:sz w:val="32"/>
          <w:szCs w:val="32"/>
        </w:rPr>
        <w:t>（二）一般公共预算财政拨款支出决算结构情况</w:t>
      </w:r>
      <w:bookmarkEnd w:id="43"/>
      <w:bookmarkEnd w:id="44"/>
    </w:p>
    <w:p>
      <w:pPr>
        <w:ind w:firstLine="640" w:firstLineChars="200"/>
        <w:rPr>
          <w:rFonts w:hint="eastAsia" w:eastAsia="仿宋_GB2312"/>
          <w:color w:val="000000"/>
          <w:sz w:val="32"/>
          <w:szCs w:val="32"/>
        </w:rPr>
      </w:pPr>
      <w:r>
        <w:rPr>
          <w:rFonts w:hint="eastAsia" w:eastAsia="仿宋_GB2312"/>
          <w:color w:val="000000"/>
          <w:sz w:val="32"/>
          <w:szCs w:val="32"/>
        </w:rPr>
        <w:t>2022年一般公共预算财政拨款支出</w:t>
      </w:r>
      <w:r>
        <w:rPr>
          <w:rFonts w:hint="eastAsia" w:eastAsia="仿宋_GB2312"/>
          <w:color w:val="000000"/>
          <w:sz w:val="32"/>
          <w:szCs w:val="32"/>
          <w:lang w:val="en-US" w:eastAsia="zh-CN"/>
        </w:rPr>
        <w:t>2900.98</w:t>
      </w:r>
      <w:r>
        <w:rPr>
          <w:rFonts w:hint="eastAsia" w:eastAsia="仿宋_GB2312"/>
          <w:color w:val="000000"/>
          <w:sz w:val="32"/>
          <w:szCs w:val="32"/>
        </w:rPr>
        <w:t>万元，主要用于以下方面社会保障和就业支出</w:t>
      </w:r>
      <w:r>
        <w:rPr>
          <w:rFonts w:hint="eastAsia" w:eastAsia="仿宋_GB2312"/>
          <w:color w:val="000000"/>
          <w:sz w:val="32"/>
          <w:szCs w:val="32"/>
          <w:lang w:val="en-US" w:eastAsia="zh-CN"/>
        </w:rPr>
        <w:t>117.49</w:t>
      </w:r>
      <w:r>
        <w:rPr>
          <w:rFonts w:hint="eastAsia" w:eastAsia="仿宋_GB2312"/>
          <w:color w:val="000000"/>
          <w:sz w:val="32"/>
          <w:szCs w:val="32"/>
        </w:rPr>
        <w:t>万元，占</w:t>
      </w:r>
      <w:r>
        <w:rPr>
          <w:rFonts w:hint="eastAsia" w:eastAsia="仿宋_GB2312"/>
          <w:color w:val="000000"/>
          <w:sz w:val="32"/>
          <w:szCs w:val="32"/>
          <w:lang w:val="en-US" w:eastAsia="zh-CN"/>
        </w:rPr>
        <w:t>4.1</w:t>
      </w:r>
      <w:r>
        <w:rPr>
          <w:rFonts w:hint="eastAsia" w:eastAsia="仿宋_GB2312"/>
          <w:color w:val="000000"/>
          <w:sz w:val="32"/>
          <w:szCs w:val="32"/>
        </w:rPr>
        <w:t>%；</w:t>
      </w:r>
      <w:r>
        <w:rPr>
          <w:rFonts w:hint="eastAsia" w:eastAsia="仿宋_GB2312"/>
          <w:color w:val="000000"/>
          <w:sz w:val="32"/>
          <w:szCs w:val="32"/>
          <w:lang w:val="en-US" w:eastAsia="zh-CN"/>
        </w:rPr>
        <w:t>交通运输支出2745.7</w:t>
      </w:r>
      <w:r>
        <w:rPr>
          <w:rFonts w:hint="eastAsia" w:eastAsia="仿宋_GB2312"/>
          <w:color w:val="000000"/>
          <w:sz w:val="32"/>
          <w:szCs w:val="32"/>
        </w:rPr>
        <w:t>万元，占</w:t>
      </w:r>
      <w:r>
        <w:rPr>
          <w:rFonts w:hint="eastAsia" w:eastAsia="仿宋_GB2312"/>
          <w:color w:val="000000"/>
          <w:sz w:val="32"/>
          <w:szCs w:val="32"/>
          <w:lang w:val="en-US" w:eastAsia="zh-CN"/>
        </w:rPr>
        <w:t>94.6</w:t>
      </w:r>
      <w:r>
        <w:rPr>
          <w:rFonts w:hint="eastAsia" w:eastAsia="仿宋_GB2312"/>
          <w:color w:val="000000"/>
          <w:sz w:val="32"/>
          <w:szCs w:val="32"/>
        </w:rPr>
        <w:t>%；住房保障支出</w:t>
      </w:r>
      <w:r>
        <w:rPr>
          <w:rFonts w:hint="eastAsia" w:eastAsia="仿宋_GB2312"/>
          <w:color w:val="000000"/>
          <w:sz w:val="32"/>
          <w:szCs w:val="32"/>
          <w:lang w:val="en-US" w:eastAsia="zh-CN"/>
        </w:rPr>
        <w:t>37.79</w:t>
      </w:r>
      <w:r>
        <w:rPr>
          <w:rFonts w:hint="eastAsia" w:eastAsia="仿宋_GB2312"/>
          <w:color w:val="000000"/>
          <w:sz w:val="32"/>
          <w:szCs w:val="32"/>
        </w:rPr>
        <w:t>万元，占</w:t>
      </w:r>
      <w:r>
        <w:rPr>
          <w:rFonts w:hint="eastAsia" w:eastAsia="仿宋_GB2312"/>
          <w:color w:val="000000"/>
          <w:sz w:val="32"/>
          <w:szCs w:val="32"/>
          <w:lang w:val="en-US" w:eastAsia="zh-CN"/>
        </w:rPr>
        <w:t>1.3</w:t>
      </w:r>
      <w:r>
        <w:rPr>
          <w:rFonts w:hint="eastAsia" w:eastAsia="仿宋_GB2312"/>
          <w:color w:val="000000"/>
          <w:sz w:val="32"/>
          <w:szCs w:val="32"/>
        </w:rPr>
        <w:t>%。</w:t>
      </w:r>
    </w:p>
    <w:p>
      <w:pPr>
        <w:ind w:firstLine="640" w:firstLineChars="200"/>
        <w:rPr>
          <w:rFonts w:hint="eastAsia" w:eastAsia="仿宋_GB2312"/>
          <w:color w:val="000000"/>
          <w:sz w:val="32"/>
          <w:szCs w:val="32"/>
        </w:rPr>
      </w:pPr>
      <w:r>
        <w:rPr>
          <w:rFonts w:hint="eastAsia" w:eastAsia="仿宋_GB2312"/>
          <w:color w:val="000000"/>
          <w:sz w:val="32"/>
          <w:szCs w:val="32"/>
        </w:rPr>
        <w:t>（图6：一般公共预算财政拨款支出决算结构）</w:t>
      </w:r>
    </w:p>
    <w:p>
      <w:pPr>
        <w:pStyle w:val="2"/>
        <w:rPr>
          <w:rFonts w:ascii="仿宋" w:hAnsi="仿宋" w:eastAsia="仿宋"/>
          <w:sz w:val="32"/>
          <w:szCs w:val="32"/>
        </w:rPr>
      </w:pPr>
    </w:p>
    <w:p>
      <w:pPr>
        <w:pStyle w:val="2"/>
        <w:rPr>
          <w:rFonts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5479415" cy="3103245"/>
            <wp:effectExtent l="4445" t="4445" r="21590" b="1651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
        <w:rPr>
          <w:rFonts w:ascii="仿宋" w:hAnsi="仿宋" w:eastAsia="仿宋"/>
          <w:sz w:val="32"/>
          <w:szCs w:val="32"/>
        </w:rPr>
      </w:pPr>
    </w:p>
    <w:p>
      <w:pPr>
        <w:pStyle w:val="2"/>
        <w:rPr>
          <w:rFonts w:ascii="仿宋" w:hAnsi="仿宋" w:eastAsia="仿宋"/>
          <w:sz w:val="32"/>
          <w:szCs w:val="32"/>
        </w:rPr>
      </w:pPr>
    </w:p>
    <w:p>
      <w:pPr>
        <w:spacing w:line="600" w:lineRule="exact"/>
        <w:ind w:firstLine="640" w:firstLineChars="200"/>
        <w:outlineLvl w:val="2"/>
        <w:rPr>
          <w:rFonts w:ascii="仿宋" w:hAnsi="仿宋" w:eastAsia="仿宋"/>
          <w:b/>
          <w:sz w:val="32"/>
          <w:szCs w:val="32"/>
        </w:rPr>
      </w:pPr>
      <w:bookmarkStart w:id="45" w:name="_Toc15377212"/>
      <w:bookmarkStart w:id="46" w:name="_Toc27076"/>
      <w:r>
        <w:rPr>
          <w:rFonts w:hint="eastAsia" w:ascii="仿宋" w:hAnsi="仿宋" w:eastAsia="仿宋"/>
          <w:b/>
          <w:sz w:val="32"/>
          <w:szCs w:val="32"/>
        </w:rPr>
        <w:t>（三）一般公共预算财政拨款支出决算具体情况</w:t>
      </w:r>
      <w:bookmarkEnd w:id="45"/>
      <w:bookmarkEnd w:id="46"/>
    </w:p>
    <w:p>
      <w:pPr>
        <w:ind w:firstLine="640" w:firstLineChars="200"/>
        <w:rPr>
          <w:rFonts w:hint="eastAsia" w:eastAsia="仿宋_GB2312"/>
          <w:color w:val="000000"/>
          <w:sz w:val="32"/>
          <w:szCs w:val="32"/>
        </w:rPr>
      </w:pPr>
      <w:bookmarkStart w:id="47" w:name="_Toc15377444"/>
      <w:bookmarkStart w:id="48" w:name="_Toc15377213"/>
      <w:bookmarkStart w:id="49" w:name="_Toc15378460"/>
      <w:r>
        <w:rPr>
          <w:rFonts w:hint="eastAsia" w:eastAsia="仿宋_GB2312"/>
          <w:color w:val="000000"/>
          <w:sz w:val="32"/>
          <w:szCs w:val="32"/>
        </w:rPr>
        <w:t>2022年一般公共预算支出决算数为</w:t>
      </w:r>
      <w:r>
        <w:rPr>
          <w:rFonts w:hint="eastAsia" w:eastAsia="仿宋_GB2312"/>
          <w:color w:val="000000"/>
          <w:sz w:val="32"/>
          <w:szCs w:val="32"/>
          <w:lang w:val="en-US" w:eastAsia="zh-CN"/>
        </w:rPr>
        <w:t>2900.98</w:t>
      </w:r>
      <w:r>
        <w:rPr>
          <w:rFonts w:hint="eastAsia" w:eastAsia="仿宋_GB2312"/>
          <w:color w:val="000000"/>
          <w:sz w:val="32"/>
          <w:szCs w:val="32"/>
        </w:rPr>
        <w:t>，完成预算</w:t>
      </w:r>
      <w:r>
        <w:rPr>
          <w:rFonts w:hint="eastAsia" w:eastAsia="仿宋_GB2312"/>
          <w:color w:val="000000"/>
          <w:sz w:val="32"/>
          <w:szCs w:val="32"/>
          <w:lang w:val="en-US" w:eastAsia="zh-CN"/>
        </w:rPr>
        <w:t>100</w:t>
      </w:r>
      <w:r>
        <w:rPr>
          <w:rFonts w:hint="eastAsia" w:eastAsia="仿宋_GB2312"/>
          <w:color w:val="000000"/>
          <w:sz w:val="32"/>
          <w:szCs w:val="32"/>
        </w:rPr>
        <w:t>%。其中：</w:t>
      </w:r>
      <w:bookmarkEnd w:id="47"/>
      <w:bookmarkEnd w:id="48"/>
      <w:bookmarkEnd w:id="49"/>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1.社会保障和就业支出（类）行政事业单位养老支出（款）行政单位离退休（项）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85.67</w:t>
      </w:r>
      <w:r>
        <w:rPr>
          <w:rFonts w:hint="eastAsia" w:ascii="仿宋_GB2312" w:hAnsi="仿宋_GB2312" w:eastAsia="仿宋_GB2312" w:cs="仿宋_GB2312"/>
          <w:sz w:val="32"/>
          <w:szCs w:val="32"/>
        </w:rPr>
        <w:t>万元，完成预算100%。</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.社会保障和就业支出（类）行政事业单位养老支出（款）机关事业单位基本养老保险缴费支出（项）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31.82</w:t>
      </w:r>
      <w:r>
        <w:rPr>
          <w:rFonts w:hint="eastAsia" w:ascii="仿宋_GB2312" w:hAnsi="仿宋_GB2312" w:eastAsia="仿宋_GB2312" w:cs="仿宋_GB2312"/>
          <w:sz w:val="32"/>
          <w:szCs w:val="32"/>
        </w:rPr>
        <w:t>万元，完成预算100%。</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.交通运输支出（类）公路水路运输（款）行政运行（项）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429.88</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.交通运输支出（类）公路水路运输（款）公路运输管理（项）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0.92</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p>
    <w:p>
      <w:pPr>
        <w:ind w:firstLine="643" w:firstLineChars="200"/>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.交通运输支出（类）</w:t>
      </w:r>
      <w:r>
        <w:rPr>
          <w:rFonts w:hint="eastAsia" w:ascii="仿宋_GB2312" w:hAnsi="仿宋_GB2312" w:eastAsia="仿宋_GB2312" w:cs="仿宋_GB2312"/>
          <w:b/>
          <w:bCs/>
          <w:sz w:val="32"/>
          <w:szCs w:val="32"/>
          <w:lang w:val="en-US" w:eastAsia="zh-CN"/>
        </w:rPr>
        <w:t>其他交通运输支出</w:t>
      </w:r>
      <w:r>
        <w:rPr>
          <w:rFonts w:hint="eastAsia" w:ascii="仿宋_GB2312" w:hAnsi="仿宋_GB2312" w:eastAsia="仿宋_GB2312" w:cs="仿宋_GB2312"/>
          <w:b/>
          <w:bCs/>
          <w:sz w:val="32"/>
          <w:szCs w:val="32"/>
        </w:rPr>
        <w:t>（款）</w:t>
      </w:r>
      <w:r>
        <w:rPr>
          <w:rFonts w:hint="eastAsia" w:ascii="仿宋_GB2312" w:hAnsi="仿宋_GB2312" w:eastAsia="仿宋_GB2312" w:cs="仿宋_GB2312"/>
          <w:b/>
          <w:bCs/>
          <w:sz w:val="32"/>
          <w:szCs w:val="32"/>
          <w:lang w:val="en-US" w:eastAsia="zh-CN"/>
        </w:rPr>
        <w:t>其他交通运输支出</w:t>
      </w:r>
      <w:r>
        <w:rPr>
          <w:rFonts w:hint="eastAsia" w:ascii="仿宋_GB2312" w:hAnsi="仿宋_GB2312" w:eastAsia="仿宋_GB2312" w:cs="仿宋_GB2312"/>
          <w:b/>
          <w:bCs/>
          <w:sz w:val="32"/>
          <w:szCs w:val="32"/>
        </w:rPr>
        <w:t>（项）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2314.9</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100.00</w:t>
      </w:r>
      <w:r>
        <w:rPr>
          <w:rFonts w:hint="eastAsia" w:ascii="仿宋_GB2312" w:hAnsi="仿宋_GB2312" w:eastAsia="仿宋_GB2312" w:cs="仿宋_GB2312"/>
          <w:sz w:val="32"/>
          <w:szCs w:val="32"/>
        </w:rPr>
        <w:t>%。</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.住房保障支出（类）住房改革支出（款）住房公积金（项）</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val="en-US" w:eastAsia="zh-CN"/>
        </w:rPr>
        <w:t>37.79</w:t>
      </w:r>
      <w:r>
        <w:rPr>
          <w:rFonts w:hint="eastAsia" w:ascii="仿宋_GB2312" w:hAnsi="仿宋_GB2312" w:eastAsia="仿宋_GB2312" w:cs="仿宋_GB2312"/>
          <w:sz w:val="32"/>
          <w:szCs w:val="32"/>
        </w:rPr>
        <w:t>万元，完成预算100%。</w:t>
      </w:r>
    </w:p>
    <w:p>
      <w:pPr>
        <w:spacing w:line="600" w:lineRule="exact"/>
        <w:ind w:firstLine="640"/>
        <w:rPr>
          <w:rFonts w:ascii="仿宋" w:hAnsi="仿宋" w:eastAsia="仿宋"/>
          <w:b/>
          <w:sz w:val="32"/>
          <w:szCs w:val="32"/>
        </w:rPr>
      </w:pPr>
    </w:p>
    <w:p>
      <w:pPr>
        <w:tabs>
          <w:tab w:val="right" w:pos="8306"/>
        </w:tabs>
        <w:spacing w:line="600" w:lineRule="exact"/>
        <w:ind w:firstLine="640"/>
        <w:outlineLvl w:val="1"/>
        <w:rPr>
          <w:rStyle w:val="25"/>
        </w:rPr>
      </w:pPr>
      <w:bookmarkStart w:id="50" w:name="_Toc22156"/>
      <w:bookmarkStart w:id="51" w:name="_Toc15377214"/>
      <w:bookmarkStart w:id="52"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50"/>
      <w:bookmarkEnd w:id="51"/>
      <w:bookmarkEnd w:id="52"/>
      <w:r>
        <w:rPr>
          <w:rStyle w:val="25"/>
          <w:rFonts w:ascii="黑体" w:hAnsi="黑体" w:eastAsia="黑体"/>
          <w:b w:val="0"/>
        </w:rPr>
        <w:tab/>
      </w:r>
    </w:p>
    <w:p>
      <w:pPr>
        <w:ind w:firstLine="640" w:firstLineChars="200"/>
        <w:rPr>
          <w:rFonts w:hint="eastAsia" w:eastAsia="仿宋_GB2312"/>
          <w:color w:val="000000"/>
          <w:sz w:val="32"/>
          <w:szCs w:val="32"/>
        </w:rPr>
      </w:pPr>
      <w:r>
        <w:rPr>
          <w:rFonts w:hint="eastAsia" w:eastAsia="仿宋_GB2312"/>
          <w:color w:val="000000"/>
          <w:sz w:val="32"/>
          <w:szCs w:val="32"/>
        </w:rPr>
        <w:t>2022年一般公共预算财政拨款基本支出</w:t>
      </w:r>
      <w:r>
        <w:rPr>
          <w:rFonts w:hint="eastAsia" w:eastAsia="仿宋_GB2312"/>
          <w:color w:val="000000"/>
          <w:sz w:val="32"/>
          <w:szCs w:val="32"/>
          <w:lang w:val="en-US" w:eastAsia="zh-CN"/>
        </w:rPr>
        <w:t>585.16</w:t>
      </w:r>
      <w:r>
        <w:rPr>
          <w:rFonts w:hint="eastAsia" w:eastAsia="仿宋_GB2312"/>
          <w:color w:val="000000"/>
          <w:sz w:val="32"/>
          <w:szCs w:val="32"/>
        </w:rPr>
        <w:t>万元，其中：</w:t>
      </w:r>
    </w:p>
    <w:p>
      <w:pPr>
        <w:ind w:firstLine="640" w:firstLineChars="200"/>
        <w:rPr>
          <w:rFonts w:hint="eastAsia" w:eastAsia="仿宋_GB2312"/>
          <w:color w:val="000000"/>
          <w:sz w:val="32"/>
          <w:szCs w:val="32"/>
        </w:rPr>
      </w:pPr>
      <w:r>
        <w:rPr>
          <w:rFonts w:hint="eastAsia" w:eastAsia="仿宋_GB2312"/>
          <w:color w:val="000000"/>
          <w:sz w:val="32"/>
          <w:szCs w:val="32"/>
        </w:rPr>
        <w:t>人员经费</w:t>
      </w:r>
      <w:r>
        <w:rPr>
          <w:rFonts w:hint="eastAsia" w:eastAsia="仿宋_GB2312"/>
          <w:color w:val="000000"/>
          <w:sz w:val="32"/>
          <w:szCs w:val="32"/>
          <w:lang w:val="en-US" w:eastAsia="zh-CN"/>
        </w:rPr>
        <w:t>529.89</w:t>
      </w:r>
      <w:r>
        <w:rPr>
          <w:rFonts w:hint="eastAsia" w:eastAsia="仿宋_GB2312"/>
          <w:color w:val="000000"/>
          <w:sz w:val="32"/>
          <w:szCs w:val="32"/>
        </w:rPr>
        <w:t>万元，主要包括：基本工资、津贴补贴、奖金、绩效工资、机关事业单位基本养老保险缴费、其他社会保障缴费、其他工资福利支出、退休费、生活补助、医疗费补助、奖励金、住房公积金、其他对个人和家庭的补助支出等。</w:t>
      </w:r>
      <w:r>
        <w:rPr>
          <w:rFonts w:hint="eastAsia" w:eastAsia="仿宋_GB2312"/>
          <w:color w:val="000000"/>
          <w:sz w:val="32"/>
          <w:szCs w:val="32"/>
        </w:rPr>
        <w:br w:type="textWrapping"/>
      </w:r>
      <w:r>
        <w:rPr>
          <w:rFonts w:hint="eastAsia" w:eastAsia="仿宋_GB2312"/>
          <w:color w:val="000000"/>
          <w:sz w:val="32"/>
          <w:szCs w:val="32"/>
        </w:rPr>
        <w:t>　　公用经费</w:t>
      </w:r>
      <w:r>
        <w:rPr>
          <w:rFonts w:hint="eastAsia" w:eastAsia="仿宋_GB2312"/>
          <w:color w:val="000000"/>
          <w:sz w:val="32"/>
          <w:szCs w:val="32"/>
          <w:lang w:val="en-US" w:eastAsia="zh-CN"/>
        </w:rPr>
        <w:t>55.27</w:t>
      </w:r>
      <w:r>
        <w:rPr>
          <w:rFonts w:hint="eastAsia" w:eastAsia="仿宋_GB2312"/>
          <w:color w:val="000000"/>
          <w:sz w:val="32"/>
          <w:szCs w:val="32"/>
        </w:rPr>
        <w:t>万元，主要包括：办公费、印刷费、水费、电费、邮电费、物业管理费、差旅费、因公出国（境）费用、租赁费、培训费、公务接待费、委托业务费、工会经费、福利费、公务用车运行维护费、其他交通费、税金及附加费用、其他商品和服务支出等。</w:t>
      </w:r>
    </w:p>
    <w:p>
      <w:pPr>
        <w:spacing w:line="600" w:lineRule="exact"/>
        <w:ind w:firstLine="640"/>
        <w:rPr>
          <w:rFonts w:ascii="仿宋" w:hAnsi="仿宋" w:eastAsia="仿宋"/>
          <w:b/>
          <w:sz w:val="32"/>
          <w:szCs w:val="32"/>
        </w:rPr>
      </w:pPr>
    </w:p>
    <w:p>
      <w:pPr>
        <w:spacing w:line="600" w:lineRule="exact"/>
        <w:ind w:firstLine="640"/>
        <w:outlineLvl w:val="1"/>
        <w:rPr>
          <w:rStyle w:val="25"/>
          <w:rFonts w:ascii="黑体" w:hAnsi="黑体" w:eastAsia="黑体"/>
          <w:b w:val="0"/>
        </w:rPr>
      </w:pPr>
      <w:bookmarkStart w:id="53" w:name="_Toc15396609"/>
      <w:bookmarkStart w:id="54" w:name="_Toc15377215"/>
      <w:bookmarkStart w:id="55" w:name="_Toc11551"/>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53"/>
      <w:bookmarkEnd w:id="54"/>
      <w:bookmarkEnd w:id="55"/>
    </w:p>
    <w:p>
      <w:pPr>
        <w:spacing w:line="600" w:lineRule="exact"/>
        <w:ind w:firstLine="640"/>
        <w:outlineLvl w:val="2"/>
        <w:rPr>
          <w:rFonts w:ascii="仿宋" w:hAnsi="仿宋" w:eastAsia="仿宋"/>
          <w:b/>
          <w:sz w:val="32"/>
          <w:szCs w:val="32"/>
        </w:rPr>
      </w:pPr>
      <w:bookmarkStart w:id="56" w:name="_Toc15377216"/>
      <w:bookmarkStart w:id="57" w:name="_Toc2004"/>
      <w:r>
        <w:rPr>
          <w:rFonts w:hint="eastAsia" w:ascii="仿宋" w:hAnsi="仿宋" w:eastAsia="仿宋"/>
          <w:b/>
          <w:sz w:val="32"/>
          <w:szCs w:val="32"/>
        </w:rPr>
        <w:t>（一）“三公”经费财政拨款支出决算总体情况说明</w:t>
      </w:r>
      <w:bookmarkEnd w:id="56"/>
      <w:bookmarkEnd w:id="57"/>
    </w:p>
    <w:p>
      <w:pPr>
        <w:ind w:firstLine="640" w:firstLineChars="200"/>
        <w:rPr>
          <w:rFonts w:hint="eastAsia" w:eastAsia="仿宋_GB2312"/>
          <w:color w:val="000000"/>
          <w:sz w:val="32"/>
          <w:szCs w:val="32"/>
        </w:rPr>
      </w:pPr>
      <w:r>
        <w:rPr>
          <w:rFonts w:hint="eastAsia" w:eastAsia="仿宋_GB2312"/>
          <w:color w:val="000000"/>
          <w:sz w:val="32"/>
          <w:szCs w:val="32"/>
        </w:rPr>
        <w:t>2022年“三公”经费财政拨款支出决算为</w:t>
      </w:r>
      <w:r>
        <w:rPr>
          <w:rFonts w:hint="eastAsia" w:eastAsia="仿宋_GB2312"/>
          <w:color w:val="000000"/>
          <w:sz w:val="32"/>
          <w:szCs w:val="32"/>
          <w:lang w:val="en-US" w:eastAsia="zh-CN"/>
        </w:rPr>
        <w:t>0.09</w:t>
      </w:r>
      <w:r>
        <w:rPr>
          <w:rFonts w:hint="eastAsia" w:eastAsia="仿宋_GB2312"/>
          <w:color w:val="000000"/>
          <w:sz w:val="32"/>
          <w:szCs w:val="32"/>
        </w:rPr>
        <w:t>万元，完成预算</w:t>
      </w:r>
      <w:r>
        <w:rPr>
          <w:rFonts w:hint="eastAsia" w:eastAsia="仿宋_GB2312"/>
          <w:color w:val="000000"/>
          <w:sz w:val="32"/>
          <w:szCs w:val="32"/>
          <w:lang w:val="en-US" w:eastAsia="zh-CN"/>
        </w:rPr>
        <w:t>100</w:t>
      </w:r>
      <w:r>
        <w:rPr>
          <w:rFonts w:hint="eastAsia" w:eastAsia="仿宋_GB2312"/>
          <w:color w:val="000000"/>
          <w:sz w:val="32"/>
          <w:szCs w:val="32"/>
        </w:rPr>
        <w:t>%，较上年减少</w:t>
      </w:r>
      <w:r>
        <w:rPr>
          <w:rFonts w:hint="eastAsia" w:eastAsia="仿宋_GB2312"/>
          <w:color w:val="000000"/>
          <w:sz w:val="32"/>
          <w:szCs w:val="32"/>
          <w:lang w:val="en-US" w:eastAsia="zh-CN"/>
        </w:rPr>
        <w:t>0.33</w:t>
      </w:r>
      <w:r>
        <w:rPr>
          <w:rFonts w:hint="eastAsia" w:eastAsia="仿宋_GB2312"/>
          <w:color w:val="000000"/>
          <w:sz w:val="32"/>
          <w:szCs w:val="32"/>
        </w:rPr>
        <w:t>万元，下降</w:t>
      </w:r>
      <w:r>
        <w:rPr>
          <w:rFonts w:hint="eastAsia" w:eastAsia="仿宋_GB2312"/>
          <w:color w:val="000000"/>
          <w:sz w:val="32"/>
          <w:szCs w:val="32"/>
          <w:lang w:val="en-US" w:eastAsia="zh-CN"/>
        </w:rPr>
        <w:t>78.6</w:t>
      </w:r>
      <w:r>
        <w:rPr>
          <w:rFonts w:hint="eastAsia" w:eastAsia="仿宋_GB2312"/>
          <w:color w:val="000000"/>
          <w:sz w:val="32"/>
          <w:szCs w:val="32"/>
        </w:rPr>
        <w:t>%。决算数与预算数持平的主要原因是</w:t>
      </w:r>
      <w:r>
        <w:rPr>
          <w:rFonts w:hint="eastAsia" w:eastAsia="仿宋_GB2312"/>
          <w:color w:val="000000"/>
          <w:sz w:val="32"/>
          <w:szCs w:val="32"/>
          <w:lang w:val="en-US" w:eastAsia="zh-CN"/>
        </w:rPr>
        <w:t>单位严格按预算执行，</w:t>
      </w:r>
      <w:r>
        <w:rPr>
          <w:rFonts w:hint="eastAsia" w:eastAsia="仿宋_GB2312"/>
          <w:color w:val="000000"/>
          <w:sz w:val="32"/>
          <w:szCs w:val="32"/>
        </w:rPr>
        <w:t>厉行节约，减少开支。</w:t>
      </w:r>
    </w:p>
    <w:p>
      <w:pPr>
        <w:spacing w:line="600" w:lineRule="exact"/>
        <w:ind w:firstLine="640"/>
        <w:outlineLvl w:val="2"/>
        <w:rPr>
          <w:rFonts w:ascii="仿宋" w:hAnsi="仿宋" w:eastAsia="仿宋"/>
          <w:b/>
          <w:sz w:val="32"/>
          <w:szCs w:val="32"/>
        </w:rPr>
      </w:pPr>
      <w:bookmarkStart w:id="58" w:name="_Toc31964"/>
      <w:bookmarkStart w:id="59" w:name="_Toc15377217"/>
      <w:r>
        <w:rPr>
          <w:rFonts w:hint="eastAsia" w:ascii="仿宋" w:hAnsi="仿宋" w:eastAsia="仿宋"/>
          <w:b/>
          <w:sz w:val="32"/>
          <w:szCs w:val="32"/>
        </w:rPr>
        <w:t>（二）“三公”经费财政拨款支出决算具体情况说明</w:t>
      </w:r>
      <w:bookmarkEnd w:id="58"/>
      <w:bookmarkEnd w:id="59"/>
    </w:p>
    <w:p>
      <w:pPr>
        <w:ind w:firstLine="640" w:firstLineChars="200"/>
        <w:rPr>
          <w:rFonts w:hint="eastAsia" w:eastAsia="仿宋_GB2312"/>
          <w:color w:val="000000"/>
          <w:sz w:val="32"/>
          <w:szCs w:val="32"/>
        </w:rPr>
      </w:pPr>
      <w:r>
        <w:rPr>
          <w:rFonts w:hint="eastAsia" w:eastAsia="仿宋_GB2312"/>
          <w:color w:val="000000"/>
          <w:sz w:val="32"/>
          <w:szCs w:val="32"/>
        </w:rPr>
        <w:t>2022年“三公”经费财政拨款支出决算中，因公出国（境）费支出决算</w:t>
      </w:r>
      <w:r>
        <w:rPr>
          <w:rFonts w:hint="eastAsia" w:eastAsia="仿宋_GB2312"/>
          <w:color w:val="000000"/>
          <w:sz w:val="32"/>
          <w:szCs w:val="32"/>
          <w:lang w:val="en-US" w:eastAsia="zh-CN"/>
        </w:rPr>
        <w:t>0</w:t>
      </w:r>
      <w:r>
        <w:rPr>
          <w:rFonts w:hint="eastAsia" w:eastAsia="仿宋_GB2312"/>
          <w:color w:val="000000"/>
          <w:sz w:val="32"/>
          <w:szCs w:val="32"/>
        </w:rPr>
        <w:t>万元，占</w:t>
      </w:r>
      <w:r>
        <w:rPr>
          <w:rFonts w:hint="eastAsia" w:eastAsia="仿宋_GB2312"/>
          <w:color w:val="000000"/>
          <w:sz w:val="32"/>
          <w:szCs w:val="32"/>
          <w:lang w:val="en-US" w:eastAsia="zh-CN"/>
        </w:rPr>
        <w:t>0</w:t>
      </w:r>
      <w:r>
        <w:rPr>
          <w:rFonts w:hint="eastAsia" w:eastAsia="仿宋_GB2312"/>
          <w:color w:val="000000"/>
          <w:sz w:val="32"/>
          <w:szCs w:val="32"/>
        </w:rPr>
        <w:t>%；公务用车购置及运行维护费支出决算</w:t>
      </w:r>
      <w:r>
        <w:rPr>
          <w:rFonts w:hint="eastAsia" w:eastAsia="仿宋_GB2312"/>
          <w:color w:val="000000"/>
          <w:sz w:val="32"/>
          <w:szCs w:val="32"/>
          <w:lang w:val="en-US" w:eastAsia="zh-CN"/>
        </w:rPr>
        <w:t>0</w:t>
      </w:r>
      <w:r>
        <w:rPr>
          <w:rFonts w:hint="eastAsia" w:eastAsia="仿宋_GB2312"/>
          <w:color w:val="000000"/>
          <w:sz w:val="32"/>
          <w:szCs w:val="32"/>
        </w:rPr>
        <w:t>万元，占</w:t>
      </w:r>
      <w:r>
        <w:rPr>
          <w:rFonts w:hint="eastAsia" w:eastAsia="仿宋_GB2312"/>
          <w:color w:val="000000"/>
          <w:sz w:val="32"/>
          <w:szCs w:val="32"/>
          <w:lang w:val="en-US" w:eastAsia="zh-CN"/>
        </w:rPr>
        <w:t>0</w:t>
      </w:r>
      <w:r>
        <w:rPr>
          <w:rFonts w:hint="eastAsia" w:eastAsia="仿宋_GB2312"/>
          <w:color w:val="000000"/>
          <w:sz w:val="32"/>
          <w:szCs w:val="32"/>
        </w:rPr>
        <w:t>%；公务接待费支出决算</w:t>
      </w:r>
      <w:r>
        <w:rPr>
          <w:rFonts w:hint="eastAsia" w:eastAsia="仿宋_GB2312"/>
          <w:color w:val="000000"/>
          <w:sz w:val="32"/>
          <w:szCs w:val="32"/>
          <w:lang w:val="en-US" w:eastAsia="zh-CN"/>
        </w:rPr>
        <w:t>0.09</w:t>
      </w:r>
      <w:r>
        <w:rPr>
          <w:rFonts w:hint="eastAsia" w:eastAsia="仿宋_GB2312"/>
          <w:color w:val="000000"/>
          <w:sz w:val="32"/>
          <w:szCs w:val="32"/>
        </w:rPr>
        <w:t>万元，占</w:t>
      </w:r>
      <w:r>
        <w:rPr>
          <w:rFonts w:hint="eastAsia" w:eastAsia="仿宋_GB2312"/>
          <w:color w:val="000000"/>
          <w:sz w:val="32"/>
          <w:szCs w:val="32"/>
          <w:lang w:val="en-US" w:eastAsia="zh-CN"/>
        </w:rPr>
        <w:t>100</w:t>
      </w:r>
      <w:r>
        <w:rPr>
          <w:rFonts w:hint="eastAsia" w:eastAsia="仿宋_GB2312"/>
          <w:color w:val="000000"/>
          <w:sz w:val="32"/>
          <w:szCs w:val="32"/>
        </w:rPr>
        <w:t>%。具体情况如下：</w:t>
      </w:r>
    </w:p>
    <w:p>
      <w:pPr>
        <w:ind w:firstLine="640" w:firstLineChars="200"/>
        <w:rPr>
          <w:rFonts w:hint="eastAsia" w:eastAsia="仿宋_GB2312"/>
          <w:color w:val="000000"/>
          <w:sz w:val="32"/>
          <w:szCs w:val="32"/>
        </w:rPr>
      </w:pPr>
      <w:r>
        <w:rPr>
          <w:rFonts w:hint="eastAsia" w:eastAsia="仿宋_GB2312"/>
          <w:color w:val="000000"/>
          <w:sz w:val="32"/>
          <w:szCs w:val="32"/>
        </w:rPr>
        <w:t>（图7：“三公”经费财政拨款支出结构）</w:t>
      </w:r>
    </w:p>
    <w:p>
      <w:pPr>
        <w:pStyle w:val="2"/>
        <w:rPr>
          <w:rFonts w:hint="eastAsia" w:ascii="仿宋" w:hAnsi="仿宋" w:eastAsia="仿宋"/>
          <w:sz w:val="32"/>
          <w:szCs w:val="32"/>
        </w:rPr>
      </w:pPr>
      <w:r>
        <w:rPr>
          <w:rFonts w:hint="eastAsia" w:ascii="仿宋_GB2312" w:hAnsi="仿宋_GB2312" w:eastAsia="仿宋_GB2312" w:cs="仿宋_GB2312"/>
          <w:sz w:val="32"/>
          <w:szCs w:val="32"/>
        </w:rPr>
        <w:drawing>
          <wp:inline distT="0" distB="0" distL="114300" distR="114300">
            <wp:extent cx="5318125" cy="2913380"/>
            <wp:effectExtent l="4445" t="4445" r="11430" b="1587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
        <w:rPr>
          <w:rFonts w:hint="eastAsia" w:ascii="仿宋" w:hAnsi="仿宋" w:eastAsia="仿宋"/>
          <w:sz w:val="32"/>
          <w:szCs w:val="32"/>
        </w:rPr>
      </w:pPr>
    </w:p>
    <w:p>
      <w:pPr>
        <w:ind w:firstLine="643" w:firstLineChars="200"/>
        <w:rPr>
          <w:rFonts w:hint="eastAsia" w:eastAsia="仿宋_GB2312"/>
          <w:color w:val="000000"/>
          <w:sz w:val="32"/>
          <w:szCs w:val="32"/>
          <w:lang w:val="en-US" w:eastAsia="zh-CN"/>
        </w:rPr>
      </w:pPr>
      <w:r>
        <w:rPr>
          <w:rFonts w:hint="eastAsia" w:eastAsia="仿宋_GB2312"/>
          <w:b/>
          <w:bCs/>
          <w:color w:val="000000"/>
          <w:sz w:val="32"/>
          <w:szCs w:val="32"/>
        </w:rPr>
        <w:t>1.因公出国（境）经费</w:t>
      </w:r>
      <w:r>
        <w:rPr>
          <w:rFonts w:hint="eastAsia" w:eastAsia="仿宋_GB2312"/>
          <w:color w:val="000000"/>
          <w:sz w:val="32"/>
          <w:szCs w:val="32"/>
        </w:rPr>
        <w:t>支出</w:t>
      </w:r>
      <w:r>
        <w:rPr>
          <w:rFonts w:hint="eastAsia" w:eastAsia="仿宋_GB2312"/>
          <w:color w:val="000000"/>
          <w:sz w:val="32"/>
          <w:szCs w:val="32"/>
          <w:lang w:val="en-US" w:eastAsia="zh-CN"/>
        </w:rPr>
        <w:t>0</w:t>
      </w:r>
      <w:r>
        <w:rPr>
          <w:rFonts w:hint="eastAsia" w:eastAsia="仿宋_GB2312"/>
          <w:color w:val="000000"/>
          <w:sz w:val="32"/>
          <w:szCs w:val="32"/>
        </w:rPr>
        <w:t>万元，完成预算</w:t>
      </w:r>
      <w:r>
        <w:rPr>
          <w:rFonts w:hint="eastAsia" w:eastAsia="仿宋_GB2312"/>
          <w:color w:val="000000"/>
          <w:sz w:val="32"/>
          <w:szCs w:val="32"/>
          <w:lang w:val="en-US" w:eastAsia="zh-CN"/>
        </w:rPr>
        <w:t>100</w:t>
      </w:r>
      <w:r>
        <w:rPr>
          <w:rFonts w:hint="eastAsia" w:eastAsia="仿宋_GB2312"/>
          <w:color w:val="000000"/>
          <w:sz w:val="32"/>
          <w:szCs w:val="32"/>
        </w:rPr>
        <w:t>%。全年安排因公出国（境）团组</w:t>
      </w:r>
      <w:r>
        <w:rPr>
          <w:rFonts w:hint="eastAsia" w:eastAsia="仿宋_GB2312"/>
          <w:color w:val="000000"/>
          <w:sz w:val="32"/>
          <w:szCs w:val="32"/>
          <w:lang w:val="en-US" w:eastAsia="zh-CN"/>
        </w:rPr>
        <w:t>0</w:t>
      </w:r>
      <w:r>
        <w:rPr>
          <w:rFonts w:hint="eastAsia" w:eastAsia="仿宋_GB2312"/>
          <w:color w:val="000000"/>
          <w:sz w:val="32"/>
          <w:szCs w:val="32"/>
        </w:rPr>
        <w:t>次，出国（境）</w:t>
      </w:r>
      <w:r>
        <w:rPr>
          <w:rFonts w:hint="eastAsia" w:eastAsia="仿宋_GB2312"/>
          <w:color w:val="000000"/>
          <w:sz w:val="32"/>
          <w:szCs w:val="32"/>
          <w:lang w:val="en-US" w:eastAsia="zh-CN"/>
        </w:rPr>
        <w:t>0</w:t>
      </w:r>
      <w:r>
        <w:rPr>
          <w:rFonts w:hint="eastAsia" w:eastAsia="仿宋_GB2312"/>
          <w:color w:val="000000"/>
          <w:sz w:val="32"/>
          <w:szCs w:val="32"/>
        </w:rPr>
        <w:t>人。</w:t>
      </w:r>
    </w:p>
    <w:p>
      <w:pPr>
        <w:ind w:firstLine="643" w:firstLineChars="200"/>
        <w:rPr>
          <w:rFonts w:hint="eastAsia" w:eastAsia="仿宋_GB2312"/>
          <w:color w:val="000000"/>
          <w:sz w:val="32"/>
          <w:szCs w:val="32"/>
        </w:rPr>
      </w:pPr>
      <w:r>
        <w:rPr>
          <w:rFonts w:hint="eastAsia" w:eastAsia="仿宋_GB2312"/>
          <w:b/>
          <w:bCs/>
          <w:color w:val="000000"/>
          <w:sz w:val="32"/>
          <w:szCs w:val="32"/>
        </w:rPr>
        <w:t>2.公务用车购置及运行维护费</w:t>
      </w:r>
      <w:r>
        <w:rPr>
          <w:rFonts w:hint="eastAsia" w:eastAsia="仿宋_GB2312"/>
          <w:color w:val="000000"/>
          <w:sz w:val="32"/>
          <w:szCs w:val="32"/>
        </w:rPr>
        <w:t>支出</w:t>
      </w:r>
      <w:r>
        <w:rPr>
          <w:rFonts w:hint="eastAsia" w:eastAsia="仿宋_GB2312"/>
          <w:color w:val="000000"/>
          <w:sz w:val="32"/>
          <w:szCs w:val="32"/>
          <w:lang w:val="en-US" w:eastAsia="zh-CN"/>
        </w:rPr>
        <w:t>0</w:t>
      </w:r>
      <w:r>
        <w:rPr>
          <w:rFonts w:hint="eastAsia" w:eastAsia="仿宋_GB2312"/>
          <w:color w:val="000000"/>
          <w:sz w:val="32"/>
          <w:szCs w:val="32"/>
        </w:rPr>
        <w:t>万元,完成预算</w:t>
      </w:r>
      <w:r>
        <w:rPr>
          <w:rFonts w:hint="eastAsia" w:eastAsia="仿宋_GB2312"/>
          <w:color w:val="000000"/>
          <w:sz w:val="32"/>
          <w:szCs w:val="32"/>
          <w:lang w:val="en-US" w:eastAsia="zh-CN"/>
        </w:rPr>
        <w:t>100</w:t>
      </w:r>
      <w:r>
        <w:rPr>
          <w:rFonts w:hint="eastAsia" w:eastAsia="仿宋_GB2312"/>
          <w:color w:val="000000"/>
          <w:sz w:val="32"/>
          <w:szCs w:val="32"/>
        </w:rPr>
        <w:t>%。</w:t>
      </w:r>
    </w:p>
    <w:p>
      <w:pPr>
        <w:spacing w:line="600" w:lineRule="exact"/>
        <w:ind w:firstLine="640" w:firstLineChars="200"/>
        <w:rPr>
          <w:rFonts w:hint="eastAsia" w:eastAsia="仿宋_GB2312"/>
          <w:color w:val="000000"/>
          <w:sz w:val="32"/>
          <w:szCs w:val="32"/>
        </w:rPr>
      </w:pPr>
      <w:r>
        <w:rPr>
          <w:rFonts w:hint="eastAsia" w:eastAsia="仿宋_GB2312"/>
          <w:color w:val="000000"/>
          <w:sz w:val="32"/>
          <w:szCs w:val="32"/>
        </w:rPr>
        <w:t>其中：</w:t>
      </w:r>
      <w:r>
        <w:rPr>
          <w:rFonts w:hint="eastAsia" w:eastAsia="仿宋_GB2312"/>
          <w:b/>
          <w:bCs/>
          <w:color w:val="000000"/>
          <w:sz w:val="32"/>
          <w:szCs w:val="32"/>
        </w:rPr>
        <w:t>公务用车购置</w:t>
      </w:r>
      <w:r>
        <w:rPr>
          <w:rFonts w:hint="eastAsia" w:eastAsia="仿宋_GB2312"/>
          <w:color w:val="000000"/>
          <w:sz w:val="32"/>
          <w:szCs w:val="32"/>
        </w:rPr>
        <w:t>支出</w:t>
      </w:r>
      <w:r>
        <w:rPr>
          <w:rFonts w:hint="eastAsia" w:eastAsia="仿宋_GB2312"/>
          <w:color w:val="000000"/>
          <w:sz w:val="32"/>
          <w:szCs w:val="32"/>
          <w:lang w:val="en-US" w:eastAsia="zh-CN"/>
        </w:rPr>
        <w:t>0</w:t>
      </w:r>
      <w:r>
        <w:rPr>
          <w:rFonts w:hint="eastAsia" w:eastAsia="仿宋_GB2312"/>
          <w:color w:val="000000"/>
          <w:sz w:val="32"/>
          <w:szCs w:val="32"/>
        </w:rPr>
        <w:t>万元。</w:t>
      </w:r>
      <w:r>
        <w:rPr>
          <w:rFonts w:hint="eastAsia" w:ascii="仿宋_GB2312" w:eastAsia="仿宋_GB2312"/>
          <w:sz w:val="32"/>
          <w:szCs w:val="32"/>
        </w:rPr>
        <w:t>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ind w:firstLine="643" w:firstLineChars="200"/>
        <w:rPr>
          <w:rFonts w:hint="eastAsia" w:eastAsia="仿宋_GB2312"/>
          <w:color w:val="000000"/>
          <w:sz w:val="32"/>
          <w:szCs w:val="32"/>
        </w:rPr>
      </w:pPr>
      <w:r>
        <w:rPr>
          <w:rFonts w:hint="eastAsia" w:eastAsia="仿宋_GB2312"/>
          <w:b/>
          <w:bCs/>
          <w:color w:val="000000"/>
          <w:sz w:val="32"/>
          <w:szCs w:val="32"/>
        </w:rPr>
        <w:t>公务用车运行维护</w:t>
      </w:r>
      <w:r>
        <w:rPr>
          <w:rFonts w:hint="eastAsia" w:eastAsia="仿宋_GB2312"/>
          <w:color w:val="000000"/>
          <w:sz w:val="32"/>
          <w:szCs w:val="32"/>
        </w:rPr>
        <w:t>费支出</w:t>
      </w:r>
      <w:r>
        <w:rPr>
          <w:rFonts w:hint="eastAsia" w:eastAsia="仿宋_GB2312"/>
          <w:color w:val="000000"/>
          <w:sz w:val="32"/>
          <w:szCs w:val="32"/>
          <w:lang w:val="en-US" w:eastAsia="zh-CN"/>
        </w:rPr>
        <w:t>0</w:t>
      </w:r>
      <w:r>
        <w:rPr>
          <w:rFonts w:hint="eastAsia" w:eastAsia="仿宋_GB2312"/>
          <w:color w:val="000000"/>
          <w:sz w:val="32"/>
          <w:szCs w:val="32"/>
        </w:rPr>
        <w:t>万元。</w:t>
      </w:r>
    </w:p>
    <w:p>
      <w:pPr>
        <w:ind w:firstLine="643" w:firstLineChars="200"/>
        <w:rPr>
          <w:rFonts w:hint="eastAsia" w:eastAsia="仿宋_GB2312"/>
          <w:color w:val="000000"/>
          <w:sz w:val="32"/>
          <w:szCs w:val="32"/>
        </w:rPr>
      </w:pPr>
      <w:r>
        <w:rPr>
          <w:rFonts w:hint="eastAsia" w:eastAsia="仿宋_GB2312"/>
          <w:b/>
          <w:bCs/>
          <w:color w:val="000000"/>
          <w:sz w:val="32"/>
          <w:szCs w:val="32"/>
        </w:rPr>
        <w:t>3.公务接待费支出</w:t>
      </w:r>
      <w:r>
        <w:rPr>
          <w:rFonts w:hint="eastAsia" w:eastAsia="仿宋_GB2312"/>
          <w:color w:val="000000"/>
          <w:sz w:val="32"/>
          <w:szCs w:val="32"/>
          <w:lang w:val="en-US" w:eastAsia="zh-CN"/>
        </w:rPr>
        <w:t>0.09</w:t>
      </w:r>
      <w:r>
        <w:rPr>
          <w:rFonts w:hint="eastAsia" w:eastAsia="仿宋_GB2312"/>
          <w:color w:val="000000"/>
          <w:sz w:val="32"/>
          <w:szCs w:val="32"/>
        </w:rPr>
        <w:t>万元，完成预算</w:t>
      </w:r>
      <w:r>
        <w:rPr>
          <w:rFonts w:hint="eastAsia" w:eastAsia="仿宋_GB2312"/>
          <w:color w:val="000000"/>
          <w:sz w:val="32"/>
          <w:szCs w:val="32"/>
          <w:lang w:val="en-US" w:eastAsia="zh-CN"/>
        </w:rPr>
        <w:t>100</w:t>
      </w:r>
      <w:r>
        <w:rPr>
          <w:rFonts w:hint="eastAsia" w:eastAsia="仿宋_GB2312"/>
          <w:color w:val="000000"/>
          <w:sz w:val="32"/>
          <w:szCs w:val="32"/>
        </w:rPr>
        <w:t>%。公务接待费支出决算比2021年减少</w:t>
      </w:r>
      <w:r>
        <w:rPr>
          <w:rFonts w:hint="eastAsia" w:eastAsia="仿宋_GB2312"/>
          <w:color w:val="000000"/>
          <w:sz w:val="32"/>
          <w:szCs w:val="32"/>
          <w:lang w:val="en-US" w:eastAsia="zh-CN"/>
        </w:rPr>
        <w:t>0.33</w:t>
      </w:r>
      <w:r>
        <w:rPr>
          <w:rFonts w:hint="eastAsia" w:eastAsia="仿宋_GB2312"/>
          <w:color w:val="000000"/>
          <w:sz w:val="32"/>
          <w:szCs w:val="32"/>
        </w:rPr>
        <w:t>万元，下降</w:t>
      </w:r>
      <w:r>
        <w:rPr>
          <w:rFonts w:hint="eastAsia" w:eastAsia="仿宋_GB2312"/>
          <w:color w:val="000000"/>
          <w:sz w:val="32"/>
          <w:szCs w:val="32"/>
          <w:lang w:val="en-US" w:eastAsia="zh-CN"/>
        </w:rPr>
        <w:t>78.6</w:t>
      </w:r>
      <w:r>
        <w:rPr>
          <w:rFonts w:hint="eastAsia" w:eastAsia="仿宋_GB2312"/>
          <w:color w:val="000000"/>
          <w:sz w:val="32"/>
          <w:szCs w:val="32"/>
        </w:rPr>
        <w:t>%。主要原因是</w:t>
      </w:r>
      <w:r>
        <w:rPr>
          <w:rFonts w:hint="eastAsia" w:eastAsia="仿宋_GB2312"/>
          <w:color w:val="000000"/>
          <w:sz w:val="32"/>
          <w:szCs w:val="32"/>
          <w:lang w:val="en-US" w:eastAsia="zh-CN"/>
        </w:rPr>
        <w:t>单位严格按预算执行，</w:t>
      </w:r>
      <w:r>
        <w:rPr>
          <w:rFonts w:hint="eastAsia" w:eastAsia="仿宋_GB2312"/>
          <w:color w:val="000000"/>
          <w:sz w:val="32"/>
          <w:szCs w:val="32"/>
        </w:rPr>
        <w:t>厉行节约，减少开支。其中：</w:t>
      </w:r>
    </w:p>
    <w:p>
      <w:pPr>
        <w:ind w:firstLine="643" w:firstLineChars="200"/>
        <w:rPr>
          <w:rFonts w:hint="eastAsia" w:eastAsia="仿宋_GB2312"/>
          <w:color w:val="000000"/>
          <w:sz w:val="32"/>
          <w:szCs w:val="32"/>
        </w:rPr>
      </w:pPr>
      <w:r>
        <w:rPr>
          <w:rFonts w:hint="eastAsia" w:eastAsia="仿宋_GB2312"/>
          <w:b/>
          <w:bCs/>
          <w:color w:val="000000"/>
          <w:sz w:val="32"/>
          <w:szCs w:val="32"/>
        </w:rPr>
        <w:t>国内公务接待支出</w:t>
      </w:r>
      <w:r>
        <w:rPr>
          <w:rFonts w:hint="eastAsia" w:eastAsia="仿宋_GB2312"/>
          <w:color w:val="000000"/>
          <w:sz w:val="32"/>
          <w:szCs w:val="32"/>
          <w:lang w:val="en-US" w:eastAsia="zh-CN"/>
        </w:rPr>
        <w:t>0.09</w:t>
      </w:r>
      <w:r>
        <w:rPr>
          <w:rFonts w:hint="eastAsia" w:eastAsia="仿宋_GB2312"/>
          <w:color w:val="000000"/>
          <w:sz w:val="32"/>
          <w:szCs w:val="32"/>
        </w:rPr>
        <w:t>万元，主要用于</w:t>
      </w:r>
      <w:r>
        <w:rPr>
          <w:rFonts w:hint="eastAsia" w:eastAsia="仿宋_GB2312"/>
          <w:color w:val="000000"/>
          <w:sz w:val="32"/>
          <w:szCs w:val="32"/>
          <w:lang w:val="en-US" w:eastAsia="zh-CN"/>
        </w:rPr>
        <w:t>接待四川省货运专家来攀枝花授课</w:t>
      </w:r>
      <w:r>
        <w:rPr>
          <w:rFonts w:hint="eastAsia" w:eastAsia="仿宋_GB2312"/>
          <w:color w:val="000000"/>
          <w:sz w:val="32"/>
          <w:szCs w:val="32"/>
        </w:rPr>
        <w:t>用餐费。国内公务接待</w:t>
      </w:r>
      <w:r>
        <w:rPr>
          <w:rFonts w:hint="eastAsia" w:eastAsia="仿宋_GB2312"/>
          <w:color w:val="000000"/>
          <w:sz w:val="32"/>
          <w:szCs w:val="32"/>
          <w:lang w:val="en-US" w:eastAsia="zh-CN"/>
        </w:rPr>
        <w:t>1</w:t>
      </w:r>
      <w:r>
        <w:rPr>
          <w:rFonts w:hint="eastAsia" w:eastAsia="仿宋_GB2312"/>
          <w:color w:val="000000"/>
          <w:sz w:val="32"/>
          <w:szCs w:val="32"/>
        </w:rPr>
        <w:t>批次，</w:t>
      </w:r>
      <w:r>
        <w:rPr>
          <w:rFonts w:hint="eastAsia" w:eastAsia="仿宋_GB2312"/>
          <w:color w:val="000000"/>
          <w:sz w:val="32"/>
          <w:szCs w:val="32"/>
          <w:lang w:val="en-US" w:eastAsia="zh-CN"/>
        </w:rPr>
        <w:t>5</w:t>
      </w:r>
      <w:r>
        <w:rPr>
          <w:rFonts w:hint="eastAsia" w:eastAsia="仿宋_GB2312"/>
          <w:color w:val="000000"/>
          <w:sz w:val="32"/>
          <w:szCs w:val="32"/>
        </w:rPr>
        <w:t>人次（不包括陪同人员），共计支出</w:t>
      </w:r>
      <w:r>
        <w:rPr>
          <w:rFonts w:hint="eastAsia" w:eastAsia="仿宋_GB2312"/>
          <w:color w:val="000000"/>
          <w:sz w:val="32"/>
          <w:szCs w:val="32"/>
          <w:lang w:val="en-US" w:eastAsia="zh-CN"/>
        </w:rPr>
        <w:t>0.09</w:t>
      </w:r>
      <w:r>
        <w:rPr>
          <w:rFonts w:hint="eastAsia" w:eastAsia="仿宋_GB2312"/>
          <w:color w:val="000000"/>
          <w:sz w:val="32"/>
          <w:szCs w:val="32"/>
        </w:rPr>
        <w:t>万元，具体内容包括：</w:t>
      </w:r>
      <w:r>
        <w:rPr>
          <w:rFonts w:hint="eastAsia" w:eastAsia="仿宋_GB2312"/>
          <w:color w:val="000000"/>
          <w:sz w:val="32"/>
          <w:szCs w:val="32"/>
          <w:lang w:val="en-US" w:eastAsia="zh-CN"/>
        </w:rPr>
        <w:t>接待四川省货运专家来攀枝花授课公务接待餐费，共计0.09万元</w:t>
      </w:r>
      <w:r>
        <w:rPr>
          <w:rFonts w:hint="eastAsia" w:eastAsia="仿宋_GB2312"/>
          <w:color w:val="000000"/>
          <w:sz w:val="32"/>
          <w:szCs w:val="32"/>
        </w:rPr>
        <w:t>。</w:t>
      </w:r>
    </w:p>
    <w:p>
      <w:pPr>
        <w:ind w:firstLine="643" w:firstLineChars="200"/>
        <w:rPr>
          <w:rFonts w:hint="eastAsia" w:eastAsia="仿宋_GB2312"/>
          <w:color w:val="000000"/>
          <w:sz w:val="32"/>
          <w:szCs w:val="32"/>
        </w:rPr>
      </w:pPr>
      <w:r>
        <w:rPr>
          <w:rFonts w:hint="eastAsia" w:eastAsia="仿宋_GB2312"/>
          <w:b/>
          <w:bCs/>
          <w:color w:val="000000"/>
          <w:sz w:val="32"/>
          <w:szCs w:val="32"/>
        </w:rPr>
        <w:t>外事接待支出</w:t>
      </w:r>
      <w:r>
        <w:rPr>
          <w:rFonts w:hint="eastAsia" w:eastAsia="仿宋_GB2312"/>
          <w:color w:val="000000"/>
          <w:sz w:val="32"/>
          <w:szCs w:val="32"/>
          <w:lang w:val="en-US" w:eastAsia="zh-CN"/>
        </w:rPr>
        <w:t>0</w:t>
      </w:r>
      <w:r>
        <w:rPr>
          <w:rFonts w:hint="eastAsia" w:eastAsia="仿宋_GB2312"/>
          <w:color w:val="000000"/>
          <w:sz w:val="32"/>
          <w:szCs w:val="32"/>
        </w:rPr>
        <w:t>万元。</w:t>
      </w:r>
    </w:p>
    <w:p>
      <w:pPr>
        <w:spacing w:line="600" w:lineRule="exact"/>
        <w:ind w:firstLine="640"/>
        <w:outlineLvl w:val="9"/>
        <w:rPr>
          <w:rFonts w:ascii="黑体" w:eastAsia="黑体"/>
          <w:sz w:val="32"/>
          <w:szCs w:val="32"/>
        </w:rPr>
      </w:pPr>
      <w:bookmarkStart w:id="60" w:name="_Toc15377218"/>
      <w:bookmarkStart w:id="61" w:name="_Toc15396610"/>
    </w:p>
    <w:p>
      <w:pPr>
        <w:spacing w:line="600" w:lineRule="exact"/>
        <w:ind w:firstLine="640"/>
        <w:outlineLvl w:val="1"/>
        <w:rPr>
          <w:rStyle w:val="25"/>
          <w:rFonts w:ascii="黑体" w:hAnsi="黑体" w:eastAsia="黑体"/>
        </w:rPr>
      </w:pPr>
      <w:bookmarkStart w:id="62" w:name="_Toc27901"/>
      <w:r>
        <w:rPr>
          <w:rFonts w:hint="eastAsia" w:ascii="黑体" w:eastAsia="黑体"/>
          <w:sz w:val="32"/>
          <w:szCs w:val="32"/>
        </w:rPr>
        <w:t>八、</w:t>
      </w:r>
      <w:r>
        <w:rPr>
          <w:rStyle w:val="25"/>
          <w:rFonts w:hint="eastAsia" w:ascii="黑体" w:hAnsi="黑体" w:eastAsia="黑体"/>
          <w:b w:val="0"/>
        </w:rPr>
        <w:t>政府性基金预算支出决算情况说明</w:t>
      </w:r>
      <w:bookmarkEnd w:id="60"/>
      <w:bookmarkEnd w:id="61"/>
      <w:bookmarkEnd w:id="62"/>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5"/>
          <w:rFonts w:ascii="黑体" w:hAnsi="黑体" w:eastAsia="黑体"/>
          <w:b w:val="0"/>
        </w:rPr>
      </w:pPr>
      <w:bookmarkStart w:id="63" w:name="_Toc15377219"/>
      <w:bookmarkStart w:id="64" w:name="_Toc21216"/>
      <w:bookmarkStart w:id="65" w:name="_Toc15396611"/>
      <w:r>
        <w:rPr>
          <w:rStyle w:val="25"/>
          <w:rFonts w:hint="eastAsia" w:ascii="黑体" w:hAnsi="黑体" w:eastAsia="黑体"/>
          <w:b w:val="0"/>
        </w:rPr>
        <w:t>国有资本经营预算支出决算情况说明</w:t>
      </w:r>
      <w:bookmarkEnd w:id="63"/>
      <w:bookmarkEnd w:id="64"/>
      <w:bookmarkEnd w:id="6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5"/>
          <w:rFonts w:ascii="黑体" w:hAnsi="黑体" w:eastAsia="黑体"/>
          <w:b w:val="0"/>
        </w:rPr>
      </w:pPr>
      <w:bookmarkStart w:id="66" w:name="_Toc21137"/>
      <w:bookmarkStart w:id="67" w:name="_Toc15377221"/>
      <w:bookmarkStart w:id="68" w:name="_Toc15396612"/>
      <w:r>
        <w:rPr>
          <w:rStyle w:val="25"/>
          <w:rFonts w:hint="eastAsia" w:ascii="黑体" w:hAnsi="黑体" w:eastAsia="黑体"/>
          <w:b w:val="0"/>
        </w:rPr>
        <w:t>其他重要事项的情况说明</w:t>
      </w:r>
      <w:bookmarkEnd w:id="66"/>
      <w:bookmarkEnd w:id="67"/>
      <w:bookmarkEnd w:id="68"/>
    </w:p>
    <w:p>
      <w:pPr>
        <w:spacing w:line="600" w:lineRule="exact"/>
        <w:ind w:firstLine="640" w:firstLineChars="200"/>
        <w:outlineLvl w:val="2"/>
        <w:rPr>
          <w:rFonts w:ascii="仿宋" w:hAnsi="仿宋" w:eastAsia="仿宋"/>
          <w:sz w:val="32"/>
          <w:szCs w:val="32"/>
        </w:rPr>
      </w:pPr>
      <w:bookmarkStart w:id="69" w:name="_Toc735"/>
      <w:bookmarkStart w:id="70" w:name="_Toc15377222"/>
      <w:r>
        <w:rPr>
          <w:rFonts w:hint="eastAsia" w:ascii="仿宋" w:hAnsi="仿宋" w:eastAsia="仿宋"/>
          <w:b/>
          <w:sz w:val="32"/>
          <w:szCs w:val="32"/>
        </w:rPr>
        <w:t>（一）机关运行经费支出情况</w:t>
      </w:r>
      <w:bookmarkEnd w:id="69"/>
      <w:bookmarkEnd w:id="70"/>
    </w:p>
    <w:p>
      <w:pPr>
        <w:spacing w:line="600" w:lineRule="exact"/>
        <w:ind w:firstLine="640" w:firstLineChars="20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攀枝花市交通运输服务中心</w:t>
      </w:r>
      <w:r>
        <w:rPr>
          <w:rFonts w:hint="eastAsia" w:ascii="仿宋_GB2312" w:eastAsia="仿宋_GB2312"/>
          <w:sz w:val="32"/>
          <w:szCs w:val="32"/>
        </w:rPr>
        <w:t>机关运行经费支出</w:t>
      </w:r>
      <w:r>
        <w:rPr>
          <w:rFonts w:hint="eastAsia" w:ascii="仿宋_GB2312" w:eastAsia="仿宋_GB2312"/>
          <w:sz w:val="32"/>
          <w:szCs w:val="32"/>
          <w:lang w:val="en-US" w:eastAsia="zh-CN"/>
        </w:rPr>
        <w:t>55.27</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11.79</w:t>
      </w:r>
      <w:r>
        <w:rPr>
          <w:rFonts w:hint="eastAsia" w:ascii="仿宋_GB2312" w:eastAsia="仿宋_GB2312"/>
          <w:sz w:val="32"/>
          <w:szCs w:val="32"/>
        </w:rPr>
        <w:t>万元，下降</w:t>
      </w:r>
      <w:r>
        <w:rPr>
          <w:rFonts w:hint="eastAsia" w:ascii="仿宋_GB2312" w:eastAsia="仿宋_GB2312"/>
          <w:sz w:val="32"/>
          <w:szCs w:val="32"/>
          <w:lang w:val="en-US" w:eastAsia="zh-CN"/>
        </w:rPr>
        <w:t>17.6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单位厉行节约、减少开支。</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71" w:name="_Toc15377223"/>
      <w:bookmarkStart w:id="72" w:name="_Toc22912"/>
      <w:r>
        <w:rPr>
          <w:rFonts w:hint="eastAsia" w:ascii="仿宋" w:hAnsi="仿宋" w:eastAsia="仿宋"/>
          <w:b/>
          <w:sz w:val="32"/>
          <w:szCs w:val="32"/>
        </w:rPr>
        <w:t>（二）政府采购支出情况</w:t>
      </w:r>
      <w:bookmarkEnd w:id="71"/>
      <w:bookmarkEnd w:id="72"/>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攀枝花市交通运输服务中心</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73" w:name="_Toc32237"/>
      <w:bookmarkStart w:id="74" w:name="_Toc15377224"/>
      <w:r>
        <w:rPr>
          <w:rFonts w:hint="eastAsia" w:ascii="仿宋" w:hAnsi="仿宋" w:eastAsia="仿宋"/>
          <w:b/>
          <w:sz w:val="32"/>
          <w:szCs w:val="32"/>
        </w:rPr>
        <w:t>（三）国有资产占有使用情况</w:t>
      </w:r>
      <w:bookmarkEnd w:id="73"/>
      <w:bookmarkEnd w:id="7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攀枝花市交通运输服务中心</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75" w:name="_Toc15082"/>
      <w:r>
        <w:rPr>
          <w:rFonts w:hint="eastAsia" w:ascii="仿宋" w:hAnsi="仿宋" w:eastAsia="仿宋"/>
          <w:b/>
          <w:sz w:val="32"/>
          <w:szCs w:val="32"/>
        </w:rPr>
        <w:t>（四）预算绩效管理情况</w:t>
      </w:r>
      <w:bookmarkEnd w:id="75"/>
    </w:p>
    <w:p>
      <w:pPr>
        <w:pStyle w:val="2"/>
        <w:spacing w:before="93"/>
        <w:ind w:firstLine="640" w:firstLineChars="200"/>
        <w:rPr>
          <w:color w:val="auto"/>
          <w:highlight w:val="yellow"/>
        </w:rPr>
      </w:pPr>
      <w:r>
        <w:rPr>
          <w:rFonts w:hint="eastAsia" w:hAnsi="仿宋_GB2312" w:cs="仿宋_GB2312"/>
          <w:color w:val="auto"/>
          <w:sz w:val="32"/>
          <w:szCs w:val="32"/>
        </w:rPr>
        <w:t>根据预算绩效管理要求，本单位在2022年度预算编制阶段，组织对</w:t>
      </w:r>
      <w:r>
        <w:rPr>
          <w:rFonts w:hint="eastAsia" w:hAnsi="仿宋_GB2312" w:cs="仿宋_GB2312"/>
          <w:color w:val="auto"/>
          <w:sz w:val="32"/>
          <w:szCs w:val="32"/>
          <w:lang w:val="en-US" w:eastAsia="zh-CN"/>
        </w:rPr>
        <w:t>工伤职工医疗费、出租车2020年油补</w:t>
      </w:r>
      <w:r>
        <w:rPr>
          <w:rFonts w:hint="eastAsia" w:hAnsi="仿宋_GB2312" w:cs="仿宋_GB2312"/>
          <w:color w:val="auto"/>
          <w:sz w:val="32"/>
          <w:szCs w:val="32"/>
        </w:rPr>
        <w:t>项目（项目名称）等</w:t>
      </w:r>
      <w:r>
        <w:rPr>
          <w:rFonts w:hint="eastAsia" w:hAnsi="仿宋_GB2312" w:cs="仿宋_GB2312"/>
          <w:color w:val="auto"/>
          <w:sz w:val="32"/>
          <w:szCs w:val="32"/>
          <w:lang w:val="en-US" w:eastAsia="zh-CN"/>
        </w:rPr>
        <w:t>17</w:t>
      </w:r>
      <w:r>
        <w:rPr>
          <w:rFonts w:hint="eastAsia" w:hAnsi="仿宋_GB2312" w:cs="仿宋_GB2312"/>
          <w:color w:val="auto"/>
          <w:sz w:val="32"/>
          <w:szCs w:val="32"/>
        </w:rPr>
        <w:t>个项目开展了预算事前绩效评估，对</w:t>
      </w:r>
      <w:r>
        <w:rPr>
          <w:rFonts w:hint="eastAsia" w:hAnsi="仿宋_GB2312" w:cs="仿宋_GB2312"/>
          <w:color w:val="auto"/>
          <w:sz w:val="32"/>
          <w:szCs w:val="32"/>
          <w:lang w:val="en-US" w:eastAsia="zh-CN"/>
        </w:rPr>
        <w:t>17</w:t>
      </w:r>
      <w:r>
        <w:rPr>
          <w:rFonts w:hint="eastAsia" w:hAnsi="仿宋_GB2312" w:cs="仿宋_GB2312"/>
          <w:color w:val="auto"/>
          <w:sz w:val="32"/>
          <w:szCs w:val="32"/>
        </w:rPr>
        <w:t>个项目编制了绩效目标，预算执行过程中，选取</w:t>
      </w:r>
      <w:r>
        <w:rPr>
          <w:rFonts w:hint="eastAsia" w:hAnsi="仿宋_GB2312" w:cs="仿宋_GB2312"/>
          <w:color w:val="auto"/>
          <w:sz w:val="32"/>
          <w:szCs w:val="32"/>
          <w:lang w:val="en-US" w:eastAsia="zh-CN"/>
        </w:rPr>
        <w:t>17</w:t>
      </w:r>
      <w:r>
        <w:rPr>
          <w:rFonts w:hint="eastAsia" w:hAnsi="仿宋_GB2312" w:cs="仿宋_GB2312"/>
          <w:color w:val="auto"/>
          <w:sz w:val="32"/>
          <w:szCs w:val="32"/>
        </w:rPr>
        <w:t>个项目开展绩效监控，组织对</w:t>
      </w:r>
      <w:r>
        <w:rPr>
          <w:rFonts w:hint="eastAsia" w:hAnsi="仿宋_GB2312" w:cs="仿宋_GB2312"/>
          <w:color w:val="auto"/>
          <w:sz w:val="32"/>
          <w:szCs w:val="32"/>
          <w:lang w:val="en-US" w:eastAsia="zh-CN"/>
        </w:rPr>
        <w:t>17</w:t>
      </w:r>
      <w:r>
        <w:rPr>
          <w:rFonts w:hint="eastAsia" w:hAnsi="仿宋_GB2312" w:cs="仿宋_GB2312"/>
          <w:color w:val="auto"/>
          <w:sz w:val="32"/>
          <w:szCs w:val="32"/>
        </w:rPr>
        <w:t>个项目开展绩效自评，绩效自评表详见第四部分附件。</w:t>
      </w:r>
    </w:p>
    <w:p>
      <w:pPr>
        <w:widowControl/>
        <w:jc w:val="left"/>
        <w:rPr>
          <w:rFonts w:ascii="仿宋_GB2312" w:eastAsia="仿宋_GB2312"/>
          <w:b/>
          <w:color w:val="0000FF"/>
          <w:sz w:val="32"/>
          <w:szCs w:val="32"/>
        </w:rPr>
      </w:pPr>
      <w:r>
        <w:rPr>
          <w:rFonts w:ascii="仿宋_GB2312" w:eastAsia="仿宋_GB2312"/>
          <w:b/>
          <w:color w:val="0000FF"/>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76" w:name="_Toc23450"/>
      <w:bookmarkStart w:id="77" w:name="_Toc15396613"/>
      <w:bookmarkStart w:id="78" w:name="_Toc15377225"/>
      <w:r>
        <w:rPr>
          <w:rFonts w:hint="eastAsia" w:ascii="黑体" w:hAnsi="黑体" w:eastAsia="黑体"/>
          <w:sz w:val="44"/>
          <w:szCs w:val="44"/>
        </w:rPr>
        <w:t>名</w:t>
      </w:r>
      <w:r>
        <w:rPr>
          <w:rStyle w:val="24"/>
          <w:rFonts w:hint="eastAsia" w:ascii="黑体" w:hAnsi="黑体" w:eastAsia="黑体"/>
          <w:b w:val="0"/>
        </w:rPr>
        <w:t>词解释</w:t>
      </w:r>
      <w:bookmarkEnd w:id="76"/>
      <w:bookmarkEnd w:id="77"/>
      <w:bookmarkEnd w:id="78"/>
    </w:p>
    <w:p>
      <w:pPr>
        <w:spacing w:line="600" w:lineRule="exact"/>
        <w:jc w:val="left"/>
        <w:rPr>
          <w:rFonts w:ascii="宋体"/>
          <w:b/>
          <w:sz w:val="44"/>
          <w:szCs w:val="44"/>
        </w:rPr>
      </w:pPr>
    </w:p>
    <w:p>
      <w:pPr>
        <w:pStyle w:val="22"/>
        <w:spacing w:line="560" w:lineRule="exact"/>
        <w:ind w:firstLine="640" w:firstLineChars="200"/>
        <w:rPr>
          <w:rFonts w:ascii="Times New Roman" w:hAnsi="Times New Roman" w:eastAsia="仿宋_GB2312" w:cs="Times New Roman"/>
          <w:sz w:val="32"/>
          <w:szCs w:val="32"/>
        </w:rPr>
      </w:pPr>
      <w:bookmarkStart w:id="79" w:name="_Toc15377226"/>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.财政拨款收入：指单位从同级财政部门取得的财政预算资金。</w:t>
      </w:r>
    </w:p>
    <w:p>
      <w:pPr>
        <w:pStyle w:val="2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仿宋_GB2312" w:eastAsia="仿宋_GB2312"/>
          <w:sz w:val="32"/>
          <w:szCs w:val="32"/>
        </w:rPr>
        <w:t>其他收入：指单位取得的除上述收入以外的各项收入。主要是非同级财政拨款收入等。</w:t>
      </w:r>
    </w:p>
    <w:p>
      <w:pPr>
        <w:pStyle w:val="22"/>
        <w:ind w:firstLine="640" w:firstLineChars="200"/>
        <w:rPr>
          <w:rFonts w:ascii="仿宋_GB2312" w:eastAsia="仿宋_GB2312"/>
          <w:sz w:val="32"/>
          <w:szCs w:val="32"/>
        </w:rPr>
      </w:pPr>
      <w:r>
        <w:rPr>
          <w:rFonts w:hint="eastAsia" w:ascii="Times New Roman" w:hAnsi="Times New Roman" w:eastAsia="仿宋_GB2312" w:cs="Times New Roman"/>
          <w:sz w:val="32"/>
          <w:szCs w:val="32"/>
        </w:rPr>
        <w:t>3.</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2"/>
        <w:ind w:firstLine="640" w:firstLineChars="200"/>
        <w:rPr>
          <w:rFonts w:ascii="仿宋_GB2312" w:eastAsia="仿宋_GB2312"/>
          <w:sz w:val="32"/>
          <w:szCs w:val="32"/>
        </w:rPr>
      </w:pPr>
      <w:r>
        <w:rPr>
          <w:rFonts w:hint="eastAsia" w:ascii="Times New Roman" w:hAnsi="Times New Roman" w:eastAsia="仿宋_GB2312" w:cs="Times New Roman"/>
          <w:sz w:val="32"/>
          <w:szCs w:val="32"/>
        </w:rPr>
        <w:t>4.</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ind w:firstLine="640" w:firstLineChars="200"/>
        <w:rPr>
          <w:rFonts w:ascii="仿宋_GB2312" w:eastAsia="仿宋_GB2312"/>
          <w:sz w:val="32"/>
          <w:szCs w:val="32"/>
        </w:rPr>
      </w:pPr>
      <w:r>
        <w:rPr>
          <w:rFonts w:hint="eastAsia" w:ascii="Times New Roman" w:hAnsi="Times New Roman" w:eastAsia="仿宋_GB2312" w:cs="Times New Roman"/>
          <w:sz w:val="32"/>
          <w:szCs w:val="32"/>
        </w:rPr>
        <w:t>5.</w:t>
      </w:r>
      <w:r>
        <w:rPr>
          <w:rFonts w:hint="eastAsia" w:ascii="仿宋_GB2312" w:eastAsia="仿宋_GB2312"/>
          <w:sz w:val="32"/>
          <w:szCs w:val="32"/>
        </w:rPr>
        <w:t>年末结转和结余：指单位按有关规定结转到下年或以后年度继续使用的资金。</w:t>
      </w:r>
    </w:p>
    <w:p>
      <w:pPr>
        <w:ind w:firstLine="640" w:firstLineChars="200"/>
        <w:rPr>
          <w:rFonts w:eastAsia="仿宋_GB2312"/>
          <w:color w:val="000000"/>
          <w:sz w:val="32"/>
          <w:szCs w:val="32"/>
        </w:rPr>
      </w:pPr>
      <w:r>
        <w:rPr>
          <w:rFonts w:hint="eastAsia" w:eastAsia="仿宋_GB2312"/>
          <w:color w:val="000000"/>
          <w:sz w:val="32"/>
          <w:szCs w:val="32"/>
          <w:lang w:val="en-US" w:eastAsia="zh-CN"/>
        </w:rPr>
        <w:t>6</w:t>
      </w:r>
      <w:r>
        <w:rPr>
          <w:rFonts w:eastAsia="仿宋_GB2312"/>
          <w:color w:val="000000"/>
          <w:sz w:val="32"/>
          <w:szCs w:val="32"/>
        </w:rPr>
        <w:t>.</w:t>
      </w:r>
      <w:r>
        <w:rPr>
          <w:rFonts w:hint="eastAsia" w:eastAsia="仿宋_GB2312"/>
          <w:color w:val="000000"/>
          <w:sz w:val="32"/>
          <w:szCs w:val="32"/>
        </w:rPr>
        <w:t>社会保障和就业支出（类）行政事业单位养老支出（款）行政单位离退休（项）：指行政单位（包括实行公务员法管理的事业单位）开支的离退休经费。</w:t>
      </w:r>
    </w:p>
    <w:p>
      <w:pPr>
        <w:ind w:firstLine="640" w:firstLineChars="200"/>
        <w:rPr>
          <w:rFonts w:hint="eastAsia" w:eastAsia="仿宋_GB2312"/>
          <w:color w:val="000000"/>
          <w:sz w:val="32"/>
          <w:szCs w:val="32"/>
        </w:rPr>
      </w:pPr>
      <w:r>
        <w:rPr>
          <w:rFonts w:hint="eastAsia" w:eastAsia="仿宋_GB2312"/>
          <w:color w:val="000000"/>
          <w:sz w:val="32"/>
          <w:szCs w:val="32"/>
          <w:lang w:val="en-US" w:eastAsia="zh-CN"/>
        </w:rPr>
        <w:t>7</w:t>
      </w:r>
      <w:r>
        <w:rPr>
          <w:rFonts w:eastAsia="仿宋_GB2312"/>
          <w:color w:val="000000"/>
          <w:sz w:val="32"/>
          <w:szCs w:val="32"/>
        </w:rPr>
        <w:t>.</w:t>
      </w:r>
      <w:r>
        <w:rPr>
          <w:rFonts w:hint="eastAsia" w:eastAsia="仿宋_GB2312"/>
          <w:color w:val="000000"/>
          <w:sz w:val="32"/>
          <w:szCs w:val="32"/>
        </w:rPr>
        <w:t>社会保障和就业支出（类）</w:t>
      </w:r>
      <w:r>
        <w:rPr>
          <w:rFonts w:hint="eastAsia" w:eastAsia="仿宋_GB2312"/>
          <w:color w:val="000000"/>
          <w:sz w:val="32"/>
          <w:szCs w:val="32"/>
          <w:lang w:val="en-US" w:eastAsia="zh-CN"/>
        </w:rPr>
        <w:t>抚恤</w:t>
      </w:r>
      <w:r>
        <w:rPr>
          <w:rFonts w:hint="eastAsia" w:eastAsia="仿宋_GB2312"/>
          <w:color w:val="000000"/>
          <w:sz w:val="32"/>
          <w:szCs w:val="32"/>
        </w:rPr>
        <w:t>（款）</w:t>
      </w:r>
      <w:r>
        <w:rPr>
          <w:rFonts w:hint="eastAsia" w:eastAsia="仿宋_GB2312"/>
          <w:color w:val="000000"/>
          <w:sz w:val="32"/>
          <w:szCs w:val="32"/>
          <w:lang w:val="en-US" w:eastAsia="zh-CN"/>
        </w:rPr>
        <w:t>死亡抚恤</w:t>
      </w:r>
      <w:r>
        <w:rPr>
          <w:rFonts w:hint="eastAsia" w:eastAsia="仿宋_GB2312"/>
          <w:color w:val="000000"/>
          <w:sz w:val="32"/>
          <w:szCs w:val="32"/>
        </w:rPr>
        <w:t>（项）：指机关事业单位</w:t>
      </w:r>
      <w:r>
        <w:rPr>
          <w:rFonts w:hint="eastAsia" w:eastAsia="仿宋_GB2312"/>
          <w:color w:val="000000"/>
          <w:sz w:val="32"/>
          <w:szCs w:val="32"/>
          <w:lang w:val="en-US" w:eastAsia="zh-CN"/>
        </w:rPr>
        <w:t>死亡职工丧葬抚恤支出</w:t>
      </w:r>
      <w:r>
        <w:rPr>
          <w:rFonts w:hint="eastAsia" w:eastAsia="仿宋_GB2312"/>
          <w:color w:val="000000"/>
          <w:sz w:val="32"/>
          <w:szCs w:val="32"/>
        </w:rPr>
        <w:t>。</w:t>
      </w:r>
    </w:p>
    <w:p>
      <w:pPr>
        <w:ind w:firstLine="420" w:firstLineChars="200"/>
        <w:rPr>
          <w:rFonts w:hint="default" w:eastAsia="仿宋_GB2312"/>
          <w:lang w:val="en-US" w:eastAsia="zh-CN"/>
        </w:rPr>
      </w:pPr>
      <w:r>
        <w:rPr>
          <w:rFonts w:hint="eastAsia"/>
          <w:lang w:val="en-US" w:eastAsia="zh-CN"/>
        </w:rPr>
        <w:t xml:space="preserve">  </w:t>
      </w:r>
      <w:r>
        <w:rPr>
          <w:rFonts w:hint="eastAsia" w:eastAsia="仿宋_GB2312"/>
          <w:color w:val="000000"/>
          <w:sz w:val="32"/>
          <w:szCs w:val="32"/>
          <w:lang w:val="en-US" w:eastAsia="zh-CN"/>
        </w:rPr>
        <w:t>8</w:t>
      </w:r>
      <w:r>
        <w:rPr>
          <w:rFonts w:eastAsia="仿宋_GB2312"/>
          <w:color w:val="000000"/>
          <w:sz w:val="32"/>
          <w:szCs w:val="32"/>
        </w:rPr>
        <w:t>.</w:t>
      </w:r>
      <w:r>
        <w:rPr>
          <w:rFonts w:hint="eastAsia" w:eastAsia="仿宋_GB2312"/>
          <w:color w:val="000000"/>
          <w:sz w:val="32"/>
          <w:szCs w:val="32"/>
        </w:rPr>
        <w:t>社会保障和就业支出（类）行政事业单位养老支出（款）机关事业单位基本养老保险缴费支出（项）：指机关事业单位实施养老保险制度由单位缴纳的基本养老保险费支出。</w:t>
      </w:r>
    </w:p>
    <w:p>
      <w:pPr>
        <w:ind w:firstLine="640" w:firstLineChars="200"/>
        <w:rPr>
          <w:rFonts w:eastAsia="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交</w:t>
      </w:r>
      <w:r>
        <w:rPr>
          <w:rFonts w:hint="eastAsia" w:eastAsia="仿宋_GB2312"/>
          <w:color w:val="000000"/>
          <w:sz w:val="32"/>
          <w:szCs w:val="32"/>
        </w:rPr>
        <w:t>通运输支出（类）公路水路运输（款）行政运行（项）：指交通运输方面的行政单位（包括实行公务员法管理的事业单位）的基本支出。</w:t>
      </w:r>
    </w:p>
    <w:p>
      <w:pPr>
        <w:ind w:firstLine="640" w:firstLineChars="200"/>
        <w:rPr>
          <w:rFonts w:hint="eastAsia"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0</w:t>
      </w:r>
      <w:r>
        <w:rPr>
          <w:rFonts w:hint="eastAsia" w:eastAsia="仿宋_GB2312"/>
          <w:color w:val="000000"/>
          <w:sz w:val="32"/>
          <w:szCs w:val="32"/>
        </w:rPr>
        <w:t>.交通运输支出（类）公路水路运输（款）公路运输管理（项）：指公路运输管理支出和公路路政管理支出。</w:t>
      </w:r>
    </w:p>
    <w:p>
      <w:pPr>
        <w:ind w:firstLine="640" w:firstLineChars="200"/>
      </w:pPr>
      <w:r>
        <w:rPr>
          <w:rFonts w:hint="eastAsia" w:eastAsia="仿宋_GB2312"/>
          <w:color w:val="000000"/>
          <w:sz w:val="32"/>
          <w:szCs w:val="32"/>
        </w:rPr>
        <w:t>1</w:t>
      </w:r>
      <w:r>
        <w:rPr>
          <w:rFonts w:hint="eastAsia" w:eastAsia="仿宋_GB2312"/>
          <w:color w:val="000000"/>
          <w:sz w:val="32"/>
          <w:szCs w:val="32"/>
          <w:lang w:val="en-US" w:eastAsia="zh-CN"/>
        </w:rPr>
        <w:t>1</w:t>
      </w:r>
      <w:r>
        <w:rPr>
          <w:rFonts w:hint="eastAsia" w:eastAsia="仿宋_GB2312"/>
          <w:color w:val="000000"/>
          <w:sz w:val="32"/>
          <w:szCs w:val="32"/>
        </w:rPr>
        <w:t>.交通运输支出（类）公路水路运输（款）其他公路水路运输支出（项）：指其他用于公路水路运输方面的支出。</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2</w:t>
      </w:r>
      <w:r>
        <w:rPr>
          <w:rFonts w:hint="eastAsia" w:eastAsia="仿宋_GB2312"/>
          <w:color w:val="000000"/>
          <w:sz w:val="32"/>
          <w:szCs w:val="32"/>
        </w:rPr>
        <w:t>.交通运输支出（类）成品油价格改革对交通运输的补贴（款）对出租车的补贴（项）：指成品油价格改革财政对出租车的补贴。</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3</w:t>
      </w:r>
      <w:r>
        <w:rPr>
          <w:rFonts w:hint="eastAsia" w:eastAsia="仿宋_GB2312"/>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4</w:t>
      </w:r>
      <w:r>
        <w:rPr>
          <w:rFonts w:hint="eastAsia" w:eastAsia="仿宋_GB2312"/>
          <w:color w:val="000000"/>
          <w:sz w:val="32"/>
          <w:szCs w:val="32"/>
        </w:rPr>
        <w:t>.其他支出（类）其他支出（款）其他支出（项）：指其他不能划分到具体功能科目中的支出项目。</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5</w:t>
      </w:r>
      <w:r>
        <w:rPr>
          <w:rFonts w:eastAsia="仿宋_GB2312"/>
          <w:color w:val="000000"/>
          <w:sz w:val="32"/>
          <w:szCs w:val="32"/>
        </w:rPr>
        <w:t>.</w:t>
      </w:r>
      <w:r>
        <w:rPr>
          <w:rFonts w:hint="eastAsia" w:eastAsia="仿宋_GB2312"/>
          <w:color w:val="000000"/>
          <w:sz w:val="32"/>
          <w:szCs w:val="32"/>
        </w:rPr>
        <w:t>基本支出：指为保障机构正常运转、完成日常工作任务而发生的人员支出和公用支出。</w:t>
      </w:r>
    </w:p>
    <w:p>
      <w:pPr>
        <w:ind w:firstLine="640" w:firstLineChars="200"/>
        <w:rPr>
          <w:rFonts w:eastAsia="仿宋_GB2312"/>
          <w:color w:val="000000"/>
          <w:sz w:val="32"/>
          <w:szCs w:val="32"/>
        </w:rPr>
      </w:pPr>
      <w:r>
        <w:rPr>
          <w:rFonts w:hint="eastAsia" w:eastAsia="仿宋_GB2312"/>
          <w:color w:val="000000"/>
          <w:sz w:val="32"/>
          <w:szCs w:val="32"/>
        </w:rPr>
        <w:t>1</w:t>
      </w:r>
      <w:r>
        <w:rPr>
          <w:rFonts w:hint="eastAsia" w:eastAsia="仿宋_GB2312"/>
          <w:color w:val="000000"/>
          <w:sz w:val="32"/>
          <w:szCs w:val="32"/>
          <w:lang w:val="en-US" w:eastAsia="zh-CN"/>
        </w:rPr>
        <w:t>6</w:t>
      </w:r>
      <w:r>
        <w:rPr>
          <w:rFonts w:eastAsia="仿宋_GB2312"/>
          <w:color w:val="000000"/>
          <w:sz w:val="32"/>
          <w:szCs w:val="32"/>
        </w:rPr>
        <w:t>.</w:t>
      </w:r>
      <w:r>
        <w:rPr>
          <w:rFonts w:hint="eastAsia" w:eastAsia="仿宋_GB2312"/>
          <w:color w:val="000000"/>
          <w:sz w:val="32"/>
          <w:szCs w:val="32"/>
        </w:rPr>
        <w:t>项目支出：指在基本支出之外为完成特定行政任务和事业发展目标所发生的支出。</w:t>
      </w:r>
    </w:p>
    <w:p>
      <w:pPr>
        <w:pStyle w:val="2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18</w:t>
      </w:r>
      <w:r>
        <w:rPr>
          <w:rFonts w:hint="eastAsia" w:ascii="Times New Roman"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hint="eastAsia" w:ascii="黑体" w:hAnsi="黑体" w:eastAsia="黑体"/>
          <w:b w:val="0"/>
        </w:rPr>
      </w:pPr>
      <w:r>
        <w:rPr>
          <w:rFonts w:ascii="宋体"/>
          <w:b/>
          <w:sz w:val="44"/>
          <w:szCs w:val="44"/>
        </w:rPr>
        <w:br w:type="page"/>
      </w:r>
      <w:bookmarkStart w:id="80" w:name="_Toc15396614"/>
      <w:bookmarkStart w:id="81" w:name="_Toc12099"/>
      <w:r>
        <w:rPr>
          <w:rFonts w:hint="eastAsia" w:ascii="黑体" w:hAnsi="黑体" w:eastAsia="黑体"/>
          <w:sz w:val="44"/>
          <w:szCs w:val="44"/>
        </w:rPr>
        <w:t>第</w:t>
      </w:r>
      <w:r>
        <w:rPr>
          <w:rStyle w:val="24"/>
          <w:rFonts w:hint="eastAsia" w:ascii="黑体" w:hAnsi="黑体" w:eastAsia="黑体"/>
          <w:b w:val="0"/>
        </w:rPr>
        <w:t>四部分 附件</w:t>
      </w:r>
      <w:bookmarkEnd w:id="80"/>
      <w:bookmarkEnd w:id="81"/>
      <w:bookmarkStart w:id="82" w:name="_Toc15396618"/>
    </w:p>
    <w:p>
      <w:pPr>
        <w:pStyle w:val="2"/>
        <w:spacing w:before="93"/>
        <w:rPr>
          <w:rFonts w:hAnsi="Calibri" w:cs="仿宋"/>
          <w:sz w:val="32"/>
          <w:szCs w:val="32"/>
        </w:rPr>
      </w:pPr>
    </w:p>
    <w:p>
      <w:pPr>
        <w:pStyle w:val="2"/>
        <w:spacing w:before="93"/>
        <w:rPr>
          <w:rFonts w:hint="default" w:hAnsi="Calibri" w:eastAsia="仿宋_GB2312" w:cs="仿宋"/>
          <w:sz w:val="32"/>
          <w:szCs w:val="32"/>
          <w:lang w:val="en-US" w:eastAsia="zh-CN"/>
        </w:rPr>
      </w:pPr>
      <w:r>
        <w:rPr>
          <w:rFonts w:hint="eastAsia" w:hAnsi="Calibri" w:cs="仿宋"/>
          <w:sz w:val="32"/>
          <w:szCs w:val="32"/>
        </w:rPr>
        <w:t>部门预算项目支出绩效自评表</w:t>
      </w:r>
      <w:r>
        <w:rPr>
          <w:rFonts w:hint="eastAsia" w:hAnsi="Calibri" w:cs="仿宋"/>
          <w:sz w:val="32"/>
          <w:szCs w:val="32"/>
          <w:lang w:val="en-US" w:eastAsia="zh-CN"/>
        </w:rPr>
        <w:t>见附件2</w:t>
      </w: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24"/>
          <w:szCs w:val="24"/>
        </w:rPr>
      </w:pPr>
    </w:p>
    <w:p>
      <w:pPr>
        <w:spacing w:line="600" w:lineRule="exact"/>
        <w:jc w:val="center"/>
        <w:outlineLvl w:val="0"/>
        <w:rPr>
          <w:rFonts w:hint="eastAsia" w:ascii="黑体" w:hAnsi="黑体" w:eastAsia="黑体"/>
          <w:sz w:val="44"/>
          <w:szCs w:val="44"/>
        </w:rPr>
      </w:pPr>
      <w:bookmarkStart w:id="83" w:name="_Toc7435"/>
    </w:p>
    <w:p>
      <w:pPr>
        <w:spacing w:line="600" w:lineRule="exact"/>
        <w:jc w:val="center"/>
        <w:outlineLvl w:val="0"/>
        <w:rPr>
          <w:rFonts w:ascii="仿宋" w:hAnsi="仿宋" w:eastAsia="仿宋"/>
        </w:rPr>
      </w:pPr>
      <w:bookmarkStart w:id="110" w:name="_GoBack"/>
      <w:bookmarkEnd w:id="110"/>
      <w:r>
        <w:rPr>
          <w:rFonts w:hint="eastAsia" w:ascii="黑体" w:hAnsi="黑体" w:eastAsia="黑体"/>
          <w:sz w:val="44"/>
          <w:szCs w:val="44"/>
        </w:rPr>
        <w:t>第</w:t>
      </w:r>
      <w:r>
        <w:rPr>
          <w:rStyle w:val="24"/>
          <w:rFonts w:hint="eastAsia" w:ascii="黑体" w:hAnsi="黑体" w:eastAsia="黑体"/>
          <w:b w:val="0"/>
        </w:rPr>
        <w:t>五部分 附表</w:t>
      </w:r>
      <w:bookmarkEnd w:id="79"/>
      <w:bookmarkEnd w:id="82"/>
      <w:bookmarkEnd w:id="83"/>
      <w:bookmarkStart w:id="84" w:name="_Toc15396619"/>
    </w:p>
    <w:p>
      <w:pPr>
        <w:pStyle w:val="4"/>
        <w:rPr>
          <w:rFonts w:hint="eastAsia" w:ascii="仿宋_GB2312" w:hAnsi="仿宋_GB2312" w:eastAsia="仿宋_GB2312" w:cs="仿宋_GB2312"/>
          <w:b w:val="0"/>
          <w:bCs w:val="0"/>
          <w:kern w:val="2"/>
          <w:sz w:val="32"/>
          <w:szCs w:val="32"/>
          <w:lang w:val="en-US" w:eastAsia="zh-CN" w:bidi="ar-SA"/>
        </w:rPr>
      </w:pPr>
      <w:bookmarkStart w:id="85" w:name="_Toc15258"/>
      <w:r>
        <w:rPr>
          <w:rFonts w:hint="eastAsia" w:ascii="仿宋_GB2312" w:hAnsi="仿宋_GB2312" w:eastAsia="仿宋_GB2312" w:cs="仿宋_GB2312"/>
          <w:b w:val="0"/>
          <w:bCs w:val="0"/>
          <w:kern w:val="2"/>
          <w:sz w:val="32"/>
          <w:szCs w:val="32"/>
          <w:lang w:val="en-US" w:eastAsia="zh-CN" w:bidi="ar-SA"/>
        </w:rPr>
        <w:t>一、收入支出决算总表</w:t>
      </w:r>
      <w:bookmarkEnd w:id="84"/>
      <w:bookmarkEnd w:id="85"/>
    </w:p>
    <w:p>
      <w:pPr>
        <w:pStyle w:val="4"/>
        <w:rPr>
          <w:rFonts w:hint="eastAsia" w:ascii="仿宋_GB2312" w:hAnsi="仿宋_GB2312" w:eastAsia="仿宋_GB2312" w:cs="仿宋_GB2312"/>
          <w:b w:val="0"/>
          <w:bCs w:val="0"/>
          <w:kern w:val="2"/>
          <w:sz w:val="32"/>
          <w:szCs w:val="32"/>
          <w:lang w:val="en-US" w:eastAsia="zh-CN" w:bidi="ar-SA"/>
        </w:rPr>
      </w:pPr>
      <w:bookmarkStart w:id="86" w:name="_Toc15396620"/>
      <w:bookmarkStart w:id="87" w:name="_Toc423"/>
      <w:r>
        <w:rPr>
          <w:rFonts w:hint="eastAsia" w:ascii="仿宋_GB2312" w:hAnsi="仿宋_GB2312" w:eastAsia="仿宋_GB2312" w:cs="仿宋_GB2312"/>
          <w:b w:val="0"/>
          <w:bCs w:val="0"/>
          <w:kern w:val="2"/>
          <w:sz w:val="32"/>
          <w:szCs w:val="32"/>
          <w:lang w:val="en-US" w:eastAsia="zh-CN" w:bidi="ar-SA"/>
        </w:rPr>
        <w:t>二、收入决算表</w:t>
      </w:r>
      <w:bookmarkEnd w:id="86"/>
      <w:bookmarkEnd w:id="87"/>
    </w:p>
    <w:p>
      <w:pPr>
        <w:pStyle w:val="4"/>
        <w:rPr>
          <w:rFonts w:hint="eastAsia" w:ascii="仿宋_GB2312" w:hAnsi="仿宋_GB2312" w:eastAsia="仿宋_GB2312" w:cs="仿宋_GB2312"/>
          <w:b w:val="0"/>
          <w:bCs w:val="0"/>
          <w:kern w:val="2"/>
          <w:sz w:val="32"/>
          <w:szCs w:val="32"/>
          <w:lang w:val="en-US" w:eastAsia="zh-CN" w:bidi="ar-SA"/>
        </w:rPr>
      </w:pPr>
      <w:bookmarkStart w:id="88" w:name="_Toc15396621"/>
      <w:bookmarkStart w:id="89" w:name="_Toc32262"/>
      <w:r>
        <w:rPr>
          <w:rFonts w:hint="eastAsia" w:ascii="仿宋_GB2312" w:hAnsi="仿宋_GB2312" w:eastAsia="仿宋_GB2312" w:cs="仿宋_GB2312"/>
          <w:b w:val="0"/>
          <w:bCs w:val="0"/>
          <w:kern w:val="2"/>
          <w:sz w:val="32"/>
          <w:szCs w:val="32"/>
          <w:lang w:val="en-US" w:eastAsia="zh-CN" w:bidi="ar-SA"/>
        </w:rPr>
        <w:t>三、支出决算表</w:t>
      </w:r>
      <w:bookmarkEnd w:id="88"/>
      <w:bookmarkEnd w:id="89"/>
    </w:p>
    <w:p>
      <w:pPr>
        <w:pStyle w:val="4"/>
        <w:rPr>
          <w:rFonts w:hint="eastAsia" w:ascii="仿宋_GB2312" w:hAnsi="仿宋_GB2312" w:eastAsia="仿宋_GB2312" w:cs="仿宋_GB2312"/>
          <w:b w:val="0"/>
          <w:bCs w:val="0"/>
          <w:kern w:val="2"/>
          <w:sz w:val="32"/>
          <w:szCs w:val="32"/>
          <w:lang w:val="en-US" w:eastAsia="zh-CN" w:bidi="ar-SA"/>
        </w:rPr>
      </w:pPr>
      <w:bookmarkStart w:id="90" w:name="_Toc16971"/>
      <w:bookmarkStart w:id="91" w:name="_Toc15396622"/>
      <w:r>
        <w:rPr>
          <w:rFonts w:hint="eastAsia" w:ascii="仿宋_GB2312" w:hAnsi="仿宋_GB2312" w:eastAsia="仿宋_GB2312" w:cs="仿宋_GB2312"/>
          <w:b w:val="0"/>
          <w:bCs w:val="0"/>
          <w:kern w:val="2"/>
          <w:sz w:val="32"/>
          <w:szCs w:val="32"/>
          <w:lang w:val="en-US" w:eastAsia="zh-CN" w:bidi="ar-SA"/>
        </w:rPr>
        <w:t>四、财政拨款收入支出决算总表</w:t>
      </w:r>
      <w:bookmarkEnd w:id="90"/>
      <w:bookmarkEnd w:id="91"/>
    </w:p>
    <w:p>
      <w:pPr>
        <w:pStyle w:val="4"/>
        <w:rPr>
          <w:rFonts w:hint="eastAsia" w:ascii="仿宋_GB2312" w:hAnsi="仿宋_GB2312" w:eastAsia="仿宋_GB2312" w:cs="仿宋_GB2312"/>
          <w:b w:val="0"/>
          <w:bCs w:val="0"/>
          <w:kern w:val="2"/>
          <w:sz w:val="32"/>
          <w:szCs w:val="32"/>
          <w:lang w:val="en-US" w:eastAsia="zh-CN" w:bidi="ar-SA"/>
        </w:rPr>
      </w:pPr>
      <w:bookmarkStart w:id="92" w:name="_Toc15396623"/>
      <w:bookmarkStart w:id="93" w:name="_Toc6787"/>
      <w:r>
        <w:rPr>
          <w:rFonts w:hint="eastAsia" w:ascii="仿宋_GB2312" w:hAnsi="仿宋_GB2312" w:eastAsia="仿宋_GB2312" w:cs="仿宋_GB2312"/>
          <w:b w:val="0"/>
          <w:bCs w:val="0"/>
          <w:kern w:val="2"/>
          <w:sz w:val="32"/>
          <w:szCs w:val="32"/>
          <w:lang w:val="en-US" w:eastAsia="zh-CN" w:bidi="ar-SA"/>
        </w:rPr>
        <w:t>五、财政拨款支出决算明细表</w:t>
      </w:r>
      <w:bookmarkEnd w:id="92"/>
      <w:bookmarkEnd w:id="93"/>
      <w:bookmarkStart w:id="94" w:name="_Toc15396624"/>
    </w:p>
    <w:p>
      <w:pPr>
        <w:pStyle w:val="4"/>
        <w:rPr>
          <w:rFonts w:hint="eastAsia" w:ascii="仿宋_GB2312" w:hAnsi="仿宋_GB2312" w:eastAsia="仿宋_GB2312" w:cs="仿宋_GB2312"/>
          <w:b w:val="0"/>
          <w:bCs w:val="0"/>
          <w:kern w:val="2"/>
          <w:sz w:val="32"/>
          <w:szCs w:val="32"/>
          <w:lang w:val="en-US" w:eastAsia="zh-CN" w:bidi="ar-SA"/>
        </w:rPr>
      </w:pPr>
      <w:bookmarkStart w:id="95" w:name="_Toc28467"/>
      <w:r>
        <w:rPr>
          <w:rFonts w:hint="eastAsia" w:ascii="仿宋_GB2312" w:hAnsi="仿宋_GB2312" w:eastAsia="仿宋_GB2312" w:cs="仿宋_GB2312"/>
          <w:b w:val="0"/>
          <w:bCs w:val="0"/>
          <w:kern w:val="2"/>
          <w:sz w:val="32"/>
          <w:szCs w:val="32"/>
          <w:lang w:val="en-US" w:eastAsia="zh-CN" w:bidi="ar-SA"/>
        </w:rPr>
        <w:t>六、一般公共预算财政拨款支出决算表</w:t>
      </w:r>
      <w:bookmarkEnd w:id="94"/>
      <w:bookmarkEnd w:id="95"/>
    </w:p>
    <w:p>
      <w:pPr>
        <w:pStyle w:val="4"/>
        <w:rPr>
          <w:rFonts w:hint="eastAsia" w:ascii="仿宋_GB2312" w:hAnsi="仿宋_GB2312" w:eastAsia="仿宋_GB2312" w:cs="仿宋_GB2312"/>
          <w:b w:val="0"/>
          <w:bCs w:val="0"/>
          <w:kern w:val="2"/>
          <w:sz w:val="32"/>
          <w:szCs w:val="32"/>
          <w:lang w:val="en-US" w:eastAsia="zh-CN" w:bidi="ar-SA"/>
        </w:rPr>
      </w:pPr>
      <w:bookmarkStart w:id="96" w:name="_Toc15396625"/>
      <w:bookmarkStart w:id="97" w:name="_Toc13262"/>
      <w:r>
        <w:rPr>
          <w:rFonts w:hint="eastAsia" w:ascii="仿宋_GB2312" w:hAnsi="仿宋_GB2312" w:eastAsia="仿宋_GB2312" w:cs="仿宋_GB2312"/>
          <w:b w:val="0"/>
          <w:bCs w:val="0"/>
          <w:kern w:val="2"/>
          <w:sz w:val="32"/>
          <w:szCs w:val="32"/>
          <w:lang w:val="en-US" w:eastAsia="zh-CN" w:bidi="ar-SA"/>
        </w:rPr>
        <w:t>七、一般公共预算财政拨款支出决算明细表</w:t>
      </w:r>
      <w:bookmarkEnd w:id="96"/>
      <w:bookmarkEnd w:id="97"/>
    </w:p>
    <w:p>
      <w:pPr>
        <w:pStyle w:val="4"/>
        <w:rPr>
          <w:rFonts w:hint="eastAsia" w:ascii="仿宋_GB2312" w:hAnsi="仿宋_GB2312" w:eastAsia="仿宋_GB2312" w:cs="仿宋_GB2312"/>
          <w:b w:val="0"/>
          <w:bCs w:val="0"/>
          <w:kern w:val="2"/>
          <w:sz w:val="32"/>
          <w:szCs w:val="32"/>
          <w:lang w:val="en-US" w:eastAsia="zh-CN" w:bidi="ar-SA"/>
        </w:rPr>
      </w:pPr>
      <w:bookmarkStart w:id="98" w:name="_Toc15396626"/>
      <w:bookmarkStart w:id="99" w:name="_Toc19946"/>
      <w:r>
        <w:rPr>
          <w:rFonts w:hint="eastAsia" w:ascii="仿宋_GB2312" w:hAnsi="仿宋_GB2312" w:eastAsia="仿宋_GB2312" w:cs="仿宋_GB2312"/>
          <w:b w:val="0"/>
          <w:bCs w:val="0"/>
          <w:kern w:val="2"/>
          <w:sz w:val="32"/>
          <w:szCs w:val="32"/>
          <w:lang w:val="en-US" w:eastAsia="zh-CN" w:bidi="ar-SA"/>
        </w:rPr>
        <w:t>八、一般公共预算财政拨款基本支出决算表</w:t>
      </w:r>
      <w:bookmarkEnd w:id="98"/>
      <w:bookmarkEnd w:id="99"/>
    </w:p>
    <w:p>
      <w:pPr>
        <w:pStyle w:val="4"/>
        <w:rPr>
          <w:rFonts w:hint="eastAsia" w:ascii="仿宋_GB2312" w:hAnsi="仿宋_GB2312" w:eastAsia="仿宋_GB2312" w:cs="仿宋_GB2312"/>
          <w:b w:val="0"/>
          <w:bCs w:val="0"/>
          <w:kern w:val="2"/>
          <w:sz w:val="32"/>
          <w:szCs w:val="32"/>
          <w:lang w:val="en-US" w:eastAsia="zh-CN" w:bidi="ar-SA"/>
        </w:rPr>
      </w:pPr>
      <w:bookmarkStart w:id="100" w:name="_Toc30717"/>
      <w:bookmarkStart w:id="101" w:name="_Toc15396627"/>
      <w:r>
        <w:rPr>
          <w:rFonts w:hint="eastAsia" w:ascii="仿宋_GB2312" w:hAnsi="仿宋_GB2312" w:eastAsia="仿宋_GB2312" w:cs="仿宋_GB2312"/>
          <w:b w:val="0"/>
          <w:bCs w:val="0"/>
          <w:kern w:val="2"/>
          <w:sz w:val="32"/>
          <w:szCs w:val="32"/>
          <w:lang w:val="en-US" w:eastAsia="zh-CN" w:bidi="ar-SA"/>
        </w:rPr>
        <w:t>九、一般公共预算财政拨款项目支出决算表</w:t>
      </w:r>
      <w:bookmarkEnd w:id="100"/>
      <w:bookmarkEnd w:id="101"/>
    </w:p>
    <w:p>
      <w:pPr>
        <w:pStyle w:val="4"/>
        <w:rPr>
          <w:rFonts w:hint="eastAsia" w:ascii="仿宋_GB2312" w:hAnsi="仿宋_GB2312" w:eastAsia="仿宋_GB2312" w:cs="仿宋_GB2312"/>
          <w:b w:val="0"/>
          <w:bCs w:val="0"/>
          <w:kern w:val="2"/>
          <w:sz w:val="32"/>
          <w:szCs w:val="32"/>
          <w:lang w:val="en-US" w:eastAsia="zh-CN" w:bidi="ar-SA"/>
        </w:rPr>
      </w:pPr>
      <w:bookmarkStart w:id="102" w:name="_Toc15396628"/>
      <w:bookmarkStart w:id="103" w:name="_Toc16387"/>
      <w:r>
        <w:rPr>
          <w:rFonts w:hint="eastAsia" w:ascii="仿宋_GB2312" w:hAnsi="仿宋_GB2312" w:eastAsia="仿宋_GB2312" w:cs="仿宋_GB2312"/>
          <w:b w:val="0"/>
          <w:bCs w:val="0"/>
          <w:kern w:val="2"/>
          <w:sz w:val="32"/>
          <w:szCs w:val="32"/>
          <w:lang w:val="en-US" w:eastAsia="zh-CN" w:bidi="ar-SA"/>
        </w:rPr>
        <w:t>十、</w:t>
      </w:r>
      <w:bookmarkEnd w:id="102"/>
      <w:r>
        <w:rPr>
          <w:rFonts w:hint="eastAsia" w:ascii="仿宋_GB2312" w:hAnsi="仿宋_GB2312" w:eastAsia="仿宋_GB2312" w:cs="仿宋_GB2312"/>
          <w:b w:val="0"/>
          <w:bCs w:val="0"/>
          <w:kern w:val="2"/>
          <w:sz w:val="32"/>
          <w:szCs w:val="32"/>
          <w:lang w:val="en-US" w:eastAsia="zh-CN" w:bidi="ar-SA"/>
        </w:rPr>
        <w:t>政府性基金预算财政拨款收入支出决算表（此表无数据）</w:t>
      </w:r>
      <w:bookmarkEnd w:id="103"/>
    </w:p>
    <w:p>
      <w:pPr>
        <w:pStyle w:val="4"/>
        <w:rPr>
          <w:rFonts w:hint="eastAsia" w:ascii="仿宋_GB2312" w:hAnsi="仿宋_GB2312" w:eastAsia="仿宋_GB2312" w:cs="仿宋_GB2312"/>
          <w:b w:val="0"/>
          <w:bCs w:val="0"/>
          <w:kern w:val="2"/>
          <w:sz w:val="32"/>
          <w:szCs w:val="32"/>
          <w:lang w:val="en-US" w:eastAsia="zh-CN" w:bidi="ar-SA"/>
        </w:rPr>
      </w:pPr>
      <w:bookmarkStart w:id="104" w:name="_Toc15396629"/>
      <w:bookmarkStart w:id="105" w:name="_Toc18142"/>
      <w:r>
        <w:rPr>
          <w:rFonts w:hint="eastAsia" w:ascii="仿宋_GB2312" w:hAnsi="仿宋_GB2312" w:eastAsia="仿宋_GB2312" w:cs="仿宋_GB2312"/>
          <w:b w:val="0"/>
          <w:bCs w:val="0"/>
          <w:kern w:val="2"/>
          <w:sz w:val="32"/>
          <w:szCs w:val="32"/>
          <w:lang w:val="en-US" w:eastAsia="zh-CN" w:bidi="ar-SA"/>
        </w:rPr>
        <w:t>十一、</w:t>
      </w:r>
      <w:bookmarkEnd w:id="104"/>
      <w:r>
        <w:rPr>
          <w:rFonts w:hint="eastAsia" w:ascii="仿宋_GB2312" w:hAnsi="仿宋_GB2312" w:eastAsia="仿宋_GB2312" w:cs="仿宋_GB2312"/>
          <w:b w:val="0"/>
          <w:bCs w:val="0"/>
          <w:kern w:val="2"/>
          <w:sz w:val="32"/>
          <w:szCs w:val="32"/>
          <w:lang w:val="en-US" w:eastAsia="zh-CN" w:bidi="ar-SA"/>
        </w:rPr>
        <w:t>国有资本经营预算财政拨款收入支出决算表（此表无数据）</w:t>
      </w:r>
      <w:bookmarkEnd w:id="105"/>
    </w:p>
    <w:p>
      <w:pPr>
        <w:pStyle w:val="4"/>
        <w:rPr>
          <w:rFonts w:hint="eastAsia" w:ascii="仿宋_GB2312" w:hAnsi="仿宋_GB2312" w:eastAsia="仿宋_GB2312" w:cs="仿宋_GB2312"/>
          <w:b w:val="0"/>
          <w:bCs w:val="0"/>
          <w:kern w:val="2"/>
          <w:sz w:val="32"/>
          <w:szCs w:val="32"/>
          <w:lang w:val="en-US" w:eastAsia="zh-CN" w:bidi="ar-SA"/>
        </w:rPr>
      </w:pPr>
      <w:bookmarkStart w:id="106" w:name="_Toc15396630"/>
      <w:bookmarkStart w:id="107" w:name="_Toc16501"/>
      <w:r>
        <w:rPr>
          <w:rFonts w:hint="eastAsia" w:ascii="仿宋_GB2312" w:hAnsi="仿宋_GB2312" w:eastAsia="仿宋_GB2312" w:cs="仿宋_GB2312"/>
          <w:b w:val="0"/>
          <w:bCs w:val="0"/>
          <w:kern w:val="2"/>
          <w:sz w:val="32"/>
          <w:szCs w:val="32"/>
          <w:lang w:val="en-US" w:eastAsia="zh-CN" w:bidi="ar-SA"/>
        </w:rPr>
        <w:t>十二、</w:t>
      </w:r>
      <w:bookmarkEnd w:id="106"/>
      <w:r>
        <w:rPr>
          <w:rFonts w:hint="eastAsia" w:ascii="仿宋_GB2312" w:hAnsi="仿宋_GB2312" w:eastAsia="仿宋_GB2312" w:cs="仿宋_GB2312"/>
          <w:b w:val="0"/>
          <w:bCs w:val="0"/>
          <w:kern w:val="2"/>
          <w:sz w:val="32"/>
          <w:szCs w:val="32"/>
          <w:lang w:val="en-US" w:eastAsia="zh-CN" w:bidi="ar-SA"/>
        </w:rPr>
        <w:t>国有资本经营预算财政拨款支出决算表（此表无数据）</w:t>
      </w:r>
      <w:bookmarkEnd w:id="107"/>
    </w:p>
    <w:p>
      <w:pPr>
        <w:pStyle w:val="4"/>
        <w:rPr>
          <w:rFonts w:hint="eastAsia" w:ascii="仿宋_GB2312" w:hAnsi="仿宋_GB2312" w:eastAsia="仿宋_GB2312" w:cs="仿宋_GB2312"/>
          <w:b w:val="0"/>
          <w:bCs w:val="0"/>
          <w:kern w:val="2"/>
          <w:sz w:val="32"/>
          <w:szCs w:val="32"/>
          <w:lang w:val="en-US" w:eastAsia="zh-CN" w:bidi="ar-SA"/>
        </w:rPr>
      </w:pPr>
      <w:bookmarkStart w:id="108" w:name="_Toc15396631"/>
      <w:bookmarkStart w:id="109" w:name="_Toc26734"/>
      <w:r>
        <w:rPr>
          <w:rFonts w:hint="eastAsia" w:ascii="仿宋_GB2312" w:hAnsi="仿宋_GB2312" w:eastAsia="仿宋_GB2312" w:cs="仿宋_GB2312"/>
          <w:b w:val="0"/>
          <w:bCs w:val="0"/>
          <w:kern w:val="2"/>
          <w:sz w:val="32"/>
          <w:szCs w:val="32"/>
          <w:lang w:val="en-US" w:eastAsia="zh-CN" w:bidi="ar-SA"/>
        </w:rPr>
        <w:t>十三、</w:t>
      </w:r>
      <w:bookmarkEnd w:id="108"/>
      <w:r>
        <w:rPr>
          <w:rFonts w:hint="eastAsia" w:ascii="仿宋_GB2312" w:hAnsi="仿宋_GB2312" w:eastAsia="仿宋_GB2312" w:cs="仿宋_GB2312"/>
          <w:b w:val="0"/>
          <w:bCs w:val="0"/>
          <w:kern w:val="2"/>
          <w:sz w:val="32"/>
          <w:szCs w:val="32"/>
          <w:lang w:val="en-US" w:eastAsia="zh-CN" w:bidi="ar-SA"/>
        </w:rPr>
        <w:t>财政拨款“三公”经费支出决算表</w:t>
      </w:r>
      <w:bookmarkEnd w:id="109"/>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OWMxYTQ5Y2MxN2RiM2FlNzEwMzU3ZmM2MWZlNG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12181"/>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2B72F5"/>
    <w:rsid w:val="053A62B5"/>
    <w:rsid w:val="061A084B"/>
    <w:rsid w:val="0A2032A3"/>
    <w:rsid w:val="0B481776"/>
    <w:rsid w:val="0B860E39"/>
    <w:rsid w:val="0B8A37D8"/>
    <w:rsid w:val="10C055FF"/>
    <w:rsid w:val="118107EC"/>
    <w:rsid w:val="11DD6519"/>
    <w:rsid w:val="14B751E2"/>
    <w:rsid w:val="16BB723D"/>
    <w:rsid w:val="18015F3F"/>
    <w:rsid w:val="18283B9D"/>
    <w:rsid w:val="1A7E20B1"/>
    <w:rsid w:val="1BE8440E"/>
    <w:rsid w:val="1D155CEE"/>
    <w:rsid w:val="1E5E619A"/>
    <w:rsid w:val="201F1525"/>
    <w:rsid w:val="203E6494"/>
    <w:rsid w:val="20F57F95"/>
    <w:rsid w:val="240371BF"/>
    <w:rsid w:val="25711CC6"/>
    <w:rsid w:val="25C741E6"/>
    <w:rsid w:val="276E6F72"/>
    <w:rsid w:val="27842671"/>
    <w:rsid w:val="29AD68CE"/>
    <w:rsid w:val="29FD04D3"/>
    <w:rsid w:val="2ABE7A3E"/>
    <w:rsid w:val="2B772F14"/>
    <w:rsid w:val="2CA234A8"/>
    <w:rsid w:val="2EFA178C"/>
    <w:rsid w:val="2EFA7205"/>
    <w:rsid w:val="30B46D73"/>
    <w:rsid w:val="319F7F4E"/>
    <w:rsid w:val="32FE1EB8"/>
    <w:rsid w:val="34DC4E3F"/>
    <w:rsid w:val="383D272C"/>
    <w:rsid w:val="39AE70AB"/>
    <w:rsid w:val="3BEF1723"/>
    <w:rsid w:val="3C0C0783"/>
    <w:rsid w:val="3F9F3A96"/>
    <w:rsid w:val="4383179A"/>
    <w:rsid w:val="477F2141"/>
    <w:rsid w:val="48BF60AB"/>
    <w:rsid w:val="493C27E9"/>
    <w:rsid w:val="496F39ED"/>
    <w:rsid w:val="49FF41D3"/>
    <w:rsid w:val="4B650CA9"/>
    <w:rsid w:val="4BE068DB"/>
    <w:rsid w:val="4BF6002B"/>
    <w:rsid w:val="4DAF0708"/>
    <w:rsid w:val="4E7F6962"/>
    <w:rsid w:val="4ECE2238"/>
    <w:rsid w:val="51DB4B86"/>
    <w:rsid w:val="5452416E"/>
    <w:rsid w:val="55333C3E"/>
    <w:rsid w:val="5D52793D"/>
    <w:rsid w:val="639E4537"/>
    <w:rsid w:val="644300A1"/>
    <w:rsid w:val="64CA39A1"/>
    <w:rsid w:val="657B4E2C"/>
    <w:rsid w:val="69630ADE"/>
    <w:rsid w:val="6C4A05C8"/>
    <w:rsid w:val="6D3B1A89"/>
    <w:rsid w:val="6D6601E7"/>
    <w:rsid w:val="71BF4EC2"/>
    <w:rsid w:val="72734D90"/>
    <w:rsid w:val="7412278C"/>
    <w:rsid w:val="797C23F5"/>
    <w:rsid w:val="799A1094"/>
    <w:rsid w:val="79E7B28D"/>
    <w:rsid w:val="7DDC148A"/>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paragraph" w:customStyle="1" w:styleId="3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cap="none" spc="50" normalizeH="0" baseline="0">
                <a:solidFill>
                  <a:schemeClr val="tx1">
                    <a:lumMod val="65000"/>
                    <a:lumOff val="35000"/>
                  </a:schemeClr>
                </a:solidFill>
                <a:latin typeface="+mj-lt"/>
                <a:ea typeface="+mj-ea"/>
                <a:cs typeface="+mj-cs"/>
              </a:defRPr>
            </a:pPr>
            <a:r>
              <a:t>收入支出对比</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2021年度</c:v>
                </c:pt>
              </c:strCache>
            </c:strRef>
          </c:tx>
          <c:spPr>
            <a:solidFill>
              <a:schemeClr val="accent2">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收入</c:v>
                </c:pt>
                <c:pt idx="1">
                  <c:v>支出</c:v>
                </c:pt>
              </c:strCache>
            </c:strRef>
          </c:cat>
          <c:val>
            <c:numRef>
              <c:f>Sheet1!$B$2:$B$3</c:f>
              <c:numCache>
                <c:formatCode>General</c:formatCode>
                <c:ptCount val="2"/>
                <c:pt idx="0">
                  <c:v>1115.24</c:v>
                </c:pt>
                <c:pt idx="1">
                  <c:v>1115.24</c:v>
                </c:pt>
              </c:numCache>
            </c:numRef>
          </c:val>
        </c:ser>
        <c:ser>
          <c:idx val="1"/>
          <c:order val="1"/>
          <c:tx>
            <c:strRef>
              <c:f>Sheet1!$C$1</c:f>
              <c:strCache>
                <c:ptCount val="1"/>
                <c:pt idx="0">
                  <c:v>2022年度</c:v>
                </c:pt>
              </c:strCache>
            </c:strRef>
          </c:tx>
          <c:spPr>
            <a:solidFill>
              <a:schemeClr val="accent4">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收入</c:v>
                </c:pt>
                <c:pt idx="1">
                  <c:v>支出</c:v>
                </c:pt>
              </c:strCache>
            </c:strRef>
          </c:cat>
          <c:val>
            <c:numRef>
              <c:f>Sheet1!$C$2:$C$3</c:f>
              <c:numCache>
                <c:formatCode>General</c:formatCode>
                <c:ptCount val="2"/>
                <c:pt idx="0">
                  <c:v>2900.98</c:v>
                </c:pt>
                <c:pt idx="1">
                  <c:v>2900.98</c:v>
                </c:pt>
              </c:numCache>
            </c:numRef>
          </c:val>
        </c:ser>
        <c:dLbls>
          <c:showLegendKey val="0"/>
          <c:showVal val="1"/>
          <c:showCatName val="0"/>
          <c:showSerName val="0"/>
          <c:showPercent val="0"/>
          <c:showBubbleSize val="0"/>
        </c:dLbls>
        <c:gapWidth val="80"/>
        <c:overlap val="25"/>
        <c:axId val="645858728"/>
        <c:axId val="829565038"/>
      </c:barChart>
      <c:catAx>
        <c:axId val="645858728"/>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p>
        </c:txPr>
        <c:crossAx val="829565038"/>
        <c:crosses val="autoZero"/>
        <c:auto val="1"/>
        <c:lblAlgn val="ctr"/>
        <c:lblOffset val="100"/>
        <c:noMultiLvlLbl val="0"/>
      </c:catAx>
      <c:valAx>
        <c:axId val="829565038"/>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p>
        </c:txPr>
        <c:crossAx val="64585872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收入决算结构</a:t>
            </a:r>
          </a:p>
        </c:rich>
      </c:tx>
      <c:layout/>
      <c:overlay val="0"/>
      <c:spPr>
        <a:noFill/>
        <a:ln>
          <a:noFill/>
        </a:ln>
        <a:effectLst/>
      </c:spPr>
    </c:title>
    <c:autoTitleDeleted val="0"/>
    <c:plotArea>
      <c:layout/>
      <c:doughnutChart>
        <c:varyColors val="1"/>
        <c:ser>
          <c:idx val="0"/>
          <c:order val="0"/>
          <c:tx>
            <c:strRef>
              <c:f>Sheet1!$B$1</c:f>
              <c:strCache>
                <c:ptCount val="1"/>
                <c:pt idx="0">
                  <c:v>收入</c:v>
                </c:pt>
              </c:strCache>
            </c:strRef>
          </c:tx>
          <c:spPr/>
          <c:explosion val="0"/>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Lbls>
            <c:dLbl>
              <c:idx val="0"/>
              <c:layout>
                <c:manualLayout>
                  <c:x val="-0.156067336918401"/>
                  <c:y val="-0.022455089820359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75356558335282"/>
                  <c:y val="-0.09356287425149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c:v>
                </c:pt>
                <c:pt idx="1">
                  <c:v>年初结转结余</c:v>
                </c:pt>
              </c:strCache>
            </c:strRef>
          </c:cat>
          <c:val>
            <c:numRef>
              <c:f>Sheet1!$B$2:$B$3</c:f>
              <c:numCache>
                <c:formatCode>General</c:formatCode>
                <c:ptCount val="2"/>
                <c:pt idx="0">
                  <c:v>2888.69</c:v>
                </c:pt>
                <c:pt idx="1">
                  <c:v>12.29</c:v>
                </c:pt>
              </c:numCache>
            </c:numRef>
          </c:val>
        </c:ser>
        <c:dLbls>
          <c:showLegendKey val="0"/>
          <c:showVal val="1"/>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支出决算结构</a:t>
            </a:r>
          </a:p>
        </c:rich>
      </c:tx>
      <c:layout/>
      <c:overlay val="0"/>
      <c:spPr>
        <a:noFill/>
        <a:ln>
          <a:noFill/>
        </a:ln>
        <a:effectLst/>
      </c:spPr>
    </c:title>
    <c:autoTitleDeleted val="0"/>
    <c:plotArea>
      <c:layout/>
      <c:pieChart>
        <c:varyColors val="1"/>
        <c:ser>
          <c:idx val="0"/>
          <c:order val="0"/>
          <c:tx>
            <c:strRef>
              <c:f>Sheet1!$B$1</c:f>
              <c:strCache>
                <c:ptCount val="1"/>
                <c:pt idx="0">
                  <c:v>支出决算结构</c:v>
                </c:pt>
              </c:strCache>
            </c:strRef>
          </c:tx>
          <c:spPr/>
          <c:explosion val="0"/>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Pt>
          <c:dLbls>
            <c:delete val="1"/>
          </c:dLbls>
          <c:cat>
            <c:strRef>
              <c:f>Sheet1!$A$2:$A$3</c:f>
              <c:strCache>
                <c:ptCount val="2"/>
                <c:pt idx="0">
                  <c:v>基本支出</c:v>
                </c:pt>
                <c:pt idx="1">
                  <c:v>项目支出</c:v>
                </c:pt>
              </c:strCache>
            </c:strRef>
          </c:cat>
          <c:val>
            <c:numRef>
              <c:f>Sheet1!$B$2:$B$3</c:f>
              <c:numCache>
                <c:formatCode>General</c:formatCode>
                <c:ptCount val="2"/>
                <c:pt idx="0">
                  <c:v>585.1567</c:v>
                </c:pt>
                <c:pt idx="1">
                  <c:v>2315.8243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cap="none" spc="50" normalizeH="0" baseline="0">
                <a:solidFill>
                  <a:schemeClr val="tx1">
                    <a:lumMod val="65000"/>
                    <a:lumOff val="35000"/>
                  </a:schemeClr>
                </a:solidFill>
                <a:latin typeface="+mj-lt"/>
                <a:ea typeface="+mj-ea"/>
                <a:cs typeface="+mj-cs"/>
              </a:defRPr>
            </a:pPr>
            <a:r>
              <a:t>财政拨款收支对比表</a:t>
            </a:r>
          </a:p>
        </c:rich>
      </c:tx>
      <c:layout>
        <c:manualLayout>
          <c:xMode val="edge"/>
          <c:yMode val="edge"/>
          <c:x val="0.377061749000929"/>
          <c:y val="0.0136104081559666"/>
        </c:manualLayout>
      </c:layout>
      <c:overlay val="0"/>
      <c:spPr>
        <a:noFill/>
        <a:ln>
          <a:noFill/>
        </a:ln>
        <a:effectLst/>
      </c:spPr>
    </c:title>
    <c:autoTitleDeleted val="0"/>
    <c:plotArea>
      <c:layout>
        <c:manualLayout>
          <c:layoutTarget val="inner"/>
          <c:xMode val="edge"/>
          <c:yMode val="edge"/>
          <c:x val="0.0608393128941074"/>
          <c:y val="0.119056377079482"/>
          <c:w val="0.87555"/>
          <c:h val="0.7605"/>
        </c:manualLayout>
      </c:layout>
      <c:barChart>
        <c:barDir val="col"/>
        <c:grouping val="clustered"/>
        <c:varyColors val="0"/>
        <c:ser>
          <c:idx val="0"/>
          <c:order val="0"/>
          <c:tx>
            <c:strRef>
              <c:f>Sheet1!$B$1</c:f>
              <c:strCache>
                <c:ptCount val="1"/>
                <c:pt idx="0">
                  <c:v>2021年度</c:v>
                </c:pt>
              </c:strCache>
            </c:strRef>
          </c:tx>
          <c:spPr>
            <a:solidFill>
              <a:schemeClr val="accent1">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财政拨款收入</c:v>
                </c:pt>
                <c:pt idx="1">
                  <c:v>财政拨款支出</c:v>
                </c:pt>
              </c:strCache>
            </c:strRef>
          </c:cat>
          <c:val>
            <c:numRef>
              <c:f>Sheet1!$B$2:$B$3</c:f>
              <c:numCache>
                <c:formatCode>General</c:formatCode>
                <c:ptCount val="2"/>
                <c:pt idx="0">
                  <c:v>1115.24</c:v>
                </c:pt>
                <c:pt idx="1">
                  <c:v>1115.24</c:v>
                </c:pt>
              </c:numCache>
            </c:numRef>
          </c:val>
        </c:ser>
        <c:ser>
          <c:idx val="1"/>
          <c:order val="1"/>
          <c:tx>
            <c:strRef>
              <c:f>Sheet1!$C$1</c:f>
              <c:strCache>
                <c:ptCount val="1"/>
                <c:pt idx="0">
                  <c:v>2022年度</c:v>
                </c:pt>
              </c:strCache>
            </c:strRef>
          </c:tx>
          <c:spPr>
            <a:solidFill>
              <a:schemeClr val="accent3">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财政拨款收入</c:v>
                </c:pt>
                <c:pt idx="1">
                  <c:v>财政拨款支出</c:v>
                </c:pt>
              </c:strCache>
            </c:strRef>
          </c:cat>
          <c:val>
            <c:numRef>
              <c:f>Sheet1!$C$2:$C$3</c:f>
              <c:numCache>
                <c:formatCode>General</c:formatCode>
                <c:ptCount val="2"/>
                <c:pt idx="0">
                  <c:v>2900.98</c:v>
                </c:pt>
                <c:pt idx="1">
                  <c:v>2900.98</c:v>
                </c:pt>
              </c:numCache>
            </c:numRef>
          </c:val>
        </c:ser>
        <c:dLbls>
          <c:showLegendKey val="0"/>
          <c:showVal val="0"/>
          <c:showCatName val="0"/>
          <c:showSerName val="0"/>
          <c:showPercent val="0"/>
          <c:showBubbleSize val="0"/>
        </c:dLbls>
        <c:gapWidth val="80"/>
        <c:overlap val="25"/>
        <c:axId val="406143146"/>
        <c:axId val="185996679"/>
      </c:barChart>
      <c:catAx>
        <c:axId val="406143146"/>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p>
        </c:txPr>
        <c:crossAx val="185996679"/>
        <c:crosses val="autoZero"/>
        <c:auto val="1"/>
        <c:lblAlgn val="ctr"/>
        <c:lblOffset val="100"/>
        <c:noMultiLvlLbl val="0"/>
      </c:catAx>
      <c:valAx>
        <c:axId val="185996679"/>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p>
        </c:txPr>
        <c:crossAx val="40614314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cap="none" spc="50" normalizeH="0" baseline="0">
                <a:solidFill>
                  <a:schemeClr val="tx1">
                    <a:lumMod val="65000"/>
                    <a:lumOff val="35000"/>
                  </a:schemeClr>
                </a:solidFill>
                <a:latin typeface="+mj-lt"/>
                <a:ea typeface="+mj-ea"/>
                <a:cs typeface="+mj-cs"/>
              </a:defRPr>
            </a:pPr>
            <a:r>
              <a:t>一般公共预算财政拨款支出对比</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6">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类别 1</c:v>
                </c:pt>
              </c:strCache>
            </c:strRef>
          </c:cat>
          <c:val>
            <c:numRef>
              <c:f>Sheet1!$B$2</c:f>
              <c:numCache>
                <c:formatCode>General</c:formatCode>
                <c:ptCount val="1"/>
                <c:pt idx="0">
                  <c:v>1115.24</c:v>
                </c:pt>
              </c:numCache>
            </c:numRef>
          </c:val>
        </c:ser>
        <c:ser>
          <c:idx val="1"/>
          <c:order val="1"/>
          <c:tx>
            <c:strRef>
              <c:f>Sheet1!$C$1</c:f>
              <c:strCache>
                <c:ptCount val="1"/>
                <c:pt idx="0">
                  <c:v>2022年</c:v>
                </c:pt>
              </c:strCache>
            </c:strRef>
          </c:tx>
          <c:spPr>
            <a:solidFill>
              <a:schemeClr val="accent5">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类别 1</c:v>
                </c:pt>
              </c:strCache>
            </c:strRef>
          </c:cat>
          <c:val>
            <c:numRef>
              <c:f>Sheet1!$C$2</c:f>
              <c:numCache>
                <c:formatCode>General</c:formatCode>
                <c:ptCount val="1"/>
                <c:pt idx="0">
                  <c:v>2900.98</c:v>
                </c:pt>
              </c:numCache>
            </c:numRef>
          </c:val>
        </c:ser>
        <c:ser>
          <c:idx val="2"/>
          <c:order val="2"/>
          <c:tx>
            <c:strRef>
              <c:f>Sheet1!$D$1</c:f>
              <c:strCache>
                <c:ptCount val="1"/>
                <c:pt idx="0">
                  <c:v>涨幅</c:v>
                </c:pt>
              </c:strCache>
            </c:strRef>
          </c:tx>
          <c:spPr>
            <a:solidFill>
              <a:schemeClr val="accent4">
                <a:alpha val="70000"/>
              </a:scheme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c:f>
              <c:strCache>
                <c:ptCount val="1"/>
                <c:pt idx="0">
                  <c:v>类别 1</c:v>
                </c:pt>
              </c:strCache>
            </c:strRef>
          </c:cat>
          <c:val>
            <c:numRef>
              <c:f>Sheet1!$D$2</c:f>
              <c:numCache>
                <c:formatCode>General</c:formatCode>
                <c:ptCount val="1"/>
                <c:pt idx="0">
                  <c:v>1785.74</c:v>
                </c:pt>
              </c:numCache>
            </c:numRef>
          </c:val>
        </c:ser>
        <c:dLbls>
          <c:showLegendKey val="0"/>
          <c:showVal val="1"/>
          <c:showCatName val="0"/>
          <c:showSerName val="0"/>
          <c:showPercent val="0"/>
          <c:showBubbleSize val="0"/>
        </c:dLbls>
        <c:gapWidth val="80"/>
        <c:overlap val="25"/>
        <c:axId val="954681512"/>
        <c:axId val="557350736"/>
      </c:barChart>
      <c:catAx>
        <c:axId val="954681512"/>
        <c:scaling>
          <c:orientation val="minMax"/>
        </c:scaling>
        <c:delete val="0"/>
        <c:axPos val="b"/>
        <c:numFmt formatCode="General" sourceLinked="0"/>
        <c:majorTickMark val="none"/>
        <c:minorTickMark val="none"/>
        <c:tickLblPos val="nextTo"/>
        <c:spPr>
          <a:noFill/>
          <a:ln w="1587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cap="none" spc="20" normalizeH="0" baseline="0">
                <a:solidFill>
                  <a:schemeClr val="tx1">
                    <a:lumMod val="65000"/>
                    <a:lumOff val="35000"/>
                  </a:schemeClr>
                </a:solidFill>
                <a:latin typeface="+mn-lt"/>
                <a:ea typeface="+mn-ea"/>
                <a:cs typeface="+mn-cs"/>
              </a:defRPr>
            </a:pPr>
          </a:p>
        </c:txPr>
        <c:crossAx val="557350736"/>
        <c:crosses val="autoZero"/>
        <c:auto val="1"/>
        <c:lblAlgn val="ctr"/>
        <c:lblOffset val="100"/>
        <c:noMultiLvlLbl val="0"/>
      </c:catAx>
      <c:valAx>
        <c:axId val="557350736"/>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spc="20" baseline="0">
                <a:solidFill>
                  <a:schemeClr val="tx1">
                    <a:lumMod val="65000"/>
                    <a:lumOff val="35000"/>
                  </a:schemeClr>
                </a:solidFill>
                <a:latin typeface="+mn-lt"/>
                <a:ea typeface="+mn-ea"/>
                <a:cs typeface="+mn-cs"/>
              </a:defRPr>
            </a:pPr>
          </a:p>
        </c:txPr>
        <c:crossAx val="95468151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40" b="0" i="0" u="none" strike="noStrike" kern="1200" spc="0" baseline="0">
                <a:solidFill>
                  <a:schemeClr val="tx1">
                    <a:lumMod val="65000"/>
                    <a:lumOff val="35000"/>
                  </a:schemeClr>
                </a:solidFill>
                <a:latin typeface="+mn-lt"/>
                <a:ea typeface="+mn-ea"/>
                <a:cs typeface="+mn-cs"/>
              </a:defRPr>
            </a:pPr>
            <a:r>
              <a:rPr lang="zh-CN" altLang="en-US" sz="1400">
                <a:solidFill>
                  <a:schemeClr val="tx1"/>
                </a:solidFill>
                <a:uFillTx/>
              </a:rPr>
              <a:t>一般公共预算财政拨款支出</a:t>
            </a:r>
            <a:endParaRPr lang="zh-CN" altLang="en-US" sz="1400">
              <a:solidFill>
                <a:schemeClr val="tx1"/>
              </a:solidFill>
              <a:uFillTx/>
            </a:endParaRPr>
          </a:p>
        </c:rich>
      </c:tx>
      <c:layout/>
      <c:overlay val="0"/>
      <c:spPr>
        <a:noFill/>
        <a:ln>
          <a:noFill/>
        </a:ln>
        <a:effectLst/>
      </c:spPr>
    </c:title>
    <c:autoTitleDeleted val="0"/>
    <c:view3D>
      <c:rotX val="50"/>
      <c:rotY val="43"/>
      <c:depthPercent val="100"/>
      <c:rAngAx val="0"/>
      <c:perspective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4591857821864"/>
          <c:y val="0.163045129919466"/>
          <c:w val="0.962492250464972"/>
          <c:h val="0.668287494301778"/>
        </c:manualLayout>
      </c:layout>
      <c:pie3DChart>
        <c:varyColors val="1"/>
        <c:ser>
          <c:idx val="0"/>
          <c:order val="0"/>
          <c:tx>
            <c:strRef>
              <c:f>Sheet1!$B$1</c:f>
              <c:strCache>
                <c:ptCount val="1"/>
                <c:pt idx="0">
                  <c:v>金额</c:v>
                </c:pt>
              </c:strCache>
            </c:strRef>
          </c:tx>
          <c:spPr/>
          <c:explosion val="24"/>
          <c:dPt>
            <c:idx val="0"/>
            <c:bubble3D val="0"/>
            <c:spPr>
              <a:solidFill>
                <a:schemeClr val="accent1"/>
              </a:solidFill>
              <a:ln>
                <a:noFill/>
              </a:ln>
              <a:effectLst/>
            </c:spPr>
          </c:dPt>
          <c:dPt>
            <c:idx val="1"/>
            <c:bubble3D val="0"/>
            <c:spPr>
              <a:solidFill>
                <a:schemeClr val="accent2"/>
              </a:solidFill>
              <a:ln>
                <a:noFill/>
              </a:ln>
              <a:effectLst/>
            </c:spPr>
          </c:dPt>
          <c:dPt>
            <c:idx val="2"/>
            <c:bubble3D val="0"/>
            <c:spPr>
              <a:solidFill>
                <a:schemeClr val="accent3"/>
              </a:solidFill>
              <a:ln>
                <a:noFill/>
              </a:ln>
              <a:effectLst/>
            </c:spPr>
          </c:dPt>
          <c:dLbls>
            <c:dLbl>
              <c:idx val="0"/>
              <c:layout>
                <c:manualLayout>
                  <c:x val="0.0905103569944686"/>
                  <c:y val="0.25030384408339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社会保障和就业支出</a:t>
                    </a:r>
                    <a:r>
                      <a:rPr lang="en-US" altLang="zh-CN"/>
                      <a:t>117.49, 4.1%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manualLayout>
                      <c:w val="0.162475373739715"/>
                      <c:h val="0.20646613464293"/>
                    </c:manualLayout>
                  </c15:layout>
                </c:ext>
              </c:extLst>
            </c:dLbl>
            <c:dLbl>
              <c:idx val="1"/>
              <c:layout>
                <c:manualLayout>
                  <c:x val="0.0445079045257284"/>
                  <c:y val="0.057202932685002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交通运输支出</a:t>
                    </a:r>
                    <a:r>
                      <a:rPr lang="en-US" altLang="zh-CN"/>
                      <a:t>2745.7</a:t>
                    </a:r>
                    <a:r>
                      <a:rPr lang="zh-CN" altLang="en-US"/>
                      <a:t>，</a:t>
                    </a:r>
                    <a:r>
                      <a:rPr lang="en-US" altLang="zh-CN"/>
                      <a:t>94.6%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58930500509861"/>
                  <c:y val="0.0088821646554665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rPr lang="zh-CN" altLang="en-US"/>
                      <a:t>住房保障支出</a:t>
                    </a:r>
                    <a:r>
                      <a:rPr lang="en-US" altLang="zh-CN"/>
                      <a:t>37.79</a:t>
                    </a:r>
                    <a:r>
                      <a:rPr altLang="en-US"/>
                      <a:t>，</a:t>
                    </a:r>
                    <a:r>
                      <a:rPr lang="en-US" altLang="zh-CN"/>
                      <a:t>,1.3%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社会保障和就业支出</c:v>
                </c:pt>
                <c:pt idx="1">
                  <c:v>交通运输支出</c:v>
                </c:pt>
                <c:pt idx="2">
                  <c:v>住房保障支出</c:v>
                </c:pt>
              </c:strCache>
            </c:strRef>
          </c:cat>
          <c:val>
            <c:numRef>
              <c:f>Sheet1!$B$2:$B$4</c:f>
              <c:numCache>
                <c:formatCode>General</c:formatCode>
                <c:ptCount val="3"/>
                <c:pt idx="0">
                  <c:v>117.49</c:v>
                </c:pt>
                <c:pt idx="1">
                  <c:v>2745.7</c:v>
                </c:pt>
                <c:pt idx="2">
                  <c:v>37.79</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0" vertOverflow="ellipsis" vert="horz" wrap="square" anchor="ctr" anchorCtr="1"/>
          <a:lstStyle/>
          <a:p>
            <a:pPr defTabSz="914400">
              <a:defRPr lang="zh-CN" sz="1400" b="0" i="0" u="none" strike="noStrike" kern="1200" cap="none" spc="20" baseline="0">
                <a:solidFill>
                  <a:schemeClr val="tx1">
                    <a:lumMod val="50000"/>
                    <a:lumOff val="50000"/>
                  </a:schemeClr>
                </a:solidFill>
                <a:latin typeface="+mn-lt"/>
                <a:ea typeface="+mn-ea"/>
                <a:cs typeface="+mn-cs"/>
              </a:defRPr>
            </a:pPr>
            <a:r>
              <a:t>三公经费结构图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82325"/>
          <c:y val="0.16015"/>
          <c:w val="0.8316"/>
          <c:h val="0.669533333333333"/>
        </c:manualLayout>
      </c:layout>
      <c:pie3DChart>
        <c:varyColors val="1"/>
        <c:ser>
          <c:idx val="0"/>
          <c:order val="0"/>
          <c:tx>
            <c:strRef>
              <c:f>Sheet1!$B$1</c:f>
              <c:strCache>
                <c:ptCount val="1"/>
                <c:pt idx="0">
                  <c:v>三公经费结构图</c:v>
                </c:pt>
              </c:strCache>
            </c:strRef>
          </c:tx>
          <c:spPr>
            <a:scene3d>
              <a:camera prst="orthographicFront"/>
              <a:lightRig rig="threePt" dir="t"/>
            </a:scene3d>
            <a:sp3d contourW="9525"/>
          </c:spPr>
          <c:explosion val="0"/>
          <c:dPt>
            <c:idx val="0"/>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c:spPr>
          </c:dPt>
          <c:dLbls>
            <c:dLbl>
              <c:idx val="0"/>
              <c:layout>
                <c:manualLayout>
                  <c:x val="0.0893063691554221"/>
                  <c:y val="-0.124917511773941"/>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r>
                      <a:t>公务用车购置及运行维护 0.</a:t>
                    </a:r>
                    <a:r>
                      <a:rPr lang="en-US" altLang="zh-CN"/>
                      <a:t>09</a:t>
                    </a:r>
                    <a:r>
                      <a:t>，</a:t>
                    </a:r>
                    <a:r>
                      <a:rPr lang="en-US" altLang="zh-CN"/>
                      <a:t>100</a:t>
                    </a:r>
                    <a:r>
                      <a:t>%</a:t>
                    </a:r>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c:f>
              <c:strCache>
                <c:ptCount val="1"/>
                <c:pt idx="0">
                  <c:v>公务接待费</c:v>
                </c:pt>
              </c:strCache>
            </c:strRef>
          </c:cat>
          <c:val>
            <c:numRef>
              <c:f>Sheet1!$B$2</c:f>
              <c:numCache>
                <c:formatCode>General</c:formatCode>
                <c:ptCount val="1"/>
                <c:pt idx="0">
                  <c:v>0.09</c:v>
                </c:pt>
              </c:numCache>
            </c:numRef>
          </c:val>
        </c:ser>
        <c:dLbls>
          <c:showLegendKey val="0"/>
          <c:showVal val="1"/>
          <c:showCatName val="0"/>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Reversed" id="24">
  <a:schemeClr val="accent4"/>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0</TotalTime>
  <ScaleCrop>false</ScaleCrop>
  <LinksUpToDate>false</LinksUpToDate>
  <CharactersWithSpaces>5901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未知</cp:lastModifiedBy>
  <cp:lastPrinted>2023-07-31T02:35:00Z</cp:lastPrinted>
  <dcterms:modified xsi:type="dcterms:W3CDTF">2023-09-14T08:18:58Z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A9665E045FE04F2189BE34EEAC55305B_12</vt:lpwstr>
  </property>
</Properties>
</file>