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hAnsi="宋体" w:eastAsia="方正小标宋简体"/>
          <w:szCs w:val="21"/>
        </w:rPr>
      </w:pPr>
      <w:bookmarkStart w:id="0" w:name="_Toc15306267"/>
    </w:p>
    <w:p>
      <w:pPr>
        <w:spacing w:line="600" w:lineRule="exact"/>
        <w:jc w:val="center"/>
        <w:outlineLvl w:val="9"/>
        <w:rPr>
          <w:rFonts w:ascii="方正小标宋简体" w:hAnsi="宋体" w:eastAsia="方正小标宋简体"/>
          <w:sz w:val="72"/>
          <w:szCs w:val="72"/>
        </w:rPr>
      </w:pPr>
    </w:p>
    <w:p>
      <w:pPr>
        <w:spacing w:line="600" w:lineRule="exact"/>
        <w:jc w:val="center"/>
        <w:outlineLvl w:val="9"/>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193"/>
      <w:bookmarkStart w:id="2" w:name="_Toc15396475"/>
      <w:bookmarkStart w:id="3" w:name="_Toc15378441"/>
      <w:bookmarkStart w:id="4" w:name="_Toc15377425"/>
      <w:bookmarkStart w:id="5" w:name="_Toc11882"/>
      <w:bookmarkStart w:id="6" w:name="_Toc15396597"/>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bookmarkEnd w:id="6"/>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lang w:val="en-US" w:eastAsia="zh-CN"/>
        </w:rPr>
      </w:pPr>
      <w:bookmarkStart w:id="7" w:name="_Toc9676"/>
      <w:bookmarkStart w:id="8" w:name="_Toc15396476"/>
      <w:bookmarkStart w:id="9" w:name="_Toc15396598"/>
      <w:bookmarkStart w:id="10" w:name="_Toc15377194"/>
      <w:bookmarkStart w:id="11" w:name="_Toc15378442"/>
      <w:bookmarkStart w:id="12" w:name="_Toc15377426"/>
      <w:r>
        <w:rPr>
          <w:rFonts w:hint="eastAsia" w:ascii="方正小标宋简体" w:hAnsi="方正小标宋简体" w:eastAsia="方正小标宋简体" w:cs="方正小标宋简体"/>
          <w:sz w:val="72"/>
          <w:szCs w:val="72"/>
        </w:rPr>
        <w:t>攀枝花市</w:t>
      </w:r>
      <w:bookmarkEnd w:id="0"/>
      <w:bookmarkStart w:id="13" w:name="_Toc15306268"/>
      <w:r>
        <w:rPr>
          <w:rFonts w:hint="eastAsia" w:ascii="方正小标宋简体" w:hAnsi="方正小标宋简体" w:eastAsia="方正小标宋简体" w:cs="方正小标宋简体"/>
          <w:sz w:val="72"/>
          <w:szCs w:val="72"/>
          <w:lang w:val="en-US" w:eastAsia="zh-CN"/>
        </w:rPr>
        <w:t>公路事业</w:t>
      </w:r>
      <w:bookmarkEnd w:id="7"/>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4" w:name="_Toc24307"/>
      <w:r>
        <w:rPr>
          <w:rFonts w:hint="eastAsia" w:ascii="方正小标宋简体" w:hAnsi="方正小标宋简体" w:eastAsia="方正小标宋简体" w:cs="方正小标宋简体"/>
          <w:sz w:val="72"/>
          <w:szCs w:val="72"/>
          <w:lang w:val="en-US" w:eastAsia="zh-CN"/>
        </w:rPr>
        <w:t>发展中心</w:t>
      </w:r>
      <w:r>
        <w:rPr>
          <w:rFonts w:hint="eastAsia" w:ascii="方正小标宋简体" w:hAnsi="方正小标宋简体" w:eastAsia="方正小标宋简体" w:cs="方正小标宋简体"/>
          <w:sz w:val="72"/>
          <w:szCs w:val="72"/>
        </w:rPr>
        <w:t>单位决算</w:t>
      </w:r>
      <w:bookmarkEnd w:id="8"/>
      <w:bookmarkEnd w:id="9"/>
      <w:bookmarkEnd w:id="10"/>
      <w:bookmarkEnd w:id="11"/>
      <w:bookmarkEnd w:id="12"/>
      <w:bookmarkEnd w:id="13"/>
      <w:bookmarkEnd w:id="14"/>
    </w:p>
    <w:p>
      <w:pPr>
        <w:widowControl/>
        <w:jc w:val="center"/>
        <w:rPr>
          <w:rFonts w:ascii="黑体" w:hAnsi="黑体" w:eastAsia="黑体" w:cstheme="minorBidi"/>
          <w:sz w:val="28"/>
          <w:szCs w:val="28"/>
        </w:rPr>
      </w:pPr>
      <w:r>
        <w:rPr>
          <w:rFonts w:ascii="方正小标宋简体" w:hAnsi="宋体" w:eastAsia="方正小标宋简体"/>
          <w:sz w:val="36"/>
          <w:szCs w:val="36"/>
        </w:rPr>
        <w:br w:type="page"/>
      </w:r>
      <w:r>
        <w:rPr>
          <w:rFonts w:hint="eastAsia" w:ascii="黑体" w:hAnsi="黑体" w:eastAsia="黑体"/>
          <w:sz w:val="48"/>
          <w:szCs w:val="48"/>
        </w:rPr>
        <w:t>目录</w:t>
      </w:r>
    </w:p>
    <w:p>
      <w:pPr>
        <w:pStyle w:val="10"/>
      </w:pPr>
      <w:r>
        <w:rPr>
          <w:rFonts w:hint="eastAsia"/>
        </w:rPr>
        <w:t>公开时间：2023年9月</w:t>
      </w:r>
      <w:r>
        <w:t>1</w:t>
      </w:r>
      <w:r>
        <w:rPr>
          <w:rFonts w:hint="eastAsia"/>
          <w:lang w:val="en-US" w:eastAsia="zh-CN"/>
        </w:rPr>
        <w:t>5</w:t>
      </w:r>
      <w:r>
        <w:rPr>
          <w:rFonts w:hint="eastAsia"/>
        </w:rPr>
        <w:t>日</w:t>
      </w:r>
    </w:p>
    <w:p/>
    <w:sdt>
      <w:sdtPr>
        <w:rPr>
          <w:rFonts w:ascii="宋体" w:hAnsi="宋体" w:eastAsia="宋体" w:cs="Times New Roman"/>
          <w:kern w:val="2"/>
          <w:sz w:val="21"/>
          <w:szCs w:val="24"/>
          <w:lang w:val="en-US" w:eastAsia="zh-CN" w:bidi="ar-SA"/>
        </w:rPr>
        <w:id w:val="147474933"/>
        <w15:color w:val="DBDBDB"/>
        <w:docPartObj>
          <w:docPartGallery w:val="Table of Contents"/>
          <w:docPartUnique/>
        </w:docPartObj>
      </w:sdtPr>
      <w:sdtEndPr>
        <w:rPr>
          <w:rFonts w:hint="eastAsia" w:ascii="仿宋_GB2312" w:hAnsi="仿宋_GB2312" w:eastAsia="仿宋_GB2312" w:cs="仿宋_GB2312"/>
          <w:kern w:val="2"/>
          <w:sz w:val="28"/>
          <w:szCs w:val="28"/>
          <w:lang w:val="en-US" w:eastAsia="zh-CN" w:bidi="ar-SA"/>
        </w:rPr>
      </w:sdtEndPr>
      <w:sdtContent>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sz w:val="28"/>
              <w:szCs w:val="28"/>
            </w:rPr>
          </w:pPr>
          <w:bookmarkStart w:id="15" w:name="_Toc15396599"/>
          <w:bookmarkStart w:id="16" w:name="_Toc15377196"/>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TOC \o "1-3" \h \u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_Toc11882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_Toc9676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fldChar w:fldCharType="end"/>
          </w:r>
        </w:p>
        <w:p>
          <w:pPr>
            <w:pStyle w:val="30"/>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_Toc28170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第一部分 单位</w:t>
          </w:r>
          <w:r>
            <w:rPr>
              <w:rFonts w:hint="eastAsia" w:ascii="仿宋_GB2312" w:hAnsi="仿宋_GB2312" w:eastAsia="仿宋_GB2312" w:cs="仿宋_GB2312"/>
              <w:bCs w:val="0"/>
              <w:sz w:val="28"/>
              <w:szCs w:val="28"/>
            </w:rPr>
            <w:t>概况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_Toc28170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_Toc1995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一、 主要职责</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_Toc1995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_Toc16743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二、机构设置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_Toc16743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0"/>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_Toc11308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第二部分 2022年度</w:t>
          </w:r>
          <w:r>
            <w:rPr>
              <w:rFonts w:hint="eastAsia" w:ascii="仿宋_GB2312" w:hAnsi="仿宋_GB2312" w:eastAsia="仿宋_GB2312" w:cs="仿宋_GB2312"/>
              <w:bCs/>
              <w:sz w:val="28"/>
              <w:szCs w:val="28"/>
            </w:rPr>
            <w:t>单位决算情况说明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_Toc11308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_Toc24707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一、 收入支出决算总体情况说明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_Toc24707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_Toc29497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 收入决算情况说明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_Toc29497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_Toc17115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三、 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_Toc17115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_Toc14293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四、财政拨款收入支出决算总体情况说明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_Toc14293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_Toc31669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五、一般公共预算财政拨款支出决算情况说明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_Toc31669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2"/>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_Toc7259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（一）一般公共预算财政拨款支出决算总体情况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_Toc7259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2"/>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_Toc14210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（二）一般公共预算财政拨款支出决算结构情况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_Toc14210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2"/>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_Toc26867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（三）一般公共预算财政拨款支出决算具体情况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_Toc26867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_Toc7520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六、一般公共预算财政拨款基本支出决算情况说明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_Toc7520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_Toc29069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七、财政拨款“三公”经费支出决算情况说明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_Toc29069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2"/>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_Toc32157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（一）“三公”经费财政拨款支出决算总体情况说明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_Toc32157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2"/>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_Toc26834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（二）“三公”经费财政拨款支出决算具体情况说明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_Toc26834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_Toc15729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八、政府性基金预算支出决算情况说明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_Toc15729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_Toc28558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九、 国有资本经营预算支出决算情况说明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_Toc28558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_Toc12604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十、 其他重要事项的情况说明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_Toc12604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2"/>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_Toc27733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（一）机关运行经费支出情况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_Toc27733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2"/>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_Toc25105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（二）政府采购支出情况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_Toc25105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2"/>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_Toc21880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（三）国有资产占有使用情况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_Toc21880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2"/>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_Toc24670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（四）预算绩效管理情况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_Toc24670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0"/>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_Toc10122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第三部分 名词解释</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_Toc10122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0"/>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_Toc5345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第四部分 附件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_Toc5345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0"/>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_Toc21750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第五部分 附表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_Toc21750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_Toc19032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kern w:val="0"/>
              <w:sz w:val="28"/>
              <w:szCs w:val="28"/>
              <w:lang w:val="en-US" w:eastAsia="zh-CN" w:bidi="ar-SA"/>
            </w:rPr>
            <w:t>一、收入支出决算总表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_Toc19032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_Toc8065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kern w:val="0"/>
              <w:sz w:val="28"/>
              <w:szCs w:val="28"/>
              <w:lang w:val="en-US" w:eastAsia="zh-CN" w:bidi="ar-SA"/>
            </w:rPr>
            <w:t>二、收入决算表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_Toc8065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_Toc15748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kern w:val="0"/>
              <w:sz w:val="28"/>
              <w:szCs w:val="28"/>
              <w:lang w:val="en-US" w:eastAsia="zh-CN" w:bidi="ar-SA"/>
            </w:rPr>
            <w:t>三、支出决算表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_Toc15748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_Toc4785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kern w:val="0"/>
              <w:sz w:val="28"/>
              <w:szCs w:val="28"/>
              <w:lang w:val="en-US" w:eastAsia="zh-CN" w:bidi="ar-SA"/>
            </w:rPr>
            <w:t>四、财政拨款收入支出决算总表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_Toc4785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_Toc11899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kern w:val="0"/>
              <w:sz w:val="28"/>
              <w:szCs w:val="28"/>
              <w:lang w:val="en-US" w:eastAsia="zh-CN" w:bidi="ar-SA"/>
            </w:rPr>
            <w:t>五、财政拨款支出决算明细表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_Toc11899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_Toc20063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kern w:val="0"/>
              <w:sz w:val="28"/>
              <w:szCs w:val="28"/>
              <w:lang w:val="en-US" w:eastAsia="zh-CN" w:bidi="ar-SA"/>
            </w:rPr>
            <w:t>六、一般公共预算财政拨款支出决算表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_Toc20063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_Toc1375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kern w:val="0"/>
              <w:sz w:val="28"/>
              <w:szCs w:val="28"/>
              <w:lang w:val="en-US" w:eastAsia="zh-CN" w:bidi="ar-SA"/>
            </w:rPr>
            <w:t>七、一般公共预算财政拨款支出决算明细表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_Toc1375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_Toc2827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kern w:val="0"/>
              <w:sz w:val="28"/>
              <w:szCs w:val="28"/>
              <w:lang w:val="en-US" w:eastAsia="zh-CN" w:bidi="ar-SA"/>
            </w:rPr>
            <w:t>八、一般公共预算财政拨款基本支出决算表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_Toc2827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_Toc28145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kern w:val="0"/>
              <w:sz w:val="28"/>
              <w:szCs w:val="28"/>
              <w:lang w:val="en-US" w:eastAsia="zh-CN" w:bidi="ar-SA"/>
            </w:rPr>
            <w:t>九、一般公共预算财政拨款项目支出决算表（此表无数据）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_Toc28145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_Toc19886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kern w:val="0"/>
              <w:sz w:val="28"/>
              <w:szCs w:val="28"/>
              <w:lang w:val="en-US" w:eastAsia="zh-CN" w:bidi="ar-SA"/>
            </w:rPr>
            <w:t>十、政府性基金预算财政拨款收入支出决算表（此表无数据）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_Toc19886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_Toc10396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kern w:val="0"/>
              <w:sz w:val="28"/>
              <w:szCs w:val="28"/>
              <w:lang w:val="en-US" w:eastAsia="zh-CN" w:bidi="ar-SA"/>
            </w:rPr>
            <w:t>十一、国有资本经营预算财政拨款收入支出决算表（此表无数据）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_Toc10396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_Toc12048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kern w:val="0"/>
              <w:sz w:val="28"/>
              <w:szCs w:val="28"/>
              <w:lang w:val="en-US" w:eastAsia="zh-CN" w:bidi="ar-SA"/>
            </w:rPr>
            <w:t>十二、国有资本经营预算财政拨款支出决算表（此表无数据）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_Toc12048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_Toc1256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kern w:val="0"/>
              <w:sz w:val="28"/>
              <w:szCs w:val="28"/>
              <w:lang w:val="en-US" w:eastAsia="zh-CN" w:bidi="ar-SA"/>
            </w:rPr>
            <w:t>十三、财政拨款“三公”经费支出决算表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_Toc1256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end"/>
          </w:r>
        </w:p>
      </w:sdtContent>
    </w:sdt>
    <w:p>
      <w:pPr>
        <w:widowControl/>
        <w:spacing w:line="440" w:lineRule="exact"/>
        <w:jc w:val="left"/>
        <w:rPr>
          <w:rFonts w:hint="eastAsia" w:ascii="仿宋_GB2312" w:hAnsi="仿宋_GB2312" w:eastAsia="仿宋_GB2312" w:cs="仿宋_GB2312"/>
          <w:bCs/>
          <w:kern w:val="44"/>
          <w:sz w:val="28"/>
          <w:szCs w:val="28"/>
        </w:rPr>
      </w:pPr>
      <w:r>
        <w:rPr>
          <w:rFonts w:hint="eastAsia" w:ascii="仿宋_GB2312" w:hAnsi="仿宋_GB2312" w:eastAsia="仿宋_GB2312" w:cs="仿宋_GB2312"/>
          <w:b/>
          <w:sz w:val="28"/>
          <w:szCs w:val="28"/>
        </w:rPr>
        <w:br w:type="page"/>
      </w:r>
    </w:p>
    <w:p>
      <w:pPr>
        <w:pStyle w:val="3"/>
        <w:jc w:val="center"/>
        <w:rPr>
          <w:rStyle w:val="24"/>
          <w:rFonts w:ascii="黑体" w:hAnsi="黑体" w:eastAsia="黑体"/>
          <w:b/>
          <w:bCs w:val="0"/>
        </w:rPr>
      </w:pPr>
      <w:bookmarkStart w:id="17" w:name="_Toc28170"/>
      <w:r>
        <w:rPr>
          <w:rFonts w:hint="eastAsia" w:ascii="黑体" w:hAnsi="黑体" w:eastAsia="黑体"/>
          <w:b w:val="0"/>
        </w:rPr>
        <w:t>第一部分 单位</w:t>
      </w:r>
      <w:r>
        <w:rPr>
          <w:rStyle w:val="24"/>
          <w:rFonts w:hint="eastAsia" w:ascii="黑体" w:hAnsi="黑体" w:eastAsia="黑体"/>
          <w:b w:val="0"/>
          <w:bCs w:val="0"/>
        </w:rPr>
        <w:t>概况</w:t>
      </w:r>
      <w:bookmarkEnd w:id="15"/>
      <w:bookmarkEnd w:id="16"/>
      <w:bookmarkEnd w:id="17"/>
    </w:p>
    <w:p>
      <w:pPr>
        <w:widowControl/>
        <w:jc w:val="left"/>
        <w:rPr>
          <w:rFonts w:ascii="黑体" w:eastAsia="黑体"/>
          <w:sz w:val="32"/>
          <w:szCs w:val="32"/>
        </w:rPr>
      </w:pPr>
    </w:p>
    <w:p>
      <w:pPr>
        <w:pStyle w:val="4"/>
        <w:numPr>
          <w:ilvl w:val="0"/>
          <w:numId w:val="1"/>
        </w:numPr>
        <w:rPr>
          <w:rStyle w:val="25"/>
          <w:rFonts w:ascii="黑体" w:hAnsi="黑体" w:eastAsia="黑体"/>
          <w:b w:val="0"/>
          <w:bCs w:val="0"/>
        </w:rPr>
      </w:pPr>
      <w:bookmarkStart w:id="18" w:name="_Toc1995"/>
      <w:bookmarkStart w:id="19" w:name="_Toc15396600"/>
      <w:bookmarkStart w:id="20" w:name="_Toc15377197"/>
      <w:r>
        <w:rPr>
          <w:rStyle w:val="25"/>
          <w:rFonts w:hint="eastAsia" w:ascii="黑体" w:hAnsi="黑体" w:eastAsia="黑体"/>
          <w:b w:val="0"/>
          <w:bCs w:val="0"/>
        </w:rPr>
        <w:t>主要职责</w:t>
      </w:r>
      <w:bookmarkEnd w:id="18"/>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Times New Roman" w:eastAsia="仿宋_GB2312" w:cs="Times New Roman"/>
          <w:color w:val="000000"/>
          <w:kern w:val="0"/>
          <w:sz w:val="32"/>
          <w:szCs w:val="32"/>
          <w:lang w:val="en-US" w:eastAsia="zh-CN" w:bidi="ar-SA"/>
        </w:rPr>
      </w:pPr>
      <w:r>
        <w:rPr>
          <w:rFonts w:hint="eastAsia" w:ascii="仿宋_GB2312" w:eastAsia="仿宋_GB2312" w:cs="Times New Roman"/>
          <w:b/>
          <w:bCs/>
          <w:color w:val="000000"/>
          <w:kern w:val="0"/>
          <w:sz w:val="32"/>
          <w:szCs w:val="32"/>
          <w:lang w:val="en-US" w:eastAsia="zh-CN" w:bidi="ar-SA"/>
        </w:rPr>
        <w:t>1.</w:t>
      </w:r>
      <w:r>
        <w:rPr>
          <w:rFonts w:hint="eastAsia" w:ascii="仿宋_GB2312" w:hAnsi="Times New Roman" w:eastAsia="仿宋_GB2312" w:cs="Times New Roman"/>
          <w:b/>
          <w:bCs/>
          <w:color w:val="000000"/>
          <w:kern w:val="0"/>
          <w:sz w:val="32"/>
          <w:szCs w:val="32"/>
          <w:lang w:val="en-US" w:eastAsia="zh-CN" w:bidi="ar-SA"/>
        </w:rPr>
        <w:t>市公路</w:t>
      </w:r>
      <w:r>
        <w:rPr>
          <w:rFonts w:hint="eastAsia" w:ascii="仿宋_GB2312" w:eastAsia="仿宋_GB2312" w:cs="Times New Roman"/>
          <w:b/>
          <w:bCs/>
          <w:color w:val="000000"/>
          <w:kern w:val="0"/>
          <w:sz w:val="32"/>
          <w:szCs w:val="32"/>
          <w:lang w:val="en-US" w:eastAsia="zh-CN" w:bidi="ar-SA"/>
        </w:rPr>
        <w:t>事业发展中心</w:t>
      </w:r>
      <w:r>
        <w:rPr>
          <w:rFonts w:hint="eastAsia" w:ascii="仿宋_GB2312" w:hAnsi="Times New Roman" w:eastAsia="仿宋_GB2312" w:cs="Times New Roman"/>
          <w:b/>
          <w:bCs/>
          <w:color w:val="000000"/>
          <w:kern w:val="0"/>
          <w:sz w:val="32"/>
          <w:szCs w:val="32"/>
          <w:lang w:val="en-US" w:eastAsia="zh-CN" w:bidi="ar-SA"/>
        </w:rPr>
        <w:t>：为市交通运输局提供行政辅助和技术支持的职能</w:t>
      </w:r>
      <w:r>
        <w:rPr>
          <w:rFonts w:hint="eastAsia" w:ascii="仿宋_GB2312" w:eastAsia="仿宋_GB2312" w:cs="Times New Roman"/>
          <w:b/>
          <w:bCs/>
          <w:color w:val="000000"/>
          <w:kern w:val="0"/>
          <w:sz w:val="32"/>
          <w:szCs w:val="32"/>
          <w:lang w:val="en-US" w:eastAsia="zh-CN" w:bidi="ar-SA"/>
        </w:rPr>
        <w:t>：</w:t>
      </w:r>
      <w:r>
        <w:rPr>
          <w:rFonts w:hint="eastAsia" w:ascii="仿宋_GB2312" w:hAnsi="Times New Roman" w:eastAsia="仿宋_GB2312" w:cs="Times New Roman"/>
          <w:color w:val="000000"/>
          <w:kern w:val="0"/>
          <w:sz w:val="32"/>
          <w:szCs w:val="32"/>
          <w:lang w:val="en-US" w:eastAsia="zh-CN" w:bidi="ar-SA"/>
        </w:rPr>
        <w:t>贯彻执行国家有关公路的法律、法规、规章和方针政策、技术规范、养护标准;参与拟定全市普通公路发展政策、规章和标准并协助实施;参与编制全市普通公路发展规划、计划;承担全市公路规划、建设、养护和管理等行政辅助工作。承担普通国省干线公路设计类、竣工类，公路养护工程项目、桥隧大修(改建)项目的设计类，农村公路设计类，公路设施服务及涉路施工等行政许可的行政辅助工作。承担普通公路建设和养护行业管理、基础设施管理和保护，公路行业节能减排及环保指导，全市普通国省道抢通保通，普通公路路况评估管理的行政辅助工作。承担全市普通公路行业安全生产监督管理和应急管理的行政辅助工作;参与有关普通公路事故的调查处理工作;参与普通公路战备保障协调工作。承担普通公路行业的科技技术指导、教育培训的技术支撑和新技术推广应用等工作。负责统筹交通运输信息化发展建设和技术支撑工作，负责交通运输信息化系统的运行、维护和管理，提供交通运行应急调度保障</w:t>
      </w:r>
      <w:r>
        <w:rPr>
          <w:rFonts w:hint="eastAsia" w:ascii="仿宋_GB2312" w:eastAsia="仿宋_GB2312" w:cs="Times New Roman"/>
          <w:color w:val="000000"/>
          <w:kern w:val="0"/>
          <w:sz w:val="32"/>
          <w:szCs w:val="32"/>
          <w:lang w:val="en-US" w:eastAsia="zh-CN" w:bidi="ar-SA"/>
        </w:rPr>
        <w:t>。</w:t>
      </w:r>
      <w:r>
        <w:rPr>
          <w:rFonts w:hint="eastAsia" w:ascii="仿宋_GB2312" w:hAnsi="Times New Roman" w:eastAsia="仿宋_GB2312" w:cs="Times New Roman"/>
          <w:color w:val="000000"/>
          <w:kern w:val="0"/>
          <w:sz w:val="32"/>
          <w:szCs w:val="32"/>
          <w:lang w:val="en-US" w:eastAsia="zh-CN" w:bidi="ar-SA"/>
        </w:rPr>
        <w:t>完成市交通运输局交办的其他任务。</w:t>
      </w:r>
      <w:r>
        <w:rPr>
          <w:rFonts w:hint="eastAsia" w:ascii="仿宋_GB2312" w:hAnsi="Times New Roman" w:eastAsia="仿宋_GB2312" w:cs="Times New Roman"/>
          <w:b/>
          <w:bCs/>
          <w:color w:val="000000"/>
          <w:kern w:val="0"/>
          <w:sz w:val="32"/>
          <w:szCs w:val="32"/>
          <w:lang w:val="en-US" w:eastAsia="zh-CN" w:bidi="ar-SA"/>
        </w:rPr>
        <w:t>面向社会提供公益服务的职能</w:t>
      </w:r>
      <w:r>
        <w:rPr>
          <w:rFonts w:hint="eastAsia" w:ascii="仿宋_GB2312" w:eastAsia="仿宋_GB2312" w:cs="Times New Roman"/>
          <w:b/>
          <w:bCs/>
          <w:color w:val="000000"/>
          <w:kern w:val="0"/>
          <w:sz w:val="32"/>
          <w:szCs w:val="32"/>
          <w:lang w:val="en-US" w:eastAsia="zh-CN" w:bidi="ar-SA"/>
        </w:rPr>
        <w:t>：</w:t>
      </w:r>
      <w:r>
        <w:rPr>
          <w:rFonts w:hint="eastAsia" w:ascii="仿宋_GB2312" w:hAnsi="Times New Roman" w:eastAsia="仿宋_GB2312" w:cs="Times New Roman"/>
          <w:color w:val="000000"/>
          <w:kern w:val="0"/>
          <w:sz w:val="32"/>
          <w:szCs w:val="32"/>
          <w:lang w:val="en-US" w:eastAsia="zh-CN" w:bidi="ar-SA"/>
        </w:rPr>
        <w:t>承担普通公路路网的基础数据公共服务工作。承担普通公路网运行状况管理和信息服务工作。负责普通公路行业统计数据的发布工作。负责交通运输服务监督热线12328的管理、派单、督办和回访工作。承担普通公路路网的基础数据公共服务工作;承担普通公路行业信息化建设和普通公路网运行状况信息服务工作;负责普通公路行业统计数据的发布工作。</w:t>
      </w:r>
    </w:p>
    <w:p>
      <w:pPr>
        <w:spacing w:line="500" w:lineRule="exact"/>
        <w:ind w:firstLine="632"/>
        <w:jc w:val="left"/>
        <w:rPr>
          <w:rFonts w:hint="eastAsia" w:ascii="仿宋_GB2312" w:hAnsi="Times New Roman" w:eastAsia="仿宋_GB2312" w:cs="Times New Roman"/>
          <w:color w:val="000000"/>
          <w:kern w:val="0"/>
          <w:sz w:val="32"/>
          <w:szCs w:val="32"/>
          <w:lang w:val="en-US" w:eastAsia="zh-CN" w:bidi="ar-SA"/>
        </w:rPr>
      </w:pPr>
      <w:r>
        <w:rPr>
          <w:rFonts w:hint="eastAsia" w:ascii="仿宋_GB2312" w:eastAsia="仿宋_GB2312" w:cs="Times New Roman"/>
          <w:b/>
          <w:bCs/>
          <w:color w:val="000000"/>
          <w:kern w:val="0"/>
          <w:sz w:val="32"/>
          <w:szCs w:val="32"/>
          <w:lang w:val="en-US" w:eastAsia="zh-CN" w:bidi="ar-SA"/>
        </w:rPr>
        <w:t>2.</w:t>
      </w:r>
      <w:r>
        <w:rPr>
          <w:rFonts w:hint="eastAsia" w:ascii="仿宋_GB2312" w:hAnsi="Times New Roman" w:eastAsia="仿宋_GB2312" w:cs="Times New Roman"/>
          <w:b/>
          <w:bCs/>
          <w:color w:val="000000"/>
          <w:kern w:val="0"/>
          <w:sz w:val="32"/>
          <w:szCs w:val="32"/>
          <w:lang w:val="en-US" w:eastAsia="zh-CN" w:bidi="ar-SA"/>
        </w:rPr>
        <w:t>市交通建设工程造价站：</w:t>
      </w:r>
      <w:r>
        <w:rPr>
          <w:rFonts w:hint="eastAsia" w:ascii="仿宋_GB2312" w:eastAsia="仿宋_GB2312"/>
          <w:sz w:val="32"/>
        </w:rPr>
        <w:t>贯彻执行国家和省市有关交通工程造价管理的方针、政策和法规；完善我市交通建设造价管理实施细则；结合我市的实际情况，协助厅造价站完成交通建设工程劳动定额的测定和施工定额、养护定额的编制与修订；负责我市职责范围内的交通建设项目的投资估算、概算、预算、设计变更和竣工决算的造价审核工作，并参与市重点项目的交竣工验收工作；负责我市辖区内高速公路和市重点项目的造价监督检查</w:t>
      </w:r>
      <w:r>
        <w:rPr>
          <w:rFonts w:hint="eastAsia" w:ascii="仿宋_GB2312" w:eastAsia="仿宋_GB2312"/>
          <w:sz w:val="32"/>
          <w:lang w:eastAsia="zh-CN"/>
        </w:rPr>
        <w:t>；</w:t>
      </w:r>
      <w:r>
        <w:rPr>
          <w:rFonts w:hint="eastAsia" w:ascii="仿宋_GB2312" w:eastAsia="仿宋_GB2312"/>
          <w:sz w:val="32"/>
        </w:rPr>
        <w:t xml:space="preserve">负责收集和整理我市交通建设工程的材料价格信息，并定期上报我市交通建设工程造价信息；协助厅交通建设造价管理站开展我市交通建设工程造价人员的培训、资格认证和考核工作。   </w:t>
      </w:r>
    </w:p>
    <w:p/>
    <w:p/>
    <w:p>
      <w:pPr>
        <w:pStyle w:val="4"/>
        <w:rPr>
          <w:rFonts w:ascii="黑体" w:hAnsi="黑体" w:eastAsia="黑体"/>
          <w:b w:val="0"/>
        </w:rPr>
      </w:pPr>
      <w:bookmarkStart w:id="21" w:name="_Toc16743"/>
      <w:r>
        <w:rPr>
          <w:rFonts w:hint="eastAsia" w:ascii="黑体" w:hAnsi="黑体" w:eastAsia="黑体"/>
          <w:b w:val="0"/>
        </w:rPr>
        <w:t>二、机构设置</w:t>
      </w:r>
      <w:bookmarkEnd w:id="21"/>
    </w:p>
    <w:bookmarkEnd w:id="19"/>
    <w:bookmarkEnd w:id="20"/>
    <w:p>
      <w:pPr>
        <w:snapToGrid w:val="0"/>
        <w:spacing w:line="520" w:lineRule="exact"/>
        <w:ind w:firstLine="640" w:firstLineChars="200"/>
        <w:rPr>
          <w:rFonts w:hint="eastAsia" w:ascii="仿宋_GB2312" w:hAnsi="Times New Roman" w:eastAsia="仿宋_GB2312" w:cs="Times New Roman"/>
          <w:color w:val="000000"/>
          <w:kern w:val="0"/>
          <w:sz w:val="32"/>
          <w:szCs w:val="32"/>
          <w:lang w:val="en-US" w:eastAsia="zh-CN" w:bidi="ar-SA"/>
        </w:rPr>
      </w:pPr>
      <w:r>
        <w:rPr>
          <w:rFonts w:hint="eastAsia" w:ascii="仿宋_GB2312" w:hAnsi="Times New Roman" w:eastAsia="仿宋_GB2312" w:cs="Times New Roman"/>
          <w:color w:val="000000"/>
          <w:kern w:val="0"/>
          <w:sz w:val="32"/>
          <w:szCs w:val="32"/>
          <w:lang w:val="en-US" w:eastAsia="zh-CN" w:bidi="ar-SA"/>
        </w:rPr>
        <w:t>我</w:t>
      </w:r>
      <w:r>
        <w:rPr>
          <w:rFonts w:hint="eastAsia" w:ascii="仿宋_GB2312" w:eastAsia="仿宋_GB2312" w:cs="Times New Roman"/>
          <w:color w:val="000000"/>
          <w:kern w:val="0"/>
          <w:sz w:val="32"/>
          <w:szCs w:val="32"/>
          <w:lang w:val="en-US" w:eastAsia="zh-CN" w:bidi="ar-SA"/>
        </w:rPr>
        <w:t>中心</w:t>
      </w:r>
      <w:r>
        <w:rPr>
          <w:rFonts w:hint="eastAsia" w:ascii="仿宋_GB2312" w:hAnsi="Times New Roman" w:eastAsia="仿宋_GB2312" w:cs="Times New Roman"/>
          <w:color w:val="000000"/>
          <w:kern w:val="0"/>
          <w:sz w:val="32"/>
          <w:szCs w:val="32"/>
          <w:lang w:val="en-US" w:eastAsia="zh-CN" w:bidi="ar-SA"/>
        </w:rPr>
        <w:t>属参照公务员法管理的事业单位，</w:t>
      </w:r>
      <w:r>
        <w:rPr>
          <w:rFonts w:hint="eastAsia" w:ascii="仿宋_GB2312" w:eastAsia="仿宋_GB2312" w:cs="Times New Roman"/>
          <w:color w:val="000000"/>
          <w:kern w:val="0"/>
          <w:sz w:val="32"/>
          <w:szCs w:val="32"/>
          <w:lang w:val="en-US" w:eastAsia="zh-CN" w:bidi="ar-SA"/>
        </w:rPr>
        <w:t>设有7个内设机构</w:t>
      </w:r>
      <w:r>
        <w:rPr>
          <w:rFonts w:hint="eastAsia" w:ascii="仿宋_GB2312" w:hAnsi="Times New Roman" w:eastAsia="仿宋_GB2312" w:cs="Times New Roman"/>
          <w:color w:val="000000"/>
          <w:kern w:val="0"/>
          <w:sz w:val="32"/>
          <w:szCs w:val="32"/>
          <w:lang w:val="en-US" w:eastAsia="zh-CN" w:bidi="ar-SA"/>
        </w:rPr>
        <w:t>：</w:t>
      </w:r>
      <w:r>
        <w:rPr>
          <w:rFonts w:hint="eastAsia" w:ascii="仿宋_GB2312" w:eastAsia="仿宋_GB2312" w:cs="Times New Roman"/>
          <w:color w:val="000000"/>
          <w:kern w:val="0"/>
          <w:sz w:val="32"/>
          <w:szCs w:val="32"/>
          <w:lang w:val="en-US" w:eastAsia="zh-CN" w:bidi="ar-SA"/>
        </w:rPr>
        <w:t>综合科、发展计划科、工程技术科、路产养护科、安全法规科、运行调度科、信息服务科</w:t>
      </w:r>
      <w:r>
        <w:rPr>
          <w:rFonts w:hint="eastAsia" w:ascii="仿宋_GB2312" w:hAnsi="Times New Roman" w:eastAsia="仿宋_GB2312" w:cs="Times New Roman"/>
          <w:color w:val="000000"/>
          <w:kern w:val="0"/>
          <w:sz w:val="32"/>
          <w:szCs w:val="32"/>
          <w:lang w:val="en-US" w:eastAsia="zh-CN" w:bidi="ar-SA"/>
        </w:rPr>
        <w:t>。</w:t>
      </w:r>
      <w:r>
        <w:rPr>
          <w:rFonts w:hint="eastAsia" w:ascii="仿宋_GB2312" w:eastAsia="仿宋_GB2312" w:cs="Times New Roman"/>
          <w:color w:val="000000"/>
          <w:kern w:val="0"/>
          <w:sz w:val="32"/>
          <w:szCs w:val="32"/>
          <w:lang w:val="en-US" w:eastAsia="zh-CN" w:bidi="ar-SA"/>
        </w:rPr>
        <w:t>市公路事业发展中心</w:t>
      </w:r>
      <w:r>
        <w:rPr>
          <w:rFonts w:hint="eastAsia" w:ascii="仿宋_GB2312" w:hAnsi="Times New Roman" w:eastAsia="仿宋_GB2312" w:cs="Times New Roman"/>
          <w:color w:val="000000"/>
          <w:kern w:val="0"/>
          <w:sz w:val="32"/>
          <w:szCs w:val="32"/>
          <w:lang w:val="en-US" w:eastAsia="zh-CN" w:bidi="ar-SA"/>
        </w:rPr>
        <w:t>预算实际包含2个单位，其中参照公务员法管理的事业单位1个，其他事业单位1个。单位为：攀枝花市公路</w:t>
      </w:r>
      <w:r>
        <w:rPr>
          <w:rFonts w:hint="eastAsia" w:ascii="仿宋_GB2312" w:eastAsia="仿宋_GB2312" w:cs="Times New Roman"/>
          <w:color w:val="000000"/>
          <w:kern w:val="0"/>
          <w:sz w:val="32"/>
          <w:szCs w:val="32"/>
          <w:lang w:val="en-US" w:eastAsia="zh-CN" w:bidi="ar-SA"/>
        </w:rPr>
        <w:t>事业发展中心</w:t>
      </w:r>
      <w:r>
        <w:rPr>
          <w:rFonts w:hint="eastAsia" w:ascii="仿宋_GB2312" w:hAnsi="Times New Roman" w:eastAsia="仿宋_GB2312" w:cs="Times New Roman"/>
          <w:color w:val="000000"/>
          <w:kern w:val="0"/>
          <w:sz w:val="32"/>
          <w:szCs w:val="32"/>
          <w:lang w:val="en-US" w:eastAsia="zh-CN" w:bidi="ar-SA"/>
        </w:rPr>
        <w:t>、攀枝花市交通建设工程造价站。</w:t>
      </w: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4"/>
          <w:rFonts w:ascii="黑体" w:hAnsi="黑体" w:eastAsia="黑体"/>
          <w:b w:val="0"/>
          <w:bCs/>
        </w:rPr>
      </w:pPr>
      <w:bookmarkStart w:id="22" w:name="_Toc11308"/>
      <w:bookmarkStart w:id="23" w:name="_Toc15396602"/>
      <w:bookmarkStart w:id="24" w:name="_Toc15377204"/>
      <w:r>
        <w:rPr>
          <w:rFonts w:hint="eastAsia" w:ascii="黑体" w:hAnsi="黑体" w:eastAsia="黑体"/>
          <w:b w:val="0"/>
        </w:rPr>
        <w:t>第二部分 2022年度</w:t>
      </w:r>
      <w:r>
        <w:rPr>
          <w:rStyle w:val="24"/>
          <w:rFonts w:hint="eastAsia" w:ascii="黑体" w:hAnsi="黑体" w:eastAsia="黑体"/>
          <w:b w:val="0"/>
          <w:bCs/>
        </w:rPr>
        <w:t>单位决算情况说明</w:t>
      </w:r>
      <w:bookmarkEnd w:id="22"/>
      <w:bookmarkEnd w:id="23"/>
      <w:bookmarkEnd w:id="24"/>
    </w:p>
    <w:p/>
    <w:p>
      <w:pPr>
        <w:pStyle w:val="23"/>
        <w:numPr>
          <w:ilvl w:val="0"/>
          <w:numId w:val="2"/>
        </w:numPr>
        <w:spacing w:line="600" w:lineRule="exact"/>
        <w:ind w:firstLineChars="0"/>
        <w:outlineLvl w:val="1"/>
        <w:rPr>
          <w:rStyle w:val="25"/>
          <w:rFonts w:ascii="黑体" w:hAnsi="黑体" w:eastAsia="黑体"/>
          <w:b w:val="0"/>
        </w:rPr>
      </w:pPr>
      <w:bookmarkStart w:id="25" w:name="_Toc15396603"/>
      <w:bookmarkStart w:id="26" w:name="_Toc15377205"/>
      <w:bookmarkStart w:id="27" w:name="_Toc24707"/>
      <w:r>
        <w:rPr>
          <w:rFonts w:hint="eastAsia" w:ascii="黑体" w:hAnsi="黑体" w:eastAsia="黑体"/>
          <w:sz w:val="32"/>
          <w:szCs w:val="32"/>
        </w:rPr>
        <w:t>收</w:t>
      </w:r>
      <w:r>
        <w:rPr>
          <w:rStyle w:val="25"/>
          <w:rFonts w:hint="eastAsia" w:ascii="黑体" w:hAnsi="黑体" w:eastAsia="黑体"/>
          <w:b w:val="0"/>
        </w:rPr>
        <w:t>入支出决算总体情况说明</w:t>
      </w:r>
      <w:bookmarkEnd w:id="25"/>
      <w:bookmarkEnd w:id="26"/>
      <w:bookmarkEnd w:id="27"/>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度收、支出为708.65万元。与2021年相比，收入减少524.89万元，下降42.55%；支出减少524.89万元，下降42.55%。主要变动原因是2022年我单位减少了“公路、桥梁数据库的维护、分析和发布”、“数据传输及网络费”、“交通运输信息发布”等项目经费。</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（图1：收、支决算总计变动情况图）</w:t>
      </w:r>
    </w:p>
    <w:p>
      <w:pPr>
        <w:pStyle w:val="2"/>
        <w:rPr>
          <w:rFonts w:hint="eastAsia" w:ascii="仿宋" w:hAnsi="仿宋" w:eastAsia="仿宋"/>
          <w:sz w:val="32"/>
          <w:szCs w:val="32"/>
        </w:rPr>
      </w:pPr>
      <w:r>
        <w:rPr>
          <w:rFonts w:hint="eastAsia" w:ascii="仿宋_GB2312" w:hAnsi="仿宋_GB2312" w:eastAsia="仿宋_GB2312" w:cs="仿宋_GB2312"/>
          <w:sz w:val="32"/>
          <w:szCs w:val="32"/>
        </w:rPr>
        <w:drawing>
          <wp:inline distT="0" distB="0" distL="114300" distR="114300">
            <wp:extent cx="4994910" cy="2647315"/>
            <wp:effectExtent l="4445" t="4445" r="10795" b="1524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
        <w:rPr>
          <w:rFonts w:ascii="仿宋_GB2312" w:eastAsia="仿宋_GB2312"/>
          <w:sz w:val="32"/>
          <w:szCs w:val="32"/>
        </w:rPr>
      </w:pPr>
    </w:p>
    <w:p>
      <w:pPr>
        <w:pStyle w:val="23"/>
        <w:numPr>
          <w:ilvl w:val="0"/>
          <w:numId w:val="2"/>
        </w:numPr>
        <w:spacing w:line="600" w:lineRule="exact"/>
        <w:ind w:firstLineChars="0"/>
        <w:outlineLvl w:val="1"/>
        <w:rPr>
          <w:rStyle w:val="25"/>
          <w:rFonts w:ascii="黑体" w:hAnsi="黑体" w:eastAsia="黑体"/>
          <w:b w:val="0"/>
        </w:rPr>
      </w:pPr>
      <w:bookmarkStart w:id="28" w:name="_Toc15396604"/>
      <w:bookmarkStart w:id="29" w:name="_Toc15377206"/>
      <w:bookmarkStart w:id="30" w:name="_Toc29497"/>
      <w:r>
        <w:rPr>
          <w:rFonts w:hint="eastAsia" w:ascii="黑体" w:hAnsi="黑体" w:eastAsia="黑体"/>
          <w:sz w:val="32"/>
          <w:szCs w:val="32"/>
        </w:rPr>
        <w:t>收</w:t>
      </w:r>
      <w:r>
        <w:rPr>
          <w:rStyle w:val="25"/>
          <w:rFonts w:hint="eastAsia" w:ascii="黑体" w:hAnsi="黑体" w:eastAsia="黑体"/>
          <w:b w:val="0"/>
        </w:rPr>
        <w:t>入决算情况说明</w:t>
      </w:r>
      <w:bookmarkEnd w:id="28"/>
      <w:bookmarkEnd w:id="29"/>
      <w:bookmarkEnd w:id="30"/>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2022年本年收入合计708.65万元，其中：一般公共预算财政拨款收入690.4万元，占97.42%；年初结转结余收入18.25万元，占2.58%。</w:t>
      </w:r>
    </w:p>
    <w:p>
      <w:pPr>
        <w:ind w:firstLine="640" w:firstLineChars="20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（图2：收入决算结构图）</w:t>
      </w:r>
    </w:p>
    <w:p>
      <w:pPr>
        <w:spacing w:line="600" w:lineRule="exact"/>
        <w:ind w:firstLine="640" w:firstLineChars="200"/>
        <w:rPr>
          <w:rFonts w:ascii="仿宋_GB2312" w:eastAsia="仿宋_GB2312"/>
          <w:sz w:val="32"/>
          <w:szCs w:val="32"/>
        </w:rPr>
      </w:pPr>
    </w:p>
    <w:p>
      <w:pPr>
        <w:pStyle w:val="2"/>
        <w:rPr>
          <w:rFonts w:ascii="仿宋_GB2312" w:eastAsia="仿宋_GB2312"/>
          <w:sz w:val="32"/>
          <w:szCs w:val="32"/>
        </w:rPr>
      </w:pPr>
      <w:r>
        <w:rPr>
          <w:rFonts w:hint="eastAsia" w:ascii="仿宋_GB2312" w:hAnsi="仿宋_GB2312" w:eastAsia="仿宋_GB2312" w:cs="仿宋_GB2312"/>
          <w:sz w:val="32"/>
          <w:szCs w:val="32"/>
        </w:rPr>
        <w:drawing>
          <wp:inline distT="0" distB="0" distL="114300" distR="114300">
            <wp:extent cx="5525770" cy="2696845"/>
            <wp:effectExtent l="4445" t="4445" r="13335" b="2286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
        <w:rPr>
          <w:rFonts w:ascii="仿宋_GB2312" w:eastAsia="仿宋_GB2312"/>
          <w:sz w:val="32"/>
          <w:szCs w:val="32"/>
        </w:rPr>
      </w:pPr>
    </w:p>
    <w:p>
      <w:pPr>
        <w:pStyle w:val="23"/>
        <w:numPr>
          <w:ilvl w:val="0"/>
          <w:numId w:val="2"/>
        </w:numPr>
        <w:spacing w:line="600" w:lineRule="exact"/>
        <w:ind w:firstLineChars="0"/>
        <w:outlineLvl w:val="1"/>
        <w:rPr>
          <w:rStyle w:val="25"/>
          <w:rFonts w:ascii="黑体" w:hAnsi="黑体" w:eastAsia="黑体"/>
          <w:b w:val="0"/>
        </w:rPr>
      </w:pPr>
      <w:bookmarkStart w:id="31" w:name="_Toc17115"/>
      <w:bookmarkStart w:id="32" w:name="_Toc15396605"/>
      <w:bookmarkStart w:id="33" w:name="_Toc15377207"/>
      <w:r>
        <w:rPr>
          <w:rFonts w:hint="eastAsia" w:ascii="黑体" w:hAnsi="黑体" w:eastAsia="黑体"/>
          <w:sz w:val="32"/>
          <w:szCs w:val="32"/>
        </w:rPr>
        <w:t>支</w:t>
      </w:r>
      <w:r>
        <w:rPr>
          <w:rStyle w:val="25"/>
          <w:rFonts w:hint="eastAsia" w:ascii="黑体" w:hAnsi="黑体" w:eastAsia="黑体"/>
          <w:b w:val="0"/>
        </w:rPr>
        <w:t>出决算情况说明</w:t>
      </w:r>
      <w:bookmarkEnd w:id="31"/>
      <w:bookmarkEnd w:id="32"/>
      <w:bookmarkEnd w:id="33"/>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2022年本年支出合计708.65万元，其中：基本支出708.65万元，占100%。</w:t>
      </w:r>
    </w:p>
    <w:p>
      <w:pPr>
        <w:ind w:firstLine="640" w:firstLineChars="20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（图3：支出决算结构图）</w:t>
      </w:r>
    </w:p>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023485" cy="2809875"/>
            <wp:effectExtent l="4445" t="4445" r="20320" b="508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
        <w:rPr>
          <w:rFonts w:hint="eastAsia" w:ascii="仿宋_GB2312" w:hAnsi="仿宋_GB2312" w:eastAsia="仿宋_GB2312" w:cs="仿宋_GB2312"/>
          <w:sz w:val="32"/>
          <w:szCs w:val="32"/>
        </w:rPr>
      </w:pPr>
    </w:p>
    <w:p>
      <w:pPr>
        <w:spacing w:line="600" w:lineRule="exact"/>
        <w:ind w:firstLine="640" w:firstLineChars="200"/>
        <w:outlineLvl w:val="1"/>
        <w:rPr>
          <w:rStyle w:val="25"/>
          <w:rFonts w:ascii="黑体" w:hAnsi="黑体" w:eastAsia="黑体"/>
          <w:b w:val="0"/>
        </w:rPr>
      </w:pPr>
      <w:bookmarkStart w:id="34" w:name="_Toc15396606"/>
      <w:bookmarkStart w:id="35" w:name="_Toc14293"/>
      <w:bookmarkStart w:id="36" w:name="_Toc15377208"/>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34"/>
      <w:bookmarkEnd w:id="35"/>
      <w:bookmarkEnd w:id="36"/>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2022年财政拨款收、支总计</w:t>
      </w:r>
      <w:r>
        <w:rPr>
          <w:rFonts w:hint="eastAsia" w:ascii="仿宋_GB2312" w:hAnsi="仿宋_GB2312" w:eastAsia="仿宋_GB2312" w:cs="仿宋_GB2312"/>
          <w:sz w:val="32"/>
          <w:szCs w:val="32"/>
          <w:lang w:val="en-US" w:eastAsia="zh-CN"/>
        </w:rPr>
        <w:t>708.65</w:t>
      </w:r>
      <w:r>
        <w:rPr>
          <w:rFonts w:hint="eastAsia" w:ascii="仿宋_GB2312" w:hAnsi="仿宋_GB2312" w:eastAsia="仿宋_GB2312" w:cs="仿宋_GB2312"/>
          <w:sz w:val="32"/>
          <w:szCs w:val="32"/>
        </w:rPr>
        <w:t>万元。与2021年相比，收</w:t>
      </w:r>
      <w:r>
        <w:rPr>
          <w:rFonts w:hint="eastAsia" w:ascii="仿宋_GB2312" w:hAnsi="仿宋_GB2312" w:eastAsia="仿宋_GB2312" w:cs="仿宋_GB2312"/>
          <w:sz w:val="32"/>
          <w:szCs w:val="32"/>
          <w:lang w:val="en-US" w:eastAsia="zh-CN"/>
        </w:rPr>
        <w:t>入减少524.89万元，下降42.55%；</w:t>
      </w:r>
      <w:r>
        <w:rPr>
          <w:rFonts w:hint="eastAsia" w:ascii="仿宋_GB2312" w:hAnsi="仿宋_GB2312" w:eastAsia="仿宋_GB2312" w:cs="仿宋_GB2312"/>
          <w:sz w:val="32"/>
          <w:szCs w:val="32"/>
        </w:rPr>
        <w:t>支</w:t>
      </w:r>
      <w:r>
        <w:rPr>
          <w:rFonts w:hint="eastAsia" w:ascii="仿宋_GB2312" w:hAnsi="仿宋_GB2312" w:eastAsia="仿宋_GB2312" w:cs="仿宋_GB2312"/>
          <w:sz w:val="32"/>
          <w:szCs w:val="32"/>
          <w:lang w:val="en-US" w:eastAsia="zh-CN"/>
        </w:rPr>
        <w:t>出</w:t>
      </w:r>
      <w:r>
        <w:rPr>
          <w:rFonts w:hint="eastAsia" w:ascii="仿宋_GB2312" w:hAnsi="仿宋_GB2312" w:eastAsia="仿宋_GB2312" w:cs="仿宋_GB2312"/>
          <w:sz w:val="32"/>
          <w:szCs w:val="32"/>
        </w:rPr>
        <w:t>减少</w:t>
      </w:r>
      <w:r>
        <w:rPr>
          <w:rFonts w:hint="eastAsia" w:ascii="仿宋_GB2312" w:hAnsi="仿宋_GB2312" w:eastAsia="仿宋_GB2312" w:cs="仿宋_GB2312"/>
          <w:sz w:val="32"/>
          <w:szCs w:val="32"/>
          <w:lang w:val="en-US" w:eastAsia="zh-CN"/>
        </w:rPr>
        <w:t>524.89</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42.55</w:t>
      </w:r>
      <w:r>
        <w:rPr>
          <w:rFonts w:hint="eastAsia" w:ascii="仿宋_GB2312" w:hAnsi="仿宋_GB2312" w:eastAsia="仿宋_GB2312" w:cs="仿宋_GB2312"/>
          <w:sz w:val="32"/>
          <w:szCs w:val="32"/>
        </w:rPr>
        <w:t>%。主要变动原因是</w:t>
      </w:r>
      <w:r>
        <w:rPr>
          <w:rFonts w:hint="eastAsia" w:ascii="仿宋_GB2312" w:hAnsi="仿宋_GB2312" w:eastAsia="仿宋_GB2312" w:cs="仿宋_GB2312"/>
          <w:sz w:val="32"/>
          <w:szCs w:val="32"/>
          <w:lang w:val="en-US" w:eastAsia="zh-CN"/>
        </w:rPr>
        <w:t>2022年我单位减少了“公路、桥梁数据库的维护、分析和发布”、“数据传输及网络费”、“交通运输信息发布”等项目经费</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（图4：财政拨款收、支决算总计变动情况）</w:t>
      </w:r>
    </w:p>
    <w:p>
      <w:pPr>
        <w:spacing w:line="600" w:lineRule="exact"/>
        <w:ind w:firstLine="640"/>
        <w:rPr>
          <w:rFonts w:ascii="仿宋" w:hAnsi="仿宋" w:eastAsia="仿宋"/>
          <w:b/>
          <w:sz w:val="32"/>
          <w:szCs w:val="32"/>
        </w:rPr>
      </w:pPr>
    </w:p>
    <w:p>
      <w:pPr>
        <w:pStyle w:val="2"/>
        <w:rPr>
          <w:rFonts w:ascii="仿宋" w:hAnsi="仿宋" w:eastAsia="仿宋"/>
          <w:b/>
          <w:sz w:val="32"/>
          <w:szCs w:val="32"/>
        </w:rPr>
      </w:pPr>
      <w:r>
        <w:rPr>
          <w:rFonts w:hint="eastAsia" w:ascii="仿宋_GB2312" w:hAnsi="仿宋_GB2312" w:eastAsia="仿宋_GB2312" w:cs="仿宋_GB2312"/>
          <w:sz w:val="32"/>
          <w:szCs w:val="32"/>
        </w:rPr>
        <w:drawing>
          <wp:inline distT="0" distB="0" distL="114300" distR="114300">
            <wp:extent cx="6069330" cy="3246120"/>
            <wp:effectExtent l="4445" t="4445" r="22225" b="698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
        <w:rPr>
          <w:rFonts w:ascii="仿宋" w:hAnsi="仿宋" w:eastAsia="仿宋"/>
          <w:b/>
          <w:sz w:val="32"/>
          <w:szCs w:val="32"/>
        </w:rPr>
      </w:pPr>
    </w:p>
    <w:p>
      <w:pPr>
        <w:spacing w:line="600" w:lineRule="exact"/>
        <w:ind w:firstLine="640" w:firstLineChars="200"/>
        <w:outlineLvl w:val="1"/>
        <w:rPr>
          <w:rStyle w:val="25"/>
          <w:rFonts w:ascii="黑体" w:hAnsi="黑体" w:eastAsia="黑体"/>
          <w:b w:val="0"/>
        </w:rPr>
      </w:pPr>
      <w:bookmarkStart w:id="37" w:name="_Toc15396607"/>
      <w:bookmarkStart w:id="38" w:name="_Toc31669"/>
      <w:bookmarkStart w:id="39" w:name="_Toc15377209"/>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37"/>
      <w:bookmarkEnd w:id="38"/>
      <w:bookmarkEnd w:id="39"/>
    </w:p>
    <w:p>
      <w:pPr>
        <w:spacing w:line="600" w:lineRule="exact"/>
        <w:ind w:firstLine="640" w:firstLineChars="200"/>
        <w:outlineLvl w:val="2"/>
        <w:rPr>
          <w:rFonts w:ascii="仿宋" w:hAnsi="仿宋" w:eastAsia="仿宋"/>
          <w:b/>
          <w:sz w:val="32"/>
          <w:szCs w:val="32"/>
        </w:rPr>
      </w:pPr>
      <w:bookmarkStart w:id="40" w:name="_Toc7259"/>
      <w:bookmarkStart w:id="41" w:name="_Toc15377210"/>
      <w:r>
        <w:rPr>
          <w:rFonts w:hint="eastAsia" w:ascii="仿宋" w:hAnsi="仿宋" w:eastAsia="仿宋"/>
          <w:b/>
          <w:sz w:val="32"/>
          <w:szCs w:val="32"/>
        </w:rPr>
        <w:t>（一）一般公共预算财政拨款支出决算总体情况</w:t>
      </w:r>
      <w:bookmarkEnd w:id="40"/>
      <w:bookmarkEnd w:id="41"/>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2022年一般公共预算财政拨款支出</w:t>
      </w:r>
      <w:r>
        <w:rPr>
          <w:rFonts w:hint="eastAsia" w:ascii="仿宋_GB2312" w:hAnsi="仿宋_GB2312" w:eastAsia="仿宋_GB2312" w:cs="仿宋_GB2312"/>
          <w:sz w:val="32"/>
          <w:szCs w:val="32"/>
          <w:lang w:val="en-US" w:eastAsia="zh-CN"/>
        </w:rPr>
        <w:t>708.65</w:t>
      </w:r>
      <w:r>
        <w:rPr>
          <w:rFonts w:hint="eastAsia" w:ascii="仿宋_GB2312" w:hAnsi="仿宋_GB2312" w:eastAsia="仿宋_GB2312" w:cs="仿宋_GB2312"/>
          <w:sz w:val="32"/>
          <w:szCs w:val="32"/>
        </w:rPr>
        <w:t>万元，占本年支出合计的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%。与2021年相比，一般公共预算财政拨款支出减少</w:t>
      </w:r>
      <w:r>
        <w:rPr>
          <w:rFonts w:hint="eastAsia" w:ascii="仿宋_GB2312" w:hAnsi="仿宋_GB2312" w:eastAsia="仿宋_GB2312" w:cs="仿宋_GB2312"/>
          <w:sz w:val="32"/>
          <w:szCs w:val="32"/>
          <w:lang w:val="en-US" w:eastAsia="zh-CN"/>
        </w:rPr>
        <w:t>524.89</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42.55</w:t>
      </w:r>
      <w:r>
        <w:rPr>
          <w:rFonts w:hint="eastAsia" w:ascii="仿宋_GB2312" w:hAnsi="仿宋_GB2312" w:eastAsia="仿宋_GB2312" w:cs="仿宋_GB2312"/>
          <w:sz w:val="32"/>
          <w:szCs w:val="32"/>
        </w:rPr>
        <w:t>%。主要变动原因是</w:t>
      </w:r>
      <w:r>
        <w:rPr>
          <w:rFonts w:hint="eastAsia" w:ascii="仿宋_GB2312" w:hAnsi="仿宋_GB2312" w:eastAsia="仿宋_GB2312" w:cs="仿宋_GB2312"/>
          <w:sz w:val="32"/>
          <w:szCs w:val="32"/>
          <w:lang w:val="en-US" w:eastAsia="zh-CN"/>
        </w:rPr>
        <w:t>2022年我单位减少了“公路、桥梁数据库的维护、分析和发布”、“数据传输及网络费”、“交通运输信息发布”等项目经费</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（图5：一般公共预算财政拨款支出决算变动情况）</w:t>
      </w:r>
    </w:p>
    <w:p>
      <w:pPr>
        <w:spacing w:line="600" w:lineRule="exact"/>
        <w:ind w:firstLine="640" w:firstLineChars="200"/>
        <w:rPr>
          <w:rFonts w:ascii="仿宋" w:hAnsi="仿宋" w:eastAsia="仿宋"/>
          <w:sz w:val="32"/>
          <w:szCs w:val="32"/>
        </w:rPr>
      </w:pPr>
    </w:p>
    <w:p>
      <w:pPr>
        <w:pStyle w:val="2"/>
        <w:rPr>
          <w:rFonts w:ascii="仿宋" w:hAnsi="仿宋" w:eastAsia="仿宋"/>
          <w:sz w:val="32"/>
          <w:szCs w:val="32"/>
        </w:rPr>
      </w:pPr>
      <w:r>
        <w:rPr>
          <w:rFonts w:hint="eastAsia" w:ascii="仿宋_GB2312" w:hAnsi="仿宋_GB2312" w:eastAsia="仿宋_GB2312" w:cs="仿宋_GB2312"/>
          <w:sz w:val="32"/>
          <w:szCs w:val="32"/>
        </w:rPr>
        <w:drawing>
          <wp:inline distT="0" distB="0" distL="114300" distR="114300">
            <wp:extent cx="4994910" cy="2647315"/>
            <wp:effectExtent l="4445" t="4445" r="10795" b="1524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
        <w:rPr>
          <w:rFonts w:ascii="仿宋" w:hAnsi="仿宋" w:eastAsia="仿宋"/>
          <w:sz w:val="32"/>
          <w:szCs w:val="32"/>
        </w:rPr>
      </w:pPr>
    </w:p>
    <w:p>
      <w:pPr>
        <w:spacing w:line="600" w:lineRule="exact"/>
        <w:ind w:firstLine="640" w:firstLineChars="200"/>
        <w:outlineLvl w:val="2"/>
        <w:rPr>
          <w:rFonts w:ascii="仿宋" w:hAnsi="仿宋" w:eastAsia="仿宋"/>
          <w:b/>
          <w:sz w:val="32"/>
          <w:szCs w:val="32"/>
        </w:rPr>
      </w:pPr>
      <w:bookmarkStart w:id="42" w:name="_Toc14210"/>
      <w:bookmarkStart w:id="43" w:name="_Toc15377211"/>
      <w:r>
        <w:rPr>
          <w:rFonts w:hint="eastAsia" w:ascii="仿宋" w:hAnsi="仿宋" w:eastAsia="仿宋"/>
          <w:b/>
          <w:sz w:val="32"/>
          <w:szCs w:val="32"/>
        </w:rPr>
        <w:t>（二）一般公共预算财政拨款支出决算结构情况</w:t>
      </w:r>
      <w:bookmarkEnd w:id="42"/>
      <w:bookmarkEnd w:id="43"/>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2022年一般公共预算财政拨款支出</w:t>
      </w:r>
      <w:r>
        <w:rPr>
          <w:rFonts w:hint="eastAsia" w:ascii="仿宋_GB2312" w:hAnsi="仿宋_GB2312" w:eastAsia="仿宋_GB2312" w:cs="仿宋_GB2312"/>
          <w:sz w:val="32"/>
          <w:szCs w:val="32"/>
          <w:lang w:val="en-US" w:eastAsia="zh-CN"/>
        </w:rPr>
        <w:t>708.65</w:t>
      </w:r>
      <w:r>
        <w:rPr>
          <w:rFonts w:hint="eastAsia" w:ascii="仿宋_GB2312" w:hAnsi="仿宋_GB2312" w:eastAsia="仿宋_GB2312" w:cs="仿宋_GB2312"/>
          <w:sz w:val="32"/>
          <w:szCs w:val="32"/>
        </w:rPr>
        <w:t>万元，主要用于以下方面:社会保障和就业支出</w:t>
      </w:r>
      <w:r>
        <w:rPr>
          <w:rFonts w:hint="eastAsia" w:ascii="仿宋_GB2312" w:hAnsi="仿宋_GB2312" w:eastAsia="仿宋_GB2312" w:cs="仿宋_GB2312"/>
          <w:sz w:val="32"/>
          <w:szCs w:val="32"/>
          <w:lang w:val="en-US" w:eastAsia="zh-CN"/>
        </w:rPr>
        <w:t>92.25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交通运输支出557.43万元，</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78.7</w:t>
      </w:r>
      <w:r>
        <w:rPr>
          <w:rFonts w:hint="eastAsia" w:ascii="仿宋_GB2312" w:hAnsi="仿宋_GB2312" w:eastAsia="仿宋_GB2312" w:cs="仿宋_GB2312"/>
          <w:sz w:val="32"/>
          <w:szCs w:val="32"/>
        </w:rPr>
        <w:t>%；住房保障支出</w:t>
      </w:r>
      <w:r>
        <w:rPr>
          <w:rFonts w:hint="eastAsia" w:ascii="仿宋_GB2312" w:hAnsi="仿宋_GB2312" w:eastAsia="仿宋_GB2312" w:cs="仿宋_GB2312"/>
          <w:sz w:val="32"/>
          <w:szCs w:val="32"/>
          <w:lang w:val="en-US" w:eastAsia="zh-CN"/>
        </w:rPr>
        <w:t>58.97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8.3</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（图6：一般公共预算财政拨款支出决算结构）</w:t>
      </w:r>
    </w:p>
    <w:p>
      <w:pPr>
        <w:spacing w:line="600" w:lineRule="exact"/>
        <w:ind w:firstLine="640" w:firstLineChars="200"/>
        <w:rPr>
          <w:rFonts w:ascii="仿宋" w:hAnsi="仿宋" w:eastAsia="仿宋"/>
          <w:sz w:val="32"/>
          <w:szCs w:val="32"/>
        </w:rPr>
      </w:pPr>
    </w:p>
    <w:p>
      <w:pPr>
        <w:pStyle w:val="2"/>
        <w:rPr>
          <w:rFonts w:ascii="仿宋" w:hAnsi="仿宋" w:eastAsia="仿宋"/>
          <w:sz w:val="32"/>
          <w:szCs w:val="32"/>
        </w:rPr>
      </w:pPr>
      <w:r>
        <w:rPr>
          <w:rFonts w:hint="eastAsia" w:ascii="仿宋_GB2312" w:hAnsi="仿宋_GB2312" w:eastAsia="仿宋_GB2312" w:cs="仿宋_GB2312"/>
          <w:sz w:val="32"/>
          <w:szCs w:val="32"/>
        </w:rPr>
        <w:drawing>
          <wp:inline distT="0" distB="0" distL="114300" distR="114300">
            <wp:extent cx="5365115" cy="3096895"/>
            <wp:effectExtent l="4445" t="4445" r="21590" b="2286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
        <w:rPr>
          <w:rFonts w:ascii="仿宋" w:hAnsi="仿宋" w:eastAsia="仿宋"/>
          <w:sz w:val="32"/>
          <w:szCs w:val="32"/>
        </w:rPr>
      </w:pPr>
    </w:p>
    <w:p>
      <w:pPr>
        <w:pStyle w:val="2"/>
        <w:rPr>
          <w:rFonts w:ascii="仿宋" w:hAnsi="仿宋" w:eastAsia="仿宋"/>
          <w:sz w:val="32"/>
          <w:szCs w:val="32"/>
        </w:rPr>
      </w:pPr>
    </w:p>
    <w:p>
      <w:pPr>
        <w:spacing w:line="600" w:lineRule="exact"/>
        <w:ind w:firstLine="640" w:firstLineChars="200"/>
        <w:outlineLvl w:val="2"/>
        <w:rPr>
          <w:rFonts w:ascii="仿宋" w:hAnsi="仿宋" w:eastAsia="仿宋"/>
          <w:b/>
          <w:sz w:val="32"/>
          <w:szCs w:val="32"/>
        </w:rPr>
      </w:pPr>
      <w:bookmarkStart w:id="44" w:name="_Toc15377212"/>
      <w:bookmarkStart w:id="45" w:name="_Toc26867"/>
      <w:r>
        <w:rPr>
          <w:rFonts w:hint="eastAsia" w:ascii="仿宋" w:hAnsi="仿宋" w:eastAsia="仿宋"/>
          <w:b/>
          <w:sz w:val="32"/>
          <w:szCs w:val="32"/>
        </w:rPr>
        <w:t>（三）一般公共预算财政拨款支出决算具体情况</w:t>
      </w:r>
      <w:bookmarkEnd w:id="44"/>
      <w:bookmarkEnd w:id="45"/>
    </w:p>
    <w:p>
      <w:pPr>
        <w:ind w:firstLine="643" w:firstLineChars="200"/>
        <w:rPr>
          <w:rFonts w:hint="eastAsia" w:ascii="仿宋_GB2312" w:hAnsi="仿宋_GB2312" w:eastAsia="仿宋_GB2312" w:cs="仿宋_GB2312"/>
          <w:b/>
          <w:bCs/>
          <w:sz w:val="32"/>
          <w:szCs w:val="32"/>
        </w:rPr>
      </w:pPr>
      <w:bookmarkStart w:id="46" w:name="_Toc15378460"/>
      <w:bookmarkStart w:id="47" w:name="_Toc15377213"/>
      <w:bookmarkStart w:id="48" w:name="_Toc15377444"/>
      <w:r>
        <w:rPr>
          <w:rFonts w:hint="eastAsia" w:ascii="仿宋_GB2312" w:hAnsi="仿宋_GB2312" w:eastAsia="仿宋_GB2312" w:cs="仿宋_GB2312"/>
          <w:b/>
          <w:bCs/>
          <w:sz w:val="32"/>
          <w:szCs w:val="32"/>
        </w:rPr>
        <w:t>2022年一般公共预算支出决算数为</w:t>
      </w:r>
      <w:r>
        <w:rPr>
          <w:rFonts w:hint="eastAsia" w:ascii="仿宋_GB2312" w:hAnsi="仿宋_GB2312" w:eastAsia="仿宋_GB2312" w:cs="仿宋_GB2312"/>
          <w:b/>
          <w:bCs/>
          <w:sz w:val="32"/>
          <w:szCs w:val="32"/>
          <w:lang w:val="en-US" w:eastAsia="zh-CN"/>
        </w:rPr>
        <w:t>708.65</w:t>
      </w:r>
      <w:r>
        <w:rPr>
          <w:rFonts w:hint="eastAsia" w:ascii="仿宋_GB2312" w:hAnsi="仿宋_GB2312" w:eastAsia="仿宋_GB2312" w:cs="仿宋_GB2312"/>
          <w:b/>
          <w:bCs/>
          <w:sz w:val="32"/>
          <w:szCs w:val="32"/>
        </w:rPr>
        <w:t>，完成预算</w:t>
      </w:r>
      <w:r>
        <w:rPr>
          <w:rFonts w:hint="eastAsia" w:ascii="仿宋_GB2312" w:hAnsi="仿宋_GB2312" w:eastAsia="仿宋_GB2312" w:cs="仿宋_GB2312"/>
          <w:b/>
          <w:bCs/>
          <w:sz w:val="32"/>
          <w:szCs w:val="32"/>
          <w:lang w:val="en-US" w:eastAsia="zh-CN"/>
        </w:rPr>
        <w:t>100</w:t>
      </w:r>
      <w:r>
        <w:rPr>
          <w:rFonts w:hint="eastAsia" w:ascii="仿宋_GB2312" w:hAnsi="仿宋_GB2312" w:eastAsia="仿宋_GB2312" w:cs="仿宋_GB2312"/>
          <w:b/>
          <w:bCs/>
          <w:sz w:val="32"/>
          <w:szCs w:val="32"/>
        </w:rPr>
        <w:t>%。其中：</w:t>
      </w:r>
      <w:bookmarkEnd w:id="46"/>
      <w:bookmarkEnd w:id="47"/>
      <w:bookmarkEnd w:id="48"/>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.社会保障和就业支出（类）行政事业单位养老支出（款）行政单位离退休（项）</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41.93</w:t>
      </w:r>
      <w:r>
        <w:rPr>
          <w:rFonts w:hint="eastAsia" w:ascii="仿宋_GB2312" w:hAnsi="仿宋_GB2312" w:eastAsia="仿宋_GB2312" w:cs="仿宋_GB2312"/>
          <w:sz w:val="32"/>
          <w:szCs w:val="32"/>
        </w:rPr>
        <w:t>万元，完成预算100%。</w:t>
      </w:r>
    </w:p>
    <w:p>
      <w:pPr>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.社会保障和就业支</w:t>
      </w:r>
      <w:r>
        <w:rPr>
          <w:rFonts w:hint="eastAsia" w:ascii="仿宋_GB2312" w:hAnsi="仿宋_GB2312" w:eastAsia="仿宋_GB2312" w:cs="仿宋_GB2312"/>
          <w:b/>
          <w:bCs/>
          <w:color w:val="auto"/>
          <w:sz w:val="32"/>
          <w:szCs w:val="32"/>
        </w:rPr>
        <w:t>出（类）行政事业单位养老支出（款）事业单位离退休（项）</w:t>
      </w:r>
      <w:r>
        <w:rPr>
          <w:rFonts w:hint="eastAsia" w:ascii="仿宋_GB2312" w:hAnsi="仿宋_GB2312" w:eastAsia="仿宋_GB2312" w:cs="仿宋_GB2312"/>
          <w:color w:val="auto"/>
          <w:sz w:val="32"/>
          <w:szCs w:val="32"/>
        </w:rPr>
        <w:t>:支出决算为</w:t>
      </w:r>
      <w:r>
        <w:rPr>
          <w:rFonts w:hint="eastAsia" w:ascii="仿宋_GB2312" w:hAnsi="仿宋_GB2312" w:eastAsia="仿宋_GB2312" w:cs="仿宋_GB2312"/>
          <w:color w:val="auto"/>
          <w:sz w:val="32"/>
          <w:szCs w:val="32"/>
          <w:lang w:val="en-US" w:eastAsia="zh-CN"/>
        </w:rPr>
        <w:t>4.95</w:t>
      </w:r>
      <w:r>
        <w:rPr>
          <w:rFonts w:hint="eastAsia" w:ascii="仿宋_GB2312" w:hAnsi="仿宋_GB2312" w:eastAsia="仿宋_GB2312" w:cs="仿宋_GB2312"/>
          <w:color w:val="auto"/>
          <w:sz w:val="32"/>
          <w:szCs w:val="32"/>
        </w:rPr>
        <w:t>万元，完成预算100%。</w:t>
      </w:r>
    </w:p>
    <w:p>
      <w:pPr>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.社会保障和就业支出（类）行政事业单位养老支出（款）机关事业单位基本养老保险缴费支出（项）</w:t>
      </w:r>
      <w:r>
        <w:rPr>
          <w:rFonts w:hint="eastAsia" w:ascii="仿宋_GB2312" w:hAnsi="仿宋_GB2312" w:eastAsia="仿宋_GB2312" w:cs="仿宋_GB2312"/>
          <w:color w:val="auto"/>
          <w:sz w:val="32"/>
          <w:szCs w:val="32"/>
        </w:rPr>
        <w:t>:支出决算为</w:t>
      </w:r>
      <w:r>
        <w:rPr>
          <w:rFonts w:hint="eastAsia" w:ascii="仿宋_GB2312" w:hAnsi="仿宋_GB2312" w:eastAsia="仿宋_GB2312" w:cs="仿宋_GB2312"/>
          <w:color w:val="auto"/>
          <w:sz w:val="32"/>
          <w:szCs w:val="32"/>
          <w:lang w:val="en-US" w:eastAsia="zh-CN"/>
        </w:rPr>
        <w:t>45.37</w:t>
      </w:r>
      <w:r>
        <w:rPr>
          <w:rFonts w:hint="eastAsia" w:ascii="仿宋_GB2312" w:hAnsi="仿宋_GB2312" w:eastAsia="仿宋_GB2312" w:cs="仿宋_GB2312"/>
          <w:color w:val="auto"/>
          <w:sz w:val="32"/>
          <w:szCs w:val="32"/>
        </w:rPr>
        <w:t>万元，完成预算100%。</w:t>
      </w:r>
    </w:p>
    <w:p>
      <w:pPr>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rPr>
        <w:t>.交通运输支出（类）公路水路运输（款）行政运行（项）</w:t>
      </w:r>
      <w:r>
        <w:rPr>
          <w:rFonts w:hint="eastAsia" w:ascii="仿宋_GB2312" w:hAnsi="仿宋_GB2312" w:eastAsia="仿宋_GB2312" w:cs="仿宋_GB2312"/>
          <w:color w:val="auto"/>
          <w:sz w:val="32"/>
          <w:szCs w:val="32"/>
        </w:rPr>
        <w:t>:支出决算为</w:t>
      </w:r>
      <w:r>
        <w:rPr>
          <w:rFonts w:hint="eastAsia" w:ascii="仿宋_GB2312" w:hAnsi="仿宋_GB2312" w:eastAsia="仿宋_GB2312" w:cs="仿宋_GB2312"/>
          <w:color w:val="auto"/>
          <w:sz w:val="32"/>
          <w:szCs w:val="32"/>
          <w:lang w:val="en-US" w:eastAsia="zh-CN"/>
        </w:rPr>
        <w:t>426.05</w:t>
      </w:r>
      <w:r>
        <w:rPr>
          <w:rFonts w:hint="eastAsia" w:ascii="仿宋_GB2312" w:hAnsi="仿宋_GB2312" w:eastAsia="仿宋_GB2312" w:cs="仿宋_GB2312"/>
          <w:color w:val="auto"/>
          <w:sz w:val="32"/>
          <w:szCs w:val="32"/>
        </w:rPr>
        <w:t>万元，完成预算</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p>
    <w:p>
      <w:pPr>
        <w:ind w:firstLine="643" w:firstLineChars="200"/>
        <w:rPr>
          <w:rFonts w:hint="default"/>
          <w:lang w:val="en-US" w:eastAsia="zh-CN"/>
        </w:rPr>
      </w:pP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rPr>
        <w:t>.交通运输支出（类）公路水路运输（款）</w:t>
      </w:r>
      <w:r>
        <w:rPr>
          <w:rFonts w:hint="eastAsia" w:ascii="仿宋_GB2312" w:hAnsi="仿宋_GB2312" w:eastAsia="仿宋_GB2312" w:cs="仿宋_GB2312"/>
          <w:b/>
          <w:bCs/>
          <w:color w:val="auto"/>
          <w:sz w:val="32"/>
          <w:szCs w:val="32"/>
          <w:lang w:val="en-US" w:eastAsia="zh-CN"/>
        </w:rPr>
        <w:t>机关服务</w:t>
      </w:r>
      <w:r>
        <w:rPr>
          <w:rFonts w:hint="eastAsia" w:ascii="仿宋_GB2312" w:hAnsi="仿宋_GB2312" w:eastAsia="仿宋_GB2312" w:cs="仿宋_GB2312"/>
          <w:b/>
          <w:bCs/>
          <w:color w:val="auto"/>
          <w:sz w:val="32"/>
          <w:szCs w:val="32"/>
        </w:rPr>
        <w:t>（项）</w:t>
      </w:r>
      <w:r>
        <w:rPr>
          <w:rFonts w:hint="eastAsia" w:ascii="仿宋_GB2312" w:hAnsi="仿宋_GB2312" w:eastAsia="仿宋_GB2312" w:cs="仿宋_GB2312"/>
          <w:color w:val="auto"/>
          <w:sz w:val="32"/>
          <w:szCs w:val="32"/>
        </w:rPr>
        <w:t>:支出决算为</w:t>
      </w:r>
      <w:r>
        <w:rPr>
          <w:rFonts w:hint="eastAsia" w:ascii="仿宋_GB2312" w:hAnsi="仿宋_GB2312" w:eastAsia="仿宋_GB2312" w:cs="仿宋_GB2312"/>
          <w:color w:val="auto"/>
          <w:sz w:val="32"/>
          <w:szCs w:val="32"/>
          <w:lang w:val="en-US" w:eastAsia="zh-CN"/>
        </w:rPr>
        <w:t>131.38</w:t>
      </w:r>
      <w:r>
        <w:rPr>
          <w:rFonts w:hint="eastAsia" w:ascii="仿宋_GB2312" w:hAnsi="仿宋_GB2312" w:eastAsia="仿宋_GB2312" w:cs="仿宋_GB2312"/>
          <w:color w:val="auto"/>
          <w:sz w:val="32"/>
          <w:szCs w:val="32"/>
        </w:rPr>
        <w:t>万元，完成预算</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.住房保障支出（类）住房改革支出（款）住房公积金（项）</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58.97</w:t>
      </w:r>
      <w:r>
        <w:rPr>
          <w:rFonts w:hint="eastAsia" w:ascii="仿宋_GB2312" w:hAnsi="仿宋_GB2312" w:eastAsia="仿宋_GB2312" w:cs="仿宋_GB2312"/>
          <w:sz w:val="32"/>
          <w:szCs w:val="32"/>
        </w:rPr>
        <w:t>万元，完成预算100%。</w:t>
      </w:r>
    </w:p>
    <w:p>
      <w:pPr>
        <w:spacing w:line="600" w:lineRule="exact"/>
        <w:ind w:firstLine="640"/>
        <w:rPr>
          <w:rFonts w:hint="eastAsia" w:ascii="仿宋_GB2312" w:hAnsi="Calibri" w:eastAsia="仿宋_GB2312" w:cs="仿宋"/>
          <w:color w:val="000000"/>
          <w:kern w:val="0"/>
          <w:sz w:val="32"/>
          <w:szCs w:val="32"/>
          <w:lang w:val="en-US" w:eastAsia="zh-CN" w:bidi="ar-SA"/>
        </w:rPr>
      </w:pPr>
    </w:p>
    <w:p>
      <w:pPr>
        <w:tabs>
          <w:tab w:val="right" w:pos="8306"/>
        </w:tabs>
        <w:spacing w:line="600" w:lineRule="exact"/>
        <w:ind w:firstLine="640"/>
        <w:outlineLvl w:val="1"/>
        <w:rPr>
          <w:rStyle w:val="25"/>
        </w:rPr>
      </w:pPr>
      <w:bookmarkStart w:id="49" w:name="_Toc15377214"/>
      <w:bookmarkStart w:id="50" w:name="_Toc7520"/>
      <w:bookmarkStart w:id="51"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49"/>
      <w:bookmarkEnd w:id="50"/>
      <w:bookmarkEnd w:id="51"/>
      <w:r>
        <w:rPr>
          <w:rStyle w:val="25"/>
          <w:rFonts w:ascii="黑体" w:hAnsi="黑体" w:eastAsia="黑体"/>
          <w:b w:val="0"/>
        </w:rPr>
        <w:tab/>
      </w:r>
    </w:p>
    <w:p>
      <w:pPr>
        <w:spacing w:line="600" w:lineRule="exact"/>
        <w:ind w:firstLine="64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2022年一般公共预算财政拨款基本支出708.65万元，其中：</w:t>
      </w:r>
    </w:p>
    <w:p>
      <w:pPr>
        <w:spacing w:line="600" w:lineRule="exact"/>
        <w:ind w:firstLine="64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人员经费662.17万元，主要包括：基本工资、津贴补贴、奖金、绩效工资、机关事业单位基本养老保险缴费、其他社会保障缴费、其他工资福利支出、退休费、生活补助、医疗费补助、奖励金、住房公积金、其他对个人和家庭的补助支出等。</w:t>
      </w:r>
      <w:r>
        <w:rPr>
          <w:rFonts w:hint="eastAsia" w:ascii="仿宋_GB2312" w:hAnsi="Calibri" w:eastAsia="仿宋_GB2312" w:cs="仿宋"/>
          <w:color w:val="000000"/>
          <w:kern w:val="0"/>
          <w:sz w:val="32"/>
          <w:szCs w:val="32"/>
          <w:lang w:val="en-US" w:eastAsia="zh-CN" w:bidi="ar-SA"/>
        </w:rPr>
        <w:br w:type="textWrapping"/>
      </w:r>
      <w:r>
        <w:rPr>
          <w:rFonts w:hint="eastAsia" w:ascii="仿宋_GB2312" w:hAnsi="Calibri" w:eastAsia="仿宋_GB2312" w:cs="仿宋"/>
          <w:color w:val="000000"/>
          <w:kern w:val="0"/>
          <w:sz w:val="32"/>
          <w:szCs w:val="32"/>
          <w:lang w:val="en-US" w:eastAsia="zh-CN" w:bidi="ar-SA"/>
        </w:rPr>
        <w:t>　　公用经费46.48万元，主要包括：办公费、水费、电费、邮电费、差旅费、因公出国（境）费用、维修（护）费、公务接待费、工会经费、福利费、公务用车运行维护费、其他交通费、税金及附加费用、其他商品和服务支出等。</w:t>
      </w:r>
    </w:p>
    <w:p>
      <w:pPr>
        <w:spacing w:line="600" w:lineRule="exact"/>
        <w:ind w:firstLine="640"/>
        <w:rPr>
          <w:rFonts w:ascii="仿宋" w:hAnsi="仿宋" w:eastAsia="仿宋"/>
          <w:b/>
          <w:sz w:val="32"/>
          <w:szCs w:val="32"/>
        </w:rPr>
      </w:pPr>
    </w:p>
    <w:p>
      <w:pPr>
        <w:spacing w:line="600" w:lineRule="exact"/>
        <w:ind w:firstLine="640"/>
        <w:outlineLvl w:val="1"/>
        <w:rPr>
          <w:rStyle w:val="25"/>
          <w:rFonts w:ascii="黑体" w:hAnsi="黑体" w:eastAsia="黑体"/>
          <w:b w:val="0"/>
        </w:rPr>
      </w:pPr>
      <w:bookmarkStart w:id="52" w:name="_Toc15396609"/>
      <w:bookmarkStart w:id="53" w:name="_Toc29069"/>
      <w:bookmarkStart w:id="54" w:name="_Toc15377215"/>
      <w:r>
        <w:rPr>
          <w:rFonts w:hint="eastAsia" w:ascii="黑体" w:eastAsia="黑体"/>
          <w:sz w:val="32"/>
          <w:szCs w:val="32"/>
        </w:rPr>
        <w:t>七、</w:t>
      </w:r>
      <w:r>
        <w:rPr>
          <w:rStyle w:val="25"/>
          <w:rFonts w:hint="eastAsia" w:ascii="黑体" w:hAnsi="黑体" w:eastAsia="黑体"/>
          <w:b w:val="0"/>
        </w:rPr>
        <w:t>财政拨款</w:t>
      </w:r>
      <w:r>
        <w:rPr>
          <w:rStyle w:val="25"/>
          <w:rFonts w:hint="eastAsia" w:ascii="黑体" w:hAnsi="黑体" w:eastAsia="黑体"/>
        </w:rPr>
        <w:t>“</w:t>
      </w:r>
      <w:r>
        <w:rPr>
          <w:rStyle w:val="25"/>
          <w:rFonts w:hint="eastAsia" w:ascii="黑体" w:hAnsi="黑体" w:eastAsia="黑体"/>
          <w:b w:val="0"/>
        </w:rPr>
        <w:t>三公”经费支出决算情况说明</w:t>
      </w:r>
      <w:bookmarkEnd w:id="52"/>
      <w:bookmarkEnd w:id="53"/>
      <w:bookmarkEnd w:id="54"/>
    </w:p>
    <w:p>
      <w:pPr>
        <w:spacing w:line="600" w:lineRule="exact"/>
        <w:ind w:firstLine="640"/>
        <w:outlineLvl w:val="2"/>
        <w:rPr>
          <w:rFonts w:ascii="仿宋" w:hAnsi="仿宋" w:eastAsia="仿宋"/>
          <w:b/>
          <w:sz w:val="32"/>
          <w:szCs w:val="32"/>
        </w:rPr>
      </w:pPr>
      <w:bookmarkStart w:id="55" w:name="_Toc15377216"/>
      <w:bookmarkStart w:id="56" w:name="_Toc32157"/>
      <w:r>
        <w:rPr>
          <w:rFonts w:hint="eastAsia" w:ascii="仿宋" w:hAnsi="仿宋" w:eastAsia="仿宋"/>
          <w:b/>
          <w:sz w:val="32"/>
          <w:szCs w:val="32"/>
        </w:rPr>
        <w:t>（一）“三公”经费财政拨款支出决算总体情况说明</w:t>
      </w:r>
      <w:bookmarkEnd w:id="55"/>
      <w:bookmarkEnd w:id="56"/>
    </w:p>
    <w:p>
      <w:pPr>
        <w:spacing w:line="600" w:lineRule="exact"/>
        <w:ind w:firstLine="64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2022年“三公”经费财政拨款支出决算为2.41万元，完成预算100%，较上年增加0.9万元，增长37.34%。决算数与预算数持平。</w:t>
      </w:r>
    </w:p>
    <w:p>
      <w:pPr>
        <w:spacing w:line="600" w:lineRule="exact"/>
        <w:ind w:firstLine="640"/>
        <w:outlineLvl w:val="2"/>
        <w:rPr>
          <w:rFonts w:ascii="仿宋" w:hAnsi="仿宋" w:eastAsia="仿宋"/>
          <w:b/>
          <w:sz w:val="32"/>
          <w:szCs w:val="32"/>
        </w:rPr>
      </w:pPr>
      <w:bookmarkStart w:id="57" w:name="_Toc26834"/>
      <w:bookmarkStart w:id="58" w:name="_Toc15377217"/>
      <w:r>
        <w:rPr>
          <w:rFonts w:hint="eastAsia" w:ascii="仿宋" w:hAnsi="仿宋" w:eastAsia="仿宋"/>
          <w:b/>
          <w:sz w:val="32"/>
          <w:szCs w:val="32"/>
        </w:rPr>
        <w:t>（二）“三公”经费财政拨款支出决算具体情况说明</w:t>
      </w:r>
      <w:bookmarkEnd w:id="57"/>
      <w:bookmarkEnd w:id="58"/>
    </w:p>
    <w:p>
      <w:pPr>
        <w:spacing w:line="600" w:lineRule="exact"/>
        <w:ind w:firstLine="64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2022年“三公”经费财政拨款支出决算中，因公出国（境）费支出决算0万元，占0%；公务用车购置及运行维护费支出决算2.27万元，占94.2%；公务接待费支出决算0.14万元，占5.8%。具体情况如下：</w:t>
      </w:r>
    </w:p>
    <w:p>
      <w:pPr>
        <w:spacing w:line="600" w:lineRule="exact"/>
        <w:ind w:firstLine="64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（图7：“三公”经费财政拨款支出结构）</w:t>
      </w:r>
    </w:p>
    <w:p>
      <w:pPr>
        <w:pStyle w:val="2"/>
        <w:rPr>
          <w:rFonts w:hint="eastAsia" w:ascii="仿宋" w:hAnsi="仿宋" w:eastAsia="仿宋"/>
          <w:sz w:val="32"/>
          <w:szCs w:val="32"/>
        </w:rPr>
      </w:pPr>
      <w:r>
        <w:rPr>
          <w:rFonts w:hint="eastAsia" w:ascii="仿宋_GB2312" w:hAnsi="仿宋_GB2312" w:eastAsia="仿宋_GB2312" w:cs="仿宋_GB2312"/>
          <w:sz w:val="32"/>
          <w:szCs w:val="32"/>
        </w:rPr>
        <w:drawing>
          <wp:inline distT="0" distB="0" distL="114300" distR="114300">
            <wp:extent cx="5414010" cy="3274695"/>
            <wp:effectExtent l="4445" t="4445" r="10795" b="1651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2"/>
        <w:rPr>
          <w:rFonts w:hint="eastAsia" w:ascii="仿宋" w:hAnsi="仿宋" w:eastAsia="仿宋"/>
          <w:sz w:val="32"/>
          <w:szCs w:val="32"/>
        </w:rPr>
      </w:pPr>
    </w:p>
    <w:p>
      <w:pPr>
        <w:spacing w:line="600" w:lineRule="exact"/>
        <w:ind w:firstLine="64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b/>
          <w:bCs/>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万元，完成预算</w:t>
      </w:r>
      <w:r>
        <w:rPr>
          <w:rFonts w:hint="eastAsia" w:ascii="仿宋_GB2312" w:eastAsia="仿宋_GB2312"/>
          <w:sz w:val="32"/>
          <w:szCs w:val="32"/>
          <w:lang w:val="en-US" w:eastAsia="zh-CN"/>
        </w:rPr>
        <w:t>0</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lang w:eastAsia="zh-CN"/>
        </w:rPr>
        <w:t>。</w:t>
      </w:r>
    </w:p>
    <w:p>
      <w:pPr>
        <w:pStyle w:val="22"/>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b/>
          <w:bCs/>
          <w:sz w:val="32"/>
          <w:szCs w:val="32"/>
        </w:rPr>
        <w:t>公务用车购置及运行维护费支出</w:t>
      </w:r>
      <w:r>
        <w:rPr>
          <w:rFonts w:hint="eastAsia" w:ascii="仿宋_GB2312" w:eastAsia="仿宋_GB2312"/>
          <w:sz w:val="32"/>
          <w:szCs w:val="32"/>
          <w:lang w:val="en-US" w:eastAsia="zh-CN"/>
        </w:rPr>
        <w:t>2.27</w:t>
      </w:r>
      <w:r>
        <w:rPr>
          <w:rFonts w:hint="eastAsia" w:ascii="仿宋_GB2312" w:eastAsia="仿宋_GB2312"/>
          <w:sz w:val="32"/>
          <w:szCs w:val="32"/>
        </w:rPr>
        <w:t>万元,完成预算</w:t>
      </w:r>
      <w:r>
        <w:rPr>
          <w:rFonts w:hint="eastAsia" w:ascii="仿宋_GB2312" w:eastAsia="仿宋_GB2312"/>
          <w:sz w:val="32"/>
          <w:szCs w:val="32"/>
          <w:lang w:val="en-US" w:eastAsia="zh-CN"/>
        </w:rPr>
        <w:t>100</w:t>
      </w:r>
      <w:r>
        <w:rPr>
          <w:rFonts w:hint="eastAsia" w:ascii="仿宋_GB2312" w:eastAsia="仿宋_GB2312"/>
          <w:sz w:val="32"/>
          <w:szCs w:val="32"/>
        </w:rPr>
        <w:t>%。公务用车购置及运行维护费支出决算比2021年增加</w:t>
      </w:r>
      <w:r>
        <w:rPr>
          <w:rFonts w:hint="eastAsia" w:ascii="仿宋_GB2312" w:eastAsia="仿宋_GB2312"/>
          <w:sz w:val="32"/>
          <w:szCs w:val="32"/>
          <w:lang w:val="en-US" w:eastAsia="zh-CN"/>
        </w:rPr>
        <w:t>1.08</w:t>
      </w:r>
      <w:r>
        <w:rPr>
          <w:rFonts w:hint="eastAsia" w:ascii="仿宋_GB2312" w:eastAsia="仿宋_GB2312"/>
          <w:sz w:val="32"/>
          <w:szCs w:val="32"/>
        </w:rPr>
        <w:t>万元，增长</w:t>
      </w:r>
      <w:r>
        <w:rPr>
          <w:rFonts w:hint="eastAsia" w:ascii="仿宋_GB2312" w:eastAsia="仿宋_GB2312"/>
          <w:sz w:val="32"/>
          <w:szCs w:val="32"/>
          <w:lang w:val="en-US" w:eastAsia="zh-CN"/>
        </w:rPr>
        <w:t>47.6</w:t>
      </w:r>
      <w:r>
        <w:rPr>
          <w:rFonts w:hint="eastAsia" w:ascii="仿宋_GB2312" w:eastAsia="仿宋_GB2312"/>
          <w:sz w:val="32"/>
          <w:szCs w:val="32"/>
        </w:rPr>
        <w:t>%。主要原因是</w:t>
      </w:r>
      <w:r>
        <w:rPr>
          <w:rFonts w:hint="eastAsia" w:ascii="仿宋_GB2312" w:eastAsia="仿宋_GB2312"/>
          <w:sz w:val="32"/>
          <w:szCs w:val="32"/>
          <w:lang w:val="en-US" w:eastAsia="zh-CN"/>
        </w:rPr>
        <w:t>疫情缓解，日常巡查工作正常开展，公务用车使用频率增加</w:t>
      </w:r>
      <w:r>
        <w:rPr>
          <w:rFonts w:hint="eastAsia" w:ascii="仿宋_GB2312" w:eastAsia="仿宋_GB2312"/>
          <w:sz w:val="32"/>
          <w:szCs w:val="32"/>
        </w:rPr>
        <w:t>。</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其中：</w:t>
      </w:r>
      <w:r>
        <w:rPr>
          <w:rFonts w:hint="eastAsia" w:ascii="仿宋_GB2312" w:eastAsia="仿宋_GB2312"/>
          <w:b/>
          <w:bCs/>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val="en-US" w:eastAsia="zh-CN"/>
        </w:rPr>
        <w:t>0</w:t>
      </w: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3</w:t>
      </w:r>
      <w:r>
        <w:rPr>
          <w:rFonts w:hint="eastAsia" w:ascii="仿宋_GB2312" w:eastAsia="仿宋_GB2312"/>
          <w:sz w:val="32"/>
          <w:szCs w:val="32"/>
        </w:rPr>
        <w:t>辆，其中：</w:t>
      </w:r>
      <w:r>
        <w:rPr>
          <w:rFonts w:hint="eastAsia" w:ascii="仿宋_GB2312" w:eastAsia="仿宋_GB2312"/>
          <w:sz w:val="32"/>
          <w:szCs w:val="32"/>
          <w:lang w:eastAsia="zh-CN"/>
        </w:rPr>
        <w:t>特种车</w:t>
      </w:r>
      <w:r>
        <w:rPr>
          <w:rFonts w:hint="eastAsia" w:ascii="仿宋_GB2312" w:eastAsia="仿宋_GB2312"/>
          <w:sz w:val="32"/>
          <w:szCs w:val="32"/>
          <w:lang w:val="en-US" w:eastAsia="zh-CN"/>
        </w:rPr>
        <w:t>3辆</w:t>
      </w:r>
      <w:r>
        <w:rPr>
          <w:rFonts w:hint="eastAsia" w:ascii="仿宋_GB2312" w:eastAsia="仿宋_GB2312"/>
          <w:sz w:val="32"/>
          <w:szCs w:val="32"/>
        </w:rPr>
        <w:t>。</w:t>
      </w:r>
    </w:p>
    <w:p>
      <w:pPr>
        <w:pStyle w:val="22"/>
        <w:ind w:firstLine="643" w:firstLineChars="200"/>
        <w:rPr>
          <w:rFonts w:hint="eastAsia" w:ascii="仿宋_GB2312" w:eastAsia="仿宋_GB2312"/>
          <w:sz w:val="32"/>
          <w:szCs w:val="32"/>
        </w:rPr>
      </w:pPr>
      <w:r>
        <w:rPr>
          <w:rFonts w:hint="eastAsia" w:ascii="仿宋_GB2312" w:eastAsia="仿宋_GB2312"/>
          <w:b/>
          <w:bCs/>
          <w:sz w:val="32"/>
          <w:szCs w:val="32"/>
        </w:rPr>
        <w:t>公务用车运行维护费支出</w:t>
      </w:r>
      <w:r>
        <w:rPr>
          <w:rFonts w:hint="eastAsia" w:ascii="仿宋_GB2312" w:eastAsia="仿宋_GB2312"/>
          <w:sz w:val="32"/>
          <w:szCs w:val="32"/>
          <w:lang w:val="en-US" w:eastAsia="zh-CN"/>
        </w:rPr>
        <w:t>2.27</w:t>
      </w:r>
      <w:r>
        <w:rPr>
          <w:rFonts w:hint="eastAsia" w:ascii="仿宋_GB2312" w:eastAsia="仿宋_GB2312"/>
          <w:sz w:val="32"/>
          <w:szCs w:val="32"/>
        </w:rPr>
        <w:t>万元。主要用于</w:t>
      </w:r>
      <w:r>
        <w:rPr>
          <w:rFonts w:hint="eastAsia" w:ascii="仿宋_GB2312" w:eastAsia="仿宋_GB2312"/>
          <w:sz w:val="32"/>
          <w:szCs w:val="32"/>
          <w:lang w:val="en-US" w:eastAsia="zh-CN"/>
        </w:rPr>
        <w:t>日常公路巡查</w:t>
      </w:r>
      <w:r>
        <w:rPr>
          <w:rFonts w:hint="eastAsia" w:ascii="仿宋_GB2312" w:eastAsia="仿宋_GB2312"/>
          <w:sz w:val="32"/>
          <w:szCs w:val="32"/>
        </w:rPr>
        <w:t>所需的公务用车燃料费、维修费、过路过桥费、保险费等支出。</w:t>
      </w:r>
    </w:p>
    <w:p>
      <w:pPr>
        <w:pStyle w:val="22"/>
        <w:ind w:firstLine="640" w:firstLineChars="200"/>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b/>
          <w:bCs/>
          <w:sz w:val="32"/>
          <w:szCs w:val="32"/>
        </w:rPr>
        <w:t>公务接待费支出</w:t>
      </w:r>
      <w:r>
        <w:rPr>
          <w:rFonts w:hint="eastAsia" w:ascii="仿宋_GB2312" w:eastAsia="仿宋_GB2312"/>
          <w:sz w:val="32"/>
          <w:szCs w:val="32"/>
          <w:lang w:val="en-US" w:eastAsia="zh-CN"/>
        </w:rPr>
        <w:t>0</w:t>
      </w:r>
      <w:bookmarkStart w:id="109" w:name="_GoBack"/>
      <w:bookmarkEnd w:id="109"/>
      <w:r>
        <w:rPr>
          <w:rFonts w:hint="eastAsia" w:ascii="仿宋_GB2312" w:eastAsia="仿宋_GB2312"/>
          <w:sz w:val="32"/>
          <w:szCs w:val="32"/>
          <w:lang w:val="en-US" w:eastAsia="zh-CN"/>
        </w:rPr>
        <w:t>.14</w:t>
      </w:r>
      <w:r>
        <w:rPr>
          <w:rFonts w:hint="eastAsia" w:ascii="仿宋_GB2312" w:eastAsia="仿宋_GB2312"/>
          <w:sz w:val="32"/>
          <w:szCs w:val="32"/>
        </w:rPr>
        <w:t>万元，完成预算</w:t>
      </w:r>
      <w:r>
        <w:rPr>
          <w:rFonts w:hint="eastAsia" w:ascii="仿宋_GB2312" w:eastAsia="仿宋_GB2312"/>
          <w:sz w:val="32"/>
          <w:szCs w:val="32"/>
          <w:lang w:val="en-US" w:eastAsia="zh-CN"/>
        </w:rPr>
        <w:t>100</w:t>
      </w:r>
      <w:r>
        <w:rPr>
          <w:rFonts w:hint="eastAsia" w:ascii="仿宋_GB2312" w:eastAsia="仿宋_GB2312"/>
          <w:sz w:val="32"/>
          <w:szCs w:val="32"/>
        </w:rPr>
        <w:t>%。公务接待费支出决算比2021年减少</w:t>
      </w:r>
      <w:r>
        <w:rPr>
          <w:rFonts w:hint="eastAsia" w:ascii="仿宋_GB2312" w:eastAsia="仿宋_GB2312"/>
          <w:sz w:val="32"/>
          <w:szCs w:val="32"/>
          <w:lang w:val="en-US" w:eastAsia="zh-CN"/>
        </w:rPr>
        <w:t>0.19</w:t>
      </w:r>
      <w:r>
        <w:rPr>
          <w:rFonts w:hint="eastAsia" w:ascii="仿宋_GB2312" w:eastAsia="仿宋_GB2312"/>
          <w:sz w:val="32"/>
          <w:szCs w:val="32"/>
        </w:rPr>
        <w:t>万元，下降</w:t>
      </w:r>
      <w:r>
        <w:rPr>
          <w:rFonts w:hint="eastAsia" w:ascii="仿宋_GB2312" w:eastAsia="仿宋_GB2312"/>
          <w:sz w:val="32"/>
          <w:szCs w:val="32"/>
          <w:lang w:val="en-US" w:eastAsia="zh-CN"/>
        </w:rPr>
        <w:t>57.6</w:t>
      </w:r>
      <w:r>
        <w:rPr>
          <w:rFonts w:hint="eastAsia" w:ascii="仿宋_GB2312" w:eastAsia="仿宋_GB2312"/>
          <w:sz w:val="32"/>
          <w:szCs w:val="32"/>
        </w:rPr>
        <w:t>%。主要原因是</w:t>
      </w:r>
      <w:r>
        <w:rPr>
          <w:rFonts w:hint="eastAsia" w:ascii="仿宋_GB2312" w:eastAsia="仿宋_GB2312"/>
          <w:sz w:val="32"/>
          <w:szCs w:val="32"/>
          <w:lang w:val="en-US" w:eastAsia="zh-CN"/>
        </w:rPr>
        <w:t>厉行节约以及疫情呈常态化，公务接待减少</w:t>
      </w:r>
      <w:r>
        <w:rPr>
          <w:rFonts w:hint="eastAsia" w:ascii="仿宋_GB2312" w:eastAsia="仿宋_GB2312"/>
          <w:sz w:val="32"/>
          <w:szCs w:val="32"/>
        </w:rPr>
        <w:t>。其中：</w:t>
      </w:r>
    </w:p>
    <w:p>
      <w:pPr>
        <w:pStyle w:val="22"/>
        <w:ind w:firstLine="643" w:firstLineChars="200"/>
        <w:rPr>
          <w:rFonts w:hint="eastAsia" w:ascii="仿宋_GB2312" w:eastAsia="仿宋_GB2312"/>
          <w:sz w:val="32"/>
          <w:szCs w:val="32"/>
        </w:rPr>
      </w:pPr>
      <w:r>
        <w:rPr>
          <w:rFonts w:hint="eastAsia" w:ascii="仿宋_GB2312" w:eastAsia="仿宋_GB2312"/>
          <w:b/>
          <w:bCs/>
          <w:sz w:val="32"/>
          <w:szCs w:val="32"/>
        </w:rPr>
        <w:t>国内公务接待支出</w:t>
      </w:r>
      <w:r>
        <w:rPr>
          <w:rFonts w:hint="eastAsia" w:ascii="仿宋_GB2312" w:eastAsia="仿宋_GB2312"/>
          <w:sz w:val="32"/>
          <w:szCs w:val="32"/>
          <w:lang w:val="en-US" w:eastAsia="zh-CN"/>
        </w:rPr>
        <w:t>0.14</w:t>
      </w:r>
      <w:r>
        <w:rPr>
          <w:rFonts w:hint="eastAsia" w:ascii="仿宋_GB2312" w:eastAsia="仿宋_GB2312"/>
          <w:sz w:val="32"/>
          <w:szCs w:val="32"/>
        </w:rPr>
        <w:t>万元，主要用于</w:t>
      </w:r>
      <w:r>
        <w:rPr>
          <w:rFonts w:hint="eastAsia" w:ascii="仿宋_GB2312" w:eastAsia="仿宋_GB2312"/>
          <w:sz w:val="32"/>
          <w:szCs w:val="32"/>
          <w:lang w:val="en-US" w:eastAsia="zh-CN"/>
        </w:rPr>
        <w:t>接待省厅造价站来攀枝花开展交通造价管理工作调研</w:t>
      </w:r>
      <w:r>
        <w:rPr>
          <w:rFonts w:hint="eastAsia" w:ascii="仿宋_GB2312" w:eastAsia="仿宋_GB2312"/>
          <w:sz w:val="32"/>
          <w:szCs w:val="32"/>
        </w:rPr>
        <w:t>用餐费。国内公务接待</w:t>
      </w:r>
      <w:r>
        <w:rPr>
          <w:rFonts w:hint="eastAsia" w:ascii="仿宋_GB2312" w:eastAsia="仿宋_GB2312"/>
          <w:sz w:val="32"/>
          <w:szCs w:val="32"/>
          <w:lang w:val="en-US" w:eastAsia="zh-CN"/>
        </w:rPr>
        <w:t>1</w:t>
      </w:r>
      <w:r>
        <w:rPr>
          <w:rFonts w:hint="eastAsia" w:ascii="仿宋_GB2312" w:eastAsia="仿宋_GB2312"/>
          <w:sz w:val="32"/>
          <w:szCs w:val="32"/>
        </w:rPr>
        <w:t>批次，</w:t>
      </w:r>
      <w:r>
        <w:rPr>
          <w:rFonts w:hint="eastAsia" w:ascii="仿宋_GB2312" w:eastAsia="仿宋_GB2312"/>
          <w:sz w:val="32"/>
          <w:szCs w:val="32"/>
          <w:lang w:val="en-US" w:eastAsia="zh-CN"/>
        </w:rPr>
        <w:t>5</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0.14</w:t>
      </w:r>
      <w:r>
        <w:rPr>
          <w:rFonts w:hint="eastAsia" w:ascii="仿宋_GB2312" w:eastAsia="仿宋_GB2312"/>
          <w:sz w:val="32"/>
          <w:szCs w:val="32"/>
        </w:rPr>
        <w:t>万元，具体内容包括：</w:t>
      </w:r>
      <w:r>
        <w:rPr>
          <w:rFonts w:hint="eastAsia" w:ascii="仿宋_GB2312" w:eastAsia="仿宋_GB2312"/>
          <w:sz w:val="32"/>
          <w:szCs w:val="32"/>
          <w:lang w:val="en-US" w:eastAsia="zh-CN"/>
        </w:rPr>
        <w:t>接待省厅造价站来攀枝花开展交通造价管理工作调研</w:t>
      </w:r>
      <w:r>
        <w:rPr>
          <w:rFonts w:hint="eastAsia" w:ascii="仿宋_GB2312" w:eastAsia="仿宋_GB2312"/>
          <w:sz w:val="32"/>
          <w:szCs w:val="32"/>
        </w:rPr>
        <w:t>用餐费</w:t>
      </w:r>
      <w:r>
        <w:rPr>
          <w:rFonts w:hint="eastAsia" w:ascii="仿宋_GB2312" w:eastAsia="仿宋_GB2312"/>
          <w:sz w:val="32"/>
          <w:szCs w:val="32"/>
          <w:lang w:eastAsia="zh-CN"/>
        </w:rPr>
        <w:t>，</w:t>
      </w:r>
      <w:r>
        <w:rPr>
          <w:rFonts w:hint="eastAsia" w:ascii="仿宋_GB2312" w:eastAsia="仿宋_GB2312"/>
          <w:sz w:val="32"/>
          <w:szCs w:val="32"/>
          <w:lang w:val="en-US" w:eastAsia="zh-CN"/>
        </w:rPr>
        <w:t>接待金额共计0.14万元</w:t>
      </w:r>
      <w:r>
        <w:rPr>
          <w:rFonts w:hint="eastAsia" w:ascii="仿宋_GB2312" w:eastAsia="仿宋_GB2312"/>
          <w:sz w:val="32"/>
          <w:szCs w:val="32"/>
        </w:rPr>
        <w:t>。</w:t>
      </w:r>
    </w:p>
    <w:p>
      <w:pPr>
        <w:pStyle w:val="22"/>
        <w:ind w:firstLine="643" w:firstLineChars="200"/>
        <w:rPr>
          <w:rFonts w:ascii="仿宋_GB2312" w:eastAsia="仿宋_GB2312"/>
          <w:sz w:val="32"/>
          <w:szCs w:val="32"/>
        </w:rPr>
      </w:pPr>
      <w:r>
        <w:rPr>
          <w:rFonts w:hint="eastAsia" w:ascii="仿宋_GB2312" w:eastAsia="仿宋_GB2312"/>
          <w:b/>
          <w:bCs/>
          <w:sz w:val="32"/>
          <w:szCs w:val="32"/>
        </w:rPr>
        <w:t>外事接待支出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outlineLvl w:val="9"/>
        <w:rPr>
          <w:rFonts w:ascii="黑体" w:eastAsia="黑体"/>
          <w:sz w:val="32"/>
          <w:szCs w:val="32"/>
        </w:rPr>
      </w:pPr>
      <w:bookmarkStart w:id="59" w:name="_Toc15396610"/>
      <w:bookmarkStart w:id="60" w:name="_Toc15377218"/>
    </w:p>
    <w:p>
      <w:pPr>
        <w:spacing w:line="600" w:lineRule="exact"/>
        <w:ind w:firstLine="640"/>
        <w:outlineLvl w:val="1"/>
        <w:rPr>
          <w:rStyle w:val="25"/>
          <w:rFonts w:ascii="黑体" w:hAnsi="黑体" w:eastAsia="黑体"/>
        </w:rPr>
      </w:pPr>
      <w:bookmarkStart w:id="61" w:name="_Toc15729"/>
      <w:r>
        <w:rPr>
          <w:rFonts w:hint="eastAsia" w:ascii="黑体" w:eastAsia="黑体"/>
          <w:sz w:val="32"/>
          <w:szCs w:val="32"/>
        </w:rPr>
        <w:t>八、</w:t>
      </w:r>
      <w:r>
        <w:rPr>
          <w:rStyle w:val="25"/>
          <w:rFonts w:hint="eastAsia" w:ascii="黑体" w:hAnsi="黑体" w:eastAsia="黑体"/>
          <w:b w:val="0"/>
        </w:rPr>
        <w:t>政府性基金预算支出决算情况说明</w:t>
      </w:r>
      <w:bookmarkEnd w:id="59"/>
      <w:bookmarkEnd w:id="60"/>
      <w:bookmarkEnd w:id="61"/>
    </w:p>
    <w:p>
      <w:pPr>
        <w:pStyle w:val="22"/>
        <w:ind w:firstLine="640" w:firstLineChars="200"/>
        <w:rPr>
          <w:rFonts w:hint="eastAsia" w:ascii="仿宋_GB2312" w:eastAsia="仿宋_GB2312"/>
          <w:sz w:val="32"/>
          <w:szCs w:val="32"/>
        </w:rPr>
      </w:pPr>
      <w:r>
        <w:rPr>
          <w:rFonts w:hint="eastAsia" w:ascii="仿宋_GB2312" w:eastAsia="仿宋_GB2312"/>
          <w:sz w:val="32"/>
          <w:szCs w:val="32"/>
        </w:rPr>
        <w:t>2022年政府性基金预算财政拨款支出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p>
    <w:p>
      <w:pPr>
        <w:numPr>
          <w:ilvl w:val="0"/>
          <w:numId w:val="3"/>
        </w:numPr>
        <w:spacing w:line="600" w:lineRule="exact"/>
        <w:ind w:firstLine="640"/>
        <w:outlineLvl w:val="1"/>
        <w:rPr>
          <w:rStyle w:val="25"/>
          <w:rFonts w:ascii="黑体" w:hAnsi="黑体" w:eastAsia="黑体"/>
          <w:b w:val="0"/>
        </w:rPr>
      </w:pPr>
      <w:bookmarkStart w:id="62" w:name="_Toc28558"/>
      <w:bookmarkStart w:id="63" w:name="_Toc15377219"/>
      <w:bookmarkStart w:id="64" w:name="_Toc15396611"/>
      <w:r>
        <w:rPr>
          <w:rStyle w:val="25"/>
          <w:rFonts w:hint="eastAsia" w:ascii="黑体" w:hAnsi="黑体" w:eastAsia="黑体"/>
          <w:b w:val="0"/>
        </w:rPr>
        <w:t>国有资本经营预算支出决算情况说明</w:t>
      </w:r>
      <w:bookmarkEnd w:id="62"/>
      <w:bookmarkEnd w:id="63"/>
      <w:bookmarkEnd w:id="64"/>
    </w:p>
    <w:p>
      <w:pPr>
        <w:pStyle w:val="22"/>
        <w:ind w:firstLine="640" w:firstLineChars="200"/>
        <w:rPr>
          <w:rFonts w:hint="eastAsia" w:ascii="仿宋_GB2312" w:eastAsia="仿宋_GB2312"/>
          <w:sz w:val="32"/>
          <w:szCs w:val="32"/>
        </w:rPr>
      </w:pPr>
      <w:r>
        <w:rPr>
          <w:rFonts w:hint="eastAsia" w:ascii="仿宋_GB2312" w:eastAsia="仿宋_GB2312"/>
          <w:sz w:val="32"/>
          <w:szCs w:val="32"/>
        </w:rPr>
        <w:t>2022年国有资本经营预算财政拨款支出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80" w:lineRule="exact"/>
        <w:jc w:val="center"/>
        <w:rPr>
          <w:rFonts w:ascii="方正小标宋简体" w:hAnsi="方正小标宋简体" w:eastAsia="方正小标宋简体" w:cs="方正小标宋简体"/>
          <w:sz w:val="44"/>
          <w:szCs w:val="44"/>
        </w:rPr>
      </w:pPr>
    </w:p>
    <w:p>
      <w:pPr>
        <w:numPr>
          <w:ilvl w:val="0"/>
          <w:numId w:val="3"/>
        </w:numPr>
        <w:spacing w:line="600" w:lineRule="exact"/>
        <w:ind w:firstLine="640"/>
        <w:outlineLvl w:val="1"/>
        <w:rPr>
          <w:rStyle w:val="25"/>
          <w:rFonts w:ascii="黑体" w:hAnsi="黑体" w:eastAsia="黑体"/>
          <w:b w:val="0"/>
        </w:rPr>
      </w:pPr>
      <w:bookmarkStart w:id="65" w:name="_Toc15396612"/>
      <w:bookmarkStart w:id="66" w:name="_Toc15377221"/>
      <w:bookmarkStart w:id="67" w:name="_Toc12604"/>
      <w:r>
        <w:rPr>
          <w:rStyle w:val="25"/>
          <w:rFonts w:hint="eastAsia" w:ascii="黑体" w:hAnsi="黑体" w:eastAsia="黑体"/>
          <w:b w:val="0"/>
        </w:rPr>
        <w:t>其他重要事项的情况说明</w:t>
      </w:r>
      <w:bookmarkEnd w:id="65"/>
      <w:bookmarkEnd w:id="66"/>
      <w:bookmarkEnd w:id="67"/>
    </w:p>
    <w:p>
      <w:pPr>
        <w:spacing w:line="600" w:lineRule="exact"/>
        <w:ind w:firstLine="640" w:firstLineChars="200"/>
        <w:outlineLvl w:val="2"/>
        <w:rPr>
          <w:rFonts w:ascii="仿宋" w:hAnsi="仿宋" w:eastAsia="仿宋"/>
          <w:sz w:val="32"/>
          <w:szCs w:val="32"/>
        </w:rPr>
      </w:pPr>
      <w:bookmarkStart w:id="68" w:name="_Toc27733"/>
      <w:bookmarkStart w:id="69" w:name="_Toc15377222"/>
      <w:r>
        <w:rPr>
          <w:rFonts w:hint="eastAsia" w:ascii="仿宋" w:hAnsi="仿宋" w:eastAsia="仿宋"/>
          <w:b/>
          <w:sz w:val="32"/>
          <w:szCs w:val="32"/>
        </w:rPr>
        <w:t>（一）机关运行经费支出情况</w:t>
      </w:r>
      <w:bookmarkEnd w:id="68"/>
      <w:bookmarkEnd w:id="69"/>
    </w:p>
    <w:p>
      <w:pPr>
        <w:pStyle w:val="22"/>
        <w:ind w:firstLine="640" w:firstLineChars="200"/>
        <w:rPr>
          <w:rFonts w:hint="eastAsia" w:ascii="仿宋_GB2312" w:eastAsia="仿宋_GB2312"/>
          <w:sz w:val="32"/>
          <w:szCs w:val="32"/>
        </w:rPr>
      </w:pPr>
      <w:r>
        <w:rPr>
          <w:rFonts w:hint="eastAsia" w:ascii="仿宋_GB2312" w:eastAsia="仿宋_GB2312"/>
          <w:sz w:val="32"/>
          <w:szCs w:val="32"/>
        </w:rPr>
        <w:t>2022年，</w:t>
      </w:r>
      <w:r>
        <w:rPr>
          <w:rFonts w:hint="eastAsia" w:ascii="仿宋_GB2312" w:eastAsia="仿宋_GB2312"/>
          <w:sz w:val="32"/>
          <w:szCs w:val="32"/>
          <w:lang w:val="en-US" w:eastAsia="zh-CN"/>
        </w:rPr>
        <w:t>攀枝花市公路事业发展中心</w:t>
      </w:r>
      <w:r>
        <w:rPr>
          <w:rFonts w:hint="eastAsia" w:ascii="仿宋_GB2312" w:eastAsia="仿宋_GB2312"/>
          <w:sz w:val="32"/>
          <w:szCs w:val="32"/>
        </w:rPr>
        <w:t>机关运行经费支出</w:t>
      </w:r>
      <w:r>
        <w:rPr>
          <w:rFonts w:hint="eastAsia" w:ascii="仿宋_GB2312" w:eastAsia="仿宋_GB2312"/>
          <w:sz w:val="32"/>
          <w:szCs w:val="32"/>
          <w:lang w:val="en-US" w:eastAsia="zh-CN"/>
        </w:rPr>
        <w:t>46.48</w:t>
      </w:r>
      <w:r>
        <w:rPr>
          <w:rFonts w:hint="eastAsia" w:ascii="仿宋_GB2312" w:eastAsia="仿宋_GB2312"/>
          <w:sz w:val="32"/>
          <w:szCs w:val="32"/>
        </w:rPr>
        <w:t>万元，比2021年减少</w:t>
      </w:r>
      <w:r>
        <w:rPr>
          <w:rFonts w:hint="eastAsia" w:ascii="仿宋_GB2312" w:eastAsia="仿宋_GB2312"/>
          <w:sz w:val="32"/>
          <w:szCs w:val="32"/>
          <w:lang w:val="en-US" w:eastAsia="zh-CN"/>
        </w:rPr>
        <w:t>34.39</w:t>
      </w:r>
      <w:r>
        <w:rPr>
          <w:rFonts w:hint="eastAsia" w:ascii="仿宋_GB2312" w:eastAsia="仿宋_GB2312"/>
          <w:sz w:val="32"/>
          <w:szCs w:val="32"/>
        </w:rPr>
        <w:t>万元，下降</w:t>
      </w:r>
      <w:r>
        <w:rPr>
          <w:rFonts w:hint="eastAsia" w:ascii="仿宋_GB2312" w:eastAsia="仿宋_GB2312"/>
          <w:sz w:val="32"/>
          <w:szCs w:val="32"/>
          <w:lang w:val="en-US" w:eastAsia="zh-CN"/>
        </w:rPr>
        <w:t>42.52</w:t>
      </w:r>
      <w:r>
        <w:rPr>
          <w:rFonts w:hint="eastAsia" w:ascii="仿宋_GB2312" w:eastAsia="仿宋_GB2312"/>
          <w:sz w:val="32"/>
          <w:szCs w:val="32"/>
        </w:rPr>
        <w:t>%。主要原因是</w:t>
      </w:r>
      <w:r>
        <w:rPr>
          <w:rFonts w:hint="eastAsia" w:ascii="仿宋_GB2312" w:eastAsia="仿宋_GB2312"/>
          <w:sz w:val="32"/>
          <w:szCs w:val="32"/>
          <w:lang w:val="en-US" w:eastAsia="zh-CN"/>
        </w:rPr>
        <w:t>2022年</w:t>
      </w:r>
      <w:r>
        <w:rPr>
          <w:rFonts w:hint="eastAsia" w:ascii="仿宋_GB2312" w:eastAsia="仿宋_GB2312"/>
          <w:sz w:val="32"/>
          <w:szCs w:val="32"/>
        </w:rPr>
        <w:t>厉行节约，</w:t>
      </w:r>
      <w:r>
        <w:rPr>
          <w:rFonts w:hint="eastAsia" w:ascii="仿宋_GB2312" w:eastAsia="仿宋_GB2312"/>
          <w:sz w:val="32"/>
          <w:szCs w:val="32"/>
          <w:lang w:val="en-US" w:eastAsia="zh-CN"/>
        </w:rPr>
        <w:t>压缩开支。</w:t>
      </w:r>
    </w:p>
    <w:p>
      <w:pPr>
        <w:autoSpaceDE w:val="0"/>
        <w:autoSpaceDN w:val="0"/>
        <w:adjustRightInd w:val="0"/>
        <w:spacing w:line="600" w:lineRule="exact"/>
        <w:ind w:firstLine="640" w:firstLineChars="200"/>
        <w:jc w:val="left"/>
        <w:outlineLvl w:val="2"/>
        <w:rPr>
          <w:rFonts w:ascii="仿宋" w:hAnsi="仿宋" w:eastAsia="仿宋"/>
          <w:b/>
          <w:sz w:val="32"/>
          <w:szCs w:val="32"/>
        </w:rPr>
      </w:pPr>
      <w:bookmarkStart w:id="70" w:name="_Toc15377223"/>
      <w:bookmarkStart w:id="71" w:name="_Toc25105"/>
      <w:r>
        <w:rPr>
          <w:rFonts w:hint="eastAsia" w:ascii="仿宋" w:hAnsi="仿宋" w:eastAsia="仿宋"/>
          <w:b/>
          <w:sz w:val="32"/>
          <w:szCs w:val="32"/>
        </w:rPr>
        <w:t>（二）政府采购支出情况</w:t>
      </w:r>
      <w:bookmarkEnd w:id="70"/>
      <w:bookmarkEnd w:id="71"/>
    </w:p>
    <w:p>
      <w:pPr>
        <w:pStyle w:val="22"/>
        <w:ind w:firstLine="640" w:firstLineChars="200"/>
        <w:rPr>
          <w:rFonts w:hint="eastAsia" w:ascii="仿宋_GB2312" w:eastAsia="仿宋_GB2312"/>
          <w:sz w:val="32"/>
          <w:szCs w:val="32"/>
        </w:rPr>
      </w:pPr>
      <w:r>
        <w:rPr>
          <w:rFonts w:hint="eastAsia" w:ascii="仿宋_GB2312" w:eastAsia="仿宋_GB2312"/>
          <w:sz w:val="32"/>
          <w:szCs w:val="32"/>
        </w:rPr>
        <w:t>2022年，</w:t>
      </w:r>
      <w:r>
        <w:rPr>
          <w:rFonts w:hint="eastAsia" w:ascii="仿宋_GB2312" w:eastAsia="仿宋_GB2312"/>
          <w:sz w:val="32"/>
          <w:szCs w:val="32"/>
          <w:lang w:val="en-US" w:eastAsia="zh-CN"/>
        </w:rPr>
        <w:t>攀枝花市公路事业发展中心</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w:t>
      </w:r>
    </w:p>
    <w:p>
      <w:pPr>
        <w:autoSpaceDE w:val="0"/>
        <w:autoSpaceDN w:val="0"/>
        <w:adjustRightInd w:val="0"/>
        <w:spacing w:line="600" w:lineRule="exact"/>
        <w:ind w:firstLine="640" w:firstLineChars="200"/>
        <w:jc w:val="left"/>
        <w:outlineLvl w:val="2"/>
        <w:rPr>
          <w:rFonts w:ascii="仿宋" w:hAnsi="仿宋" w:eastAsia="仿宋"/>
          <w:b/>
          <w:sz w:val="32"/>
          <w:szCs w:val="32"/>
        </w:rPr>
      </w:pPr>
      <w:bookmarkStart w:id="72" w:name="_Toc21880"/>
      <w:bookmarkStart w:id="73" w:name="_Toc15377224"/>
      <w:r>
        <w:rPr>
          <w:rFonts w:hint="eastAsia" w:ascii="仿宋" w:hAnsi="仿宋" w:eastAsia="仿宋"/>
          <w:b/>
          <w:sz w:val="32"/>
          <w:szCs w:val="32"/>
        </w:rPr>
        <w:t>（三）国有资产占有使用情况</w:t>
      </w:r>
      <w:bookmarkEnd w:id="72"/>
      <w:bookmarkEnd w:id="73"/>
    </w:p>
    <w:p>
      <w:pPr>
        <w:pStyle w:val="22"/>
        <w:ind w:firstLine="640" w:firstLineChars="200"/>
        <w:rPr>
          <w:rFonts w:hint="eastAsia" w:ascii="仿宋_GB2312" w:eastAsia="仿宋_GB2312"/>
          <w:sz w:val="32"/>
          <w:szCs w:val="32"/>
        </w:rPr>
      </w:pPr>
      <w:r>
        <w:rPr>
          <w:rFonts w:hint="eastAsia" w:ascii="仿宋_GB2312" w:eastAsia="仿宋_GB2312"/>
          <w:sz w:val="32"/>
          <w:szCs w:val="32"/>
        </w:rPr>
        <w:t>截至2022年12月31日，</w:t>
      </w:r>
      <w:r>
        <w:rPr>
          <w:rFonts w:hint="eastAsia" w:ascii="仿宋_GB2312" w:eastAsia="仿宋_GB2312"/>
          <w:sz w:val="32"/>
          <w:szCs w:val="32"/>
          <w:lang w:val="en-US" w:eastAsia="zh-CN"/>
        </w:rPr>
        <w:t>攀枝花市公路事业发展中心</w:t>
      </w:r>
      <w:r>
        <w:rPr>
          <w:rFonts w:hint="eastAsia" w:ascii="仿宋_GB2312" w:eastAsia="仿宋_GB2312"/>
          <w:sz w:val="32"/>
          <w:szCs w:val="32"/>
        </w:rPr>
        <w:t>共有车辆</w:t>
      </w:r>
      <w:r>
        <w:rPr>
          <w:rFonts w:hint="eastAsia" w:ascii="仿宋_GB2312" w:eastAsia="仿宋_GB2312"/>
          <w:sz w:val="32"/>
          <w:szCs w:val="32"/>
          <w:lang w:val="en-US" w:eastAsia="zh-CN"/>
        </w:rPr>
        <w:t>3</w:t>
      </w:r>
      <w:r>
        <w:rPr>
          <w:rFonts w:hint="eastAsia" w:ascii="仿宋_GB2312" w:eastAsia="仿宋_GB2312"/>
          <w:sz w:val="32"/>
          <w:szCs w:val="32"/>
        </w:rPr>
        <w:t>辆</w:t>
      </w:r>
      <w:r>
        <w:rPr>
          <w:rFonts w:hint="eastAsia" w:ascii="仿宋_GB2312" w:eastAsia="仿宋_GB2312"/>
          <w:sz w:val="32"/>
          <w:szCs w:val="32"/>
          <w:lang w:eastAsia="zh-CN"/>
        </w:rPr>
        <w:t>（</w:t>
      </w:r>
      <w:r>
        <w:rPr>
          <w:rFonts w:hint="eastAsia" w:ascii="仿宋_GB2312" w:eastAsia="仿宋_GB2312"/>
          <w:sz w:val="32"/>
          <w:szCs w:val="32"/>
        </w:rPr>
        <w:t>应急保障用车</w:t>
      </w:r>
      <w:r>
        <w:rPr>
          <w:rFonts w:hint="eastAsia" w:ascii="仿宋_GB2312" w:eastAsia="仿宋_GB2312"/>
          <w:sz w:val="32"/>
          <w:szCs w:val="32"/>
          <w:lang w:val="en-US" w:eastAsia="zh-CN"/>
        </w:rPr>
        <w:t>3</w:t>
      </w:r>
      <w:r>
        <w:rPr>
          <w:rFonts w:hint="eastAsia" w:ascii="仿宋_GB2312" w:eastAsia="仿宋_GB2312"/>
          <w:sz w:val="32"/>
          <w:szCs w:val="32"/>
        </w:rPr>
        <w:t>辆</w:t>
      </w:r>
      <w:r>
        <w:rPr>
          <w:rFonts w:hint="eastAsia" w:ascii="仿宋_GB2312" w:eastAsia="仿宋_GB2312"/>
          <w:sz w:val="32"/>
          <w:szCs w:val="32"/>
          <w:lang w:eastAsia="zh-CN"/>
        </w:rPr>
        <w:t>）</w:t>
      </w:r>
      <w:r>
        <w:rPr>
          <w:rFonts w:hint="eastAsia" w:ascii="仿宋_GB2312" w:eastAsia="仿宋_GB2312"/>
          <w:sz w:val="32"/>
          <w:szCs w:val="32"/>
        </w:rPr>
        <w:t>单价100万元以上专用设备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0" w:firstLineChars="200"/>
        <w:jc w:val="left"/>
        <w:outlineLvl w:val="2"/>
        <w:rPr>
          <w:rFonts w:ascii="仿宋" w:hAnsi="仿宋" w:eastAsia="仿宋"/>
          <w:b/>
          <w:sz w:val="32"/>
          <w:szCs w:val="32"/>
        </w:rPr>
      </w:pPr>
      <w:bookmarkStart w:id="74" w:name="_Toc24670"/>
      <w:r>
        <w:rPr>
          <w:rFonts w:hint="eastAsia" w:ascii="仿宋" w:hAnsi="仿宋" w:eastAsia="仿宋"/>
          <w:b/>
          <w:sz w:val="32"/>
          <w:szCs w:val="32"/>
        </w:rPr>
        <w:t>（四）预算绩效管理情况</w:t>
      </w:r>
      <w:bookmarkEnd w:id="74"/>
    </w:p>
    <w:p>
      <w:pPr>
        <w:pStyle w:val="22"/>
        <w:ind w:firstLine="640" w:firstLineChars="200"/>
        <w:rPr>
          <w:rFonts w:hint="eastAsia" w:ascii="仿宋_GB2312" w:eastAsia="仿宋_GB2312"/>
          <w:sz w:val="32"/>
          <w:szCs w:val="32"/>
        </w:rPr>
      </w:pPr>
      <w:r>
        <w:rPr>
          <w:rFonts w:hint="eastAsia" w:ascii="仿宋_GB2312" w:eastAsia="仿宋_GB2312"/>
          <w:sz w:val="32"/>
          <w:szCs w:val="32"/>
        </w:rPr>
        <w:t>根据预算绩效管理要求，本单位在2022年度预算编制阶段，组织对</w:t>
      </w:r>
      <w:r>
        <w:rPr>
          <w:rFonts w:hint="eastAsia" w:ascii="仿宋_GB2312" w:eastAsia="仿宋_GB2312"/>
          <w:sz w:val="32"/>
          <w:szCs w:val="32"/>
          <w:lang w:val="en-US" w:eastAsia="zh-CN"/>
        </w:rPr>
        <w:t>工伤保险、住房公积金</w:t>
      </w:r>
      <w:r>
        <w:rPr>
          <w:rFonts w:hint="eastAsia" w:ascii="仿宋_GB2312" w:eastAsia="仿宋_GB2312"/>
          <w:sz w:val="32"/>
          <w:szCs w:val="32"/>
        </w:rPr>
        <w:t>等</w:t>
      </w:r>
      <w:r>
        <w:rPr>
          <w:rFonts w:hint="eastAsia" w:ascii="仿宋_GB2312" w:eastAsia="仿宋_GB2312"/>
          <w:sz w:val="32"/>
          <w:szCs w:val="32"/>
          <w:lang w:val="en-US" w:eastAsia="zh-CN"/>
        </w:rPr>
        <w:t>23</w:t>
      </w:r>
      <w:r>
        <w:rPr>
          <w:rFonts w:hint="eastAsia" w:ascii="仿宋_GB2312" w:eastAsia="仿宋_GB2312"/>
          <w:sz w:val="32"/>
          <w:szCs w:val="32"/>
        </w:rPr>
        <w:t>个项目开展了预算事前绩效评估，对</w:t>
      </w:r>
      <w:r>
        <w:rPr>
          <w:rFonts w:hint="eastAsia" w:ascii="仿宋_GB2312" w:eastAsia="仿宋_GB2312"/>
          <w:sz w:val="32"/>
          <w:szCs w:val="32"/>
          <w:lang w:val="en-US" w:eastAsia="zh-CN"/>
        </w:rPr>
        <w:t>23</w:t>
      </w:r>
      <w:r>
        <w:rPr>
          <w:rFonts w:hint="eastAsia" w:ascii="仿宋_GB2312" w:eastAsia="仿宋_GB2312"/>
          <w:sz w:val="32"/>
          <w:szCs w:val="32"/>
        </w:rPr>
        <w:t>个项目编制了绩效目标，预算执行过程中，选取</w:t>
      </w:r>
      <w:r>
        <w:rPr>
          <w:rFonts w:hint="eastAsia" w:ascii="仿宋_GB2312" w:eastAsia="仿宋_GB2312"/>
          <w:sz w:val="32"/>
          <w:szCs w:val="32"/>
          <w:lang w:val="en-US" w:eastAsia="zh-CN"/>
        </w:rPr>
        <w:t>23</w:t>
      </w:r>
      <w:r>
        <w:rPr>
          <w:rFonts w:hint="eastAsia" w:ascii="仿宋_GB2312" w:eastAsia="仿宋_GB2312"/>
          <w:sz w:val="32"/>
          <w:szCs w:val="32"/>
        </w:rPr>
        <w:t>个项目开展绩效监控，组织对</w:t>
      </w:r>
      <w:r>
        <w:rPr>
          <w:rFonts w:hint="eastAsia" w:ascii="仿宋_GB2312" w:eastAsia="仿宋_GB2312"/>
          <w:sz w:val="32"/>
          <w:szCs w:val="32"/>
          <w:lang w:val="en-US" w:eastAsia="zh-CN"/>
        </w:rPr>
        <w:t>23</w:t>
      </w:r>
      <w:r>
        <w:rPr>
          <w:rFonts w:hint="eastAsia" w:ascii="仿宋_GB2312" w:eastAsia="仿宋_GB2312"/>
          <w:sz w:val="32"/>
          <w:szCs w:val="32"/>
        </w:rPr>
        <w:t>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4"/>
          <w:rFonts w:ascii="黑体" w:hAnsi="黑体" w:eastAsia="黑体"/>
          <w:b w:val="0"/>
        </w:rPr>
      </w:pPr>
      <w:bookmarkStart w:id="75" w:name="_Toc15377225"/>
      <w:bookmarkStart w:id="76" w:name="_Toc10122"/>
      <w:bookmarkStart w:id="77" w:name="_Toc15396613"/>
      <w:r>
        <w:rPr>
          <w:rFonts w:hint="eastAsia" w:ascii="黑体" w:hAnsi="黑体" w:eastAsia="黑体"/>
          <w:sz w:val="44"/>
          <w:szCs w:val="44"/>
        </w:rPr>
        <w:t>名</w:t>
      </w:r>
      <w:r>
        <w:rPr>
          <w:rStyle w:val="24"/>
          <w:rFonts w:hint="eastAsia" w:ascii="黑体" w:hAnsi="黑体" w:eastAsia="黑体"/>
          <w:b w:val="0"/>
        </w:rPr>
        <w:t>词解释</w:t>
      </w:r>
      <w:bookmarkEnd w:id="75"/>
      <w:bookmarkEnd w:id="76"/>
      <w:bookmarkEnd w:id="77"/>
    </w:p>
    <w:p>
      <w:pPr>
        <w:spacing w:line="600" w:lineRule="exact"/>
        <w:jc w:val="left"/>
        <w:rPr>
          <w:rFonts w:ascii="宋体"/>
          <w:b/>
          <w:sz w:val="44"/>
          <w:szCs w:val="44"/>
        </w:rPr>
      </w:pPr>
    </w:p>
    <w:p>
      <w:pPr>
        <w:pStyle w:val="22"/>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.财政拨款收入：指单位从同级财政部门取得的财政预算资金。</w:t>
      </w:r>
    </w:p>
    <w:p>
      <w:pPr>
        <w:pStyle w:val="22"/>
        <w:ind w:firstLine="640" w:firstLineChars="200"/>
        <w:rPr>
          <w:rFonts w:hint="eastAsia" w:ascii="仿宋_GB2312" w:eastAsia="仿宋_GB2312"/>
          <w:sz w:val="32"/>
          <w:szCs w:val="32"/>
          <w:lang w:eastAsia="zh-CN"/>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w:t>
      </w:r>
      <w:r>
        <w:rPr>
          <w:rFonts w:hint="eastAsia" w:ascii="仿宋_GB2312" w:eastAsia="仿宋_GB2312"/>
          <w:sz w:val="32"/>
          <w:szCs w:val="32"/>
        </w:rPr>
        <w:t>使用非财政拨款结余：指事业单位使用以前年度积累的非财政拨款结余弥补当年收支差额的金额。</w:t>
      </w:r>
    </w:p>
    <w:p>
      <w:pPr>
        <w:pStyle w:val="22"/>
        <w:ind w:firstLine="640" w:firstLineChars="200"/>
        <w:rPr>
          <w:rFonts w:hint="eastAsia" w:ascii="仿宋_GB2312" w:eastAsia="仿宋_GB2312"/>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w:t>
      </w:r>
      <w:r>
        <w:rPr>
          <w:rFonts w:hint="eastAsia" w:ascii="仿宋_GB2312" w:eastAsia="仿宋_GB2312"/>
          <w:sz w:val="32"/>
          <w:szCs w:val="32"/>
        </w:rPr>
        <w:t>年初结转和结余：指以前年度尚未完成、结转到本年按有关规定继续使用的资金。</w:t>
      </w:r>
    </w:p>
    <w:p>
      <w:pPr>
        <w:pStyle w:val="22"/>
        <w:ind w:firstLine="640" w:firstLineChars="200"/>
        <w:rPr>
          <w:rFonts w:hint="eastAsia" w:ascii="仿宋_GB2312" w:eastAsia="仿宋_GB2312"/>
          <w:sz w:val="32"/>
          <w:szCs w:val="32"/>
          <w:lang w:eastAsia="zh-CN"/>
        </w:rPr>
      </w:pPr>
      <w:r>
        <w:rPr>
          <w:rFonts w:hint="eastAsia" w:ascii="仿宋_GB2312" w:eastAsia="仿宋_GB2312"/>
          <w:color w:val="auto"/>
          <w:sz w:val="32"/>
          <w:szCs w:val="32"/>
          <w:highlight w:val="none"/>
          <w:lang w:val="en-US" w:eastAsia="zh-CN"/>
        </w:rPr>
        <w:t>4</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2"/>
        <w:ind w:firstLine="640" w:firstLineChars="200"/>
        <w:rPr>
          <w:rFonts w:ascii="仿宋_GB2312" w:eastAsia="仿宋_GB2312"/>
          <w:sz w:val="32"/>
          <w:szCs w:val="32"/>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w:t>
      </w:r>
      <w:r>
        <w:rPr>
          <w:rFonts w:hint="eastAsia" w:ascii="仿宋_GB2312" w:eastAsia="仿宋_GB2312"/>
          <w:sz w:val="32"/>
          <w:szCs w:val="32"/>
        </w:rPr>
        <w:t>年末结转和结余：指单位按有关规定结转到下年或以后年度继续使用的资金。</w:t>
      </w:r>
    </w:p>
    <w:p>
      <w:pPr>
        <w:ind w:firstLine="640" w:firstLineChars="200"/>
        <w:rPr>
          <w:rFonts w:eastAsia="仿宋_GB2312"/>
          <w:color w:val="000000"/>
          <w:sz w:val="32"/>
          <w:szCs w:val="32"/>
        </w:rPr>
      </w:pPr>
      <w:r>
        <w:rPr>
          <w:rFonts w:hint="eastAsia" w:eastAsia="仿宋_GB2312"/>
          <w:color w:val="000000"/>
          <w:sz w:val="32"/>
          <w:szCs w:val="32"/>
          <w:lang w:val="en-US" w:eastAsia="zh-CN"/>
        </w:rPr>
        <w:t>6</w:t>
      </w:r>
      <w:r>
        <w:rPr>
          <w:rFonts w:eastAsia="仿宋_GB2312"/>
          <w:color w:val="000000"/>
          <w:sz w:val="32"/>
          <w:szCs w:val="32"/>
        </w:rPr>
        <w:t>.</w:t>
      </w:r>
      <w:r>
        <w:rPr>
          <w:rFonts w:hint="eastAsia" w:eastAsia="仿宋_GB2312"/>
          <w:color w:val="000000"/>
          <w:sz w:val="32"/>
          <w:szCs w:val="32"/>
        </w:rPr>
        <w:t>社会保障和就业支出（类）行政事业单位养老支出（款）行政单位离退休（项）：</w:t>
      </w:r>
      <w:r>
        <w:rPr>
          <w:rFonts w:hint="eastAsia" w:eastAsia="仿宋_GB2312"/>
          <w:color w:val="0D0D0D" w:themeColor="text1" w:themeTint="F2"/>
          <w:sz w:val="32"/>
          <w:szCs w:val="32"/>
          <w14:textFill>
            <w14:solidFill>
              <w14:schemeClr w14:val="tx1">
                <w14:lumMod w14:val="95000"/>
                <w14:lumOff w14:val="5000"/>
              </w14:schemeClr>
            </w14:solidFill>
          </w14:textFill>
        </w:rPr>
        <w:t>指行政单位（包括实行公务员法管理的事业单位）开支的离退休经费。</w:t>
      </w:r>
    </w:p>
    <w:p>
      <w:pPr>
        <w:ind w:firstLine="640" w:firstLineChars="200"/>
        <w:rPr>
          <w:rFonts w:hint="eastAsia" w:eastAsia="仿宋_GB2312"/>
          <w:color w:val="000000"/>
          <w:sz w:val="32"/>
          <w:szCs w:val="32"/>
        </w:rPr>
      </w:pPr>
      <w:r>
        <w:rPr>
          <w:rFonts w:hint="eastAsia" w:eastAsia="仿宋_GB2312"/>
          <w:color w:val="000000"/>
          <w:sz w:val="32"/>
          <w:szCs w:val="32"/>
          <w:lang w:val="en-US" w:eastAsia="zh-CN"/>
        </w:rPr>
        <w:t>7</w:t>
      </w:r>
      <w:r>
        <w:rPr>
          <w:rFonts w:eastAsia="仿宋_GB2312"/>
          <w:color w:val="000000"/>
          <w:sz w:val="32"/>
          <w:szCs w:val="32"/>
        </w:rPr>
        <w:t>.</w:t>
      </w:r>
      <w:r>
        <w:rPr>
          <w:rFonts w:hint="eastAsia" w:eastAsia="仿宋_GB2312"/>
          <w:color w:val="000000"/>
          <w:sz w:val="32"/>
          <w:szCs w:val="32"/>
        </w:rPr>
        <w:t>社会保障和就业支出（类）行政事业单位养老支出（款）事业单位离退休（项）：</w:t>
      </w:r>
      <w:r>
        <w:rPr>
          <w:rFonts w:hint="eastAsia" w:eastAsia="仿宋_GB2312"/>
          <w:color w:val="auto"/>
          <w:sz w:val="32"/>
          <w:szCs w:val="32"/>
        </w:rPr>
        <w:t>指事业单位开支的离退休经费。</w:t>
      </w:r>
    </w:p>
    <w:p>
      <w:pPr>
        <w:pStyle w:val="2"/>
        <w:ind w:firstLine="640" w:firstLineChars="200"/>
        <w:rPr>
          <w:rFonts w:hint="eastAsia" w:eastAsia="仿宋_GB2312"/>
          <w:lang w:eastAsia="zh-CN"/>
        </w:rPr>
      </w:pPr>
      <w:r>
        <w:rPr>
          <w:rFonts w:hint="eastAsia"/>
          <w:color w:val="000000"/>
          <w:sz w:val="32"/>
          <w:szCs w:val="32"/>
          <w:lang w:val="en-US" w:eastAsia="zh-CN"/>
        </w:rPr>
        <w:t>8</w:t>
      </w:r>
      <w:r>
        <w:rPr>
          <w:rFonts w:eastAsia="仿宋_GB2312"/>
          <w:color w:val="000000"/>
          <w:sz w:val="32"/>
          <w:szCs w:val="32"/>
        </w:rPr>
        <w:t>.</w:t>
      </w:r>
      <w:r>
        <w:rPr>
          <w:rFonts w:hint="eastAsia" w:eastAsia="仿宋_GB2312"/>
          <w:color w:val="000000"/>
          <w:sz w:val="32"/>
          <w:szCs w:val="32"/>
        </w:rPr>
        <w:t>社会保障和就业支出（类）行政事业单位养老支出（款）</w:t>
      </w:r>
      <w:r>
        <w:rPr>
          <w:rFonts w:hint="eastAsia"/>
          <w:color w:val="000000"/>
          <w:sz w:val="32"/>
          <w:szCs w:val="32"/>
          <w:lang w:eastAsia="zh-CN"/>
        </w:rPr>
        <w:t>机关职业单位基本养老保险缴费支出</w:t>
      </w:r>
      <w:r>
        <w:rPr>
          <w:rFonts w:hint="eastAsia" w:eastAsia="仿宋_GB2312"/>
          <w:color w:val="000000"/>
          <w:sz w:val="32"/>
          <w:szCs w:val="32"/>
        </w:rPr>
        <w:t>（项）：</w:t>
      </w:r>
      <w:r>
        <w:rPr>
          <w:rFonts w:hint="eastAsia"/>
          <w:color w:val="000000"/>
          <w:sz w:val="32"/>
          <w:szCs w:val="32"/>
          <w:lang w:eastAsia="zh-CN"/>
        </w:rPr>
        <w:t>指机关职工单位开支的基本养老保险缴费。</w:t>
      </w:r>
    </w:p>
    <w:p>
      <w:pPr>
        <w:ind w:firstLine="640" w:firstLineChars="200"/>
        <w:rPr>
          <w:rFonts w:hint="eastAsia" w:eastAsia="仿宋_GB2312"/>
          <w:color w:val="000000"/>
          <w:sz w:val="32"/>
          <w:szCs w:val="32"/>
        </w:rPr>
      </w:pPr>
      <w:r>
        <w:rPr>
          <w:rFonts w:hint="eastAsia" w:eastAsia="仿宋_GB2312"/>
          <w:color w:val="000000"/>
          <w:sz w:val="32"/>
          <w:szCs w:val="32"/>
          <w:lang w:val="en-US" w:eastAsia="zh-CN"/>
        </w:rPr>
        <w:t>9</w:t>
      </w:r>
      <w:r>
        <w:rPr>
          <w:rFonts w:eastAsia="仿宋_GB2312"/>
          <w:color w:val="000000"/>
          <w:sz w:val="32"/>
          <w:szCs w:val="32"/>
        </w:rPr>
        <w:t>.</w:t>
      </w:r>
      <w:r>
        <w:rPr>
          <w:rFonts w:hint="eastAsia" w:eastAsia="仿宋_GB2312"/>
          <w:color w:val="000000"/>
          <w:sz w:val="32"/>
          <w:szCs w:val="32"/>
        </w:rPr>
        <w:t>交通运输支出（类）公路水路运输（款）行政运行（项）：指交通运输方面的行政单位（包括实行公务员法管理的事业单位）的基本支出。</w:t>
      </w:r>
    </w:p>
    <w:p>
      <w:pPr>
        <w:pStyle w:val="2"/>
        <w:ind w:firstLine="640" w:firstLineChars="200"/>
        <w:rPr>
          <w:rFonts w:hint="eastAsia" w:eastAsia="仿宋_GB2312"/>
          <w:color w:val="auto"/>
          <w:sz w:val="32"/>
          <w:szCs w:val="32"/>
        </w:rPr>
      </w:pPr>
      <w:r>
        <w:rPr>
          <w:rFonts w:hint="eastAsia"/>
          <w:color w:val="auto"/>
          <w:sz w:val="32"/>
          <w:szCs w:val="32"/>
          <w:lang w:val="en-US" w:eastAsia="zh-CN"/>
        </w:rPr>
        <w:t>10</w:t>
      </w:r>
      <w:r>
        <w:rPr>
          <w:rFonts w:eastAsia="仿宋_GB2312"/>
          <w:color w:val="auto"/>
          <w:sz w:val="32"/>
          <w:szCs w:val="32"/>
        </w:rPr>
        <w:t>.</w:t>
      </w:r>
      <w:r>
        <w:rPr>
          <w:rFonts w:hint="eastAsia" w:eastAsia="仿宋_GB2312"/>
          <w:color w:val="auto"/>
          <w:sz w:val="32"/>
          <w:szCs w:val="32"/>
        </w:rPr>
        <w:t>交通运输支出（类）公路水路运输（款）</w:t>
      </w:r>
      <w:r>
        <w:rPr>
          <w:rFonts w:hint="eastAsia"/>
          <w:color w:val="auto"/>
          <w:sz w:val="32"/>
          <w:szCs w:val="32"/>
          <w:lang w:eastAsia="zh-CN"/>
        </w:rPr>
        <w:t>机关服务</w:t>
      </w:r>
      <w:r>
        <w:rPr>
          <w:rFonts w:hint="eastAsia" w:eastAsia="仿宋_GB2312"/>
          <w:color w:val="auto"/>
          <w:sz w:val="32"/>
          <w:szCs w:val="32"/>
        </w:rPr>
        <w:t>（项）：指交通运输方面的行政单位（包括实行公务员法管理的事业单位）的</w:t>
      </w:r>
      <w:r>
        <w:rPr>
          <w:rFonts w:hint="eastAsia"/>
          <w:color w:val="auto"/>
          <w:sz w:val="32"/>
          <w:szCs w:val="32"/>
          <w:lang w:eastAsia="zh-CN"/>
        </w:rPr>
        <w:t>各类后勤服务</w:t>
      </w:r>
      <w:r>
        <w:rPr>
          <w:rFonts w:hint="eastAsia" w:eastAsia="仿宋_GB2312"/>
          <w:color w:val="auto"/>
          <w:sz w:val="32"/>
          <w:szCs w:val="32"/>
        </w:rPr>
        <w:t>支出。</w:t>
      </w:r>
    </w:p>
    <w:p>
      <w:pPr>
        <w:pStyle w:val="2"/>
        <w:ind w:firstLine="640" w:firstLineChars="200"/>
        <w:rPr>
          <w:rFonts w:hint="eastAsia" w:eastAsia="仿宋_GB2312"/>
          <w:color w:val="auto"/>
          <w:sz w:val="32"/>
          <w:szCs w:val="32"/>
        </w:rPr>
      </w:pPr>
      <w:r>
        <w:rPr>
          <w:rFonts w:hint="eastAsia"/>
          <w:color w:val="auto"/>
          <w:sz w:val="32"/>
          <w:szCs w:val="32"/>
          <w:lang w:val="en-US" w:eastAsia="zh-CN"/>
        </w:rPr>
        <w:t>11</w:t>
      </w:r>
      <w:r>
        <w:rPr>
          <w:rFonts w:eastAsia="仿宋_GB2312"/>
          <w:color w:val="auto"/>
          <w:sz w:val="32"/>
          <w:szCs w:val="32"/>
        </w:rPr>
        <w:t>.</w:t>
      </w:r>
      <w:r>
        <w:rPr>
          <w:rFonts w:hint="eastAsia" w:eastAsia="仿宋_GB2312"/>
          <w:color w:val="auto"/>
          <w:sz w:val="32"/>
          <w:szCs w:val="32"/>
        </w:rPr>
        <w:t>交通运输支出（类）公路水路运输（款）</w:t>
      </w:r>
      <w:r>
        <w:rPr>
          <w:rFonts w:hint="eastAsia"/>
          <w:color w:val="auto"/>
          <w:sz w:val="32"/>
          <w:szCs w:val="32"/>
          <w:lang w:val="en-US" w:eastAsia="zh-CN"/>
        </w:rPr>
        <w:t>公路养护</w:t>
      </w:r>
      <w:r>
        <w:rPr>
          <w:rFonts w:hint="eastAsia" w:eastAsia="仿宋_GB2312"/>
          <w:color w:val="auto"/>
          <w:sz w:val="32"/>
          <w:szCs w:val="32"/>
        </w:rPr>
        <w:t>（项）：指公路养护支出。</w:t>
      </w:r>
    </w:p>
    <w:p>
      <w:pPr>
        <w:ind w:firstLine="640" w:firstLineChars="200"/>
        <w:rPr>
          <w:rFonts w:eastAsia="仿宋_GB2312"/>
          <w:color w:val="000000"/>
          <w:sz w:val="32"/>
          <w:szCs w:val="32"/>
        </w:rPr>
      </w:pPr>
      <w:r>
        <w:rPr>
          <w:rFonts w:hint="eastAsia" w:eastAsia="仿宋_GB2312"/>
          <w:color w:val="auto"/>
          <w:sz w:val="32"/>
          <w:szCs w:val="32"/>
          <w:lang w:val="en-US" w:eastAsia="zh-CN"/>
        </w:rPr>
        <w:t>12</w:t>
      </w:r>
      <w:r>
        <w:rPr>
          <w:rFonts w:hint="eastAsia" w:eastAsia="仿宋_GB2312"/>
          <w:color w:val="auto"/>
          <w:sz w:val="32"/>
          <w:szCs w:val="32"/>
        </w:rPr>
        <w:t>.交通运输支出</w:t>
      </w:r>
      <w:r>
        <w:rPr>
          <w:rFonts w:hint="eastAsia" w:eastAsia="仿宋_GB2312"/>
          <w:color w:val="000000"/>
          <w:sz w:val="32"/>
          <w:szCs w:val="32"/>
        </w:rPr>
        <w:t>（类）其他交通运输支出（款）其他交通运输支出（项）：指其他交通运输支出中除对公共交通营运补助以外的其他支出。</w:t>
      </w:r>
    </w:p>
    <w:p>
      <w:pPr>
        <w:ind w:firstLine="640" w:firstLineChars="200"/>
        <w:rPr>
          <w:rFonts w:eastAsia="仿宋_GB2312"/>
          <w:color w:val="000000"/>
          <w:sz w:val="32"/>
          <w:szCs w:val="32"/>
        </w:rPr>
      </w:pPr>
      <w:r>
        <w:rPr>
          <w:rFonts w:hint="eastAsia" w:eastAsia="仿宋_GB2312"/>
          <w:color w:val="000000"/>
          <w:sz w:val="32"/>
          <w:szCs w:val="32"/>
          <w:lang w:val="en-US" w:eastAsia="zh-CN"/>
        </w:rPr>
        <w:t>13</w:t>
      </w:r>
      <w:r>
        <w:rPr>
          <w:rFonts w:hint="eastAsia" w:eastAsia="仿宋_GB2312"/>
          <w:color w:val="000000"/>
          <w:sz w:val="32"/>
          <w:szCs w:val="32"/>
        </w:rPr>
        <w:t>.住房保障支出（类）住房改革支出（款）住房公积金（项）：指行政事业单位按人力资源和社会保障部、财政部规定的基本工资和津贴补贴以及规定比例为职工缴纳的住房公积金。</w:t>
      </w:r>
    </w:p>
    <w:p>
      <w:pPr>
        <w:ind w:firstLine="640" w:firstLineChars="200"/>
        <w:rPr>
          <w:rFonts w:eastAsia="仿宋_GB2312"/>
          <w:color w:val="000000"/>
          <w:sz w:val="32"/>
          <w:szCs w:val="32"/>
        </w:rPr>
      </w:pPr>
      <w:r>
        <w:rPr>
          <w:rFonts w:hint="eastAsia" w:eastAsia="仿宋_GB2312"/>
          <w:color w:val="000000"/>
          <w:sz w:val="32"/>
          <w:szCs w:val="32"/>
          <w:lang w:val="en-US" w:eastAsia="zh-CN"/>
        </w:rPr>
        <w:t>14</w:t>
      </w:r>
      <w:r>
        <w:rPr>
          <w:rFonts w:eastAsia="仿宋_GB2312"/>
          <w:color w:val="000000"/>
          <w:sz w:val="32"/>
          <w:szCs w:val="32"/>
        </w:rPr>
        <w:t>.</w:t>
      </w:r>
      <w:r>
        <w:rPr>
          <w:rFonts w:hint="eastAsia" w:eastAsia="仿宋_GB2312"/>
          <w:color w:val="000000"/>
          <w:sz w:val="32"/>
          <w:szCs w:val="32"/>
        </w:rPr>
        <w:t>基本支出：指为保障机构正常运转、完成日常工作任务而发生的人员支出和公用支出。</w:t>
      </w:r>
    </w:p>
    <w:p>
      <w:pPr>
        <w:ind w:firstLine="640" w:firstLineChars="200"/>
        <w:rPr>
          <w:rFonts w:eastAsia="仿宋_GB2312"/>
          <w:color w:val="000000"/>
          <w:sz w:val="32"/>
          <w:szCs w:val="32"/>
        </w:rPr>
      </w:pPr>
      <w:r>
        <w:rPr>
          <w:rFonts w:hint="eastAsia" w:eastAsia="仿宋_GB2312"/>
          <w:color w:val="000000"/>
          <w:sz w:val="32"/>
          <w:szCs w:val="32"/>
          <w:lang w:val="en-US" w:eastAsia="zh-CN"/>
        </w:rPr>
        <w:t>15</w:t>
      </w:r>
      <w:r>
        <w:rPr>
          <w:rFonts w:eastAsia="仿宋_GB2312"/>
          <w:color w:val="000000"/>
          <w:sz w:val="32"/>
          <w:szCs w:val="32"/>
        </w:rPr>
        <w:t>.</w:t>
      </w:r>
      <w:r>
        <w:rPr>
          <w:rFonts w:hint="eastAsia" w:eastAsia="仿宋_GB2312"/>
          <w:color w:val="000000"/>
          <w:sz w:val="32"/>
          <w:szCs w:val="32"/>
        </w:rPr>
        <w:t>项目支出：指在基本支出之外为完成特定行政任务和事业发展目标所发生的支出。</w:t>
      </w:r>
    </w:p>
    <w:p>
      <w:pPr>
        <w:pStyle w:val="22"/>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16</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17</w:t>
      </w:r>
      <w:r>
        <w:rPr>
          <w:rFonts w:hint="eastAsia" w:ascii="Times New Roman" w:hAnsi="Times New Roman" w:eastAsia="仿宋_GB2312" w:cs="Times New Roman"/>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cs="黑体"/>
          <w:color w:val="auto"/>
          <w:sz w:val="32"/>
          <w:szCs w:val="32"/>
        </w:rPr>
      </w:pPr>
    </w:p>
    <w:p>
      <w:pPr>
        <w:numPr>
          <w:ilvl w:val="0"/>
          <w:numId w:val="4"/>
        </w:numPr>
        <w:spacing w:line="600" w:lineRule="exact"/>
        <w:ind w:left="0" w:leftChars="0" w:firstLine="663" w:firstLineChars="150"/>
        <w:jc w:val="center"/>
        <w:outlineLvl w:val="0"/>
        <w:rPr>
          <w:rStyle w:val="24"/>
          <w:rFonts w:hint="eastAsia" w:ascii="黑体" w:hAnsi="黑体" w:eastAsia="黑体"/>
          <w:b w:val="0"/>
        </w:rPr>
      </w:pPr>
      <w:bookmarkStart w:id="78" w:name="_Toc15377226"/>
      <w:r>
        <w:rPr>
          <w:rFonts w:ascii="宋体"/>
          <w:b/>
          <w:sz w:val="44"/>
          <w:szCs w:val="44"/>
        </w:rPr>
        <w:br w:type="page"/>
      </w:r>
      <w:bookmarkStart w:id="79" w:name="_Toc5345"/>
      <w:bookmarkStart w:id="80" w:name="_Toc15396614"/>
      <w:r>
        <w:rPr>
          <w:rStyle w:val="24"/>
          <w:rFonts w:hint="eastAsia" w:ascii="黑体" w:hAnsi="黑体" w:eastAsia="黑体"/>
          <w:b w:val="0"/>
        </w:rPr>
        <w:t>附件</w:t>
      </w:r>
      <w:bookmarkEnd w:id="79"/>
      <w:bookmarkEnd w:id="80"/>
      <w:bookmarkStart w:id="81" w:name="_Toc15396618"/>
    </w:p>
    <w:p>
      <w:pPr>
        <w:pStyle w:val="2"/>
        <w:rPr>
          <w:rFonts w:hint="eastAsia"/>
        </w:rPr>
      </w:pPr>
    </w:p>
    <w:p>
      <w:pPr>
        <w:pStyle w:val="2"/>
        <w:numPr>
          <w:ilvl w:val="0"/>
          <w:numId w:val="0"/>
        </w:numPr>
        <w:ind w:leftChars="150"/>
        <w:jc w:val="center"/>
        <w:rPr>
          <w:rFonts w:hint="eastAsia" w:cs="Times New Roman"/>
          <w:b w:val="0"/>
          <w:bCs w:val="0"/>
          <w:color w:val="000000"/>
          <w:kern w:val="0"/>
          <w:sz w:val="32"/>
          <w:szCs w:val="32"/>
          <w:lang w:val="en-US" w:eastAsia="zh-CN" w:bidi="ar-SA"/>
        </w:rPr>
      </w:pPr>
      <w:r>
        <w:rPr>
          <w:rFonts w:hint="eastAsia" w:ascii="仿宋_GB2312" w:hAnsi="Times New Roman" w:eastAsia="仿宋_GB2312" w:cs="Times New Roman"/>
          <w:b w:val="0"/>
          <w:bCs w:val="0"/>
          <w:color w:val="000000"/>
          <w:kern w:val="0"/>
          <w:sz w:val="32"/>
          <w:szCs w:val="32"/>
          <w:lang w:val="en-US" w:eastAsia="zh-CN" w:bidi="ar-SA"/>
        </w:rPr>
        <w:t>部门预算项目支出绩效自评表</w:t>
      </w:r>
      <w:r>
        <w:rPr>
          <w:rFonts w:hint="eastAsia" w:cs="Times New Roman"/>
          <w:b w:val="0"/>
          <w:bCs w:val="0"/>
          <w:color w:val="000000"/>
          <w:kern w:val="0"/>
          <w:sz w:val="32"/>
          <w:szCs w:val="32"/>
          <w:lang w:val="en-US" w:eastAsia="zh-CN" w:bidi="ar-SA"/>
        </w:rPr>
        <w:t>见附件2</w:t>
      </w:r>
    </w:p>
    <w:p>
      <w:pPr>
        <w:pStyle w:val="2"/>
        <w:numPr>
          <w:ilvl w:val="0"/>
          <w:numId w:val="0"/>
        </w:numPr>
        <w:ind w:leftChars="150"/>
        <w:rPr>
          <w:rFonts w:hint="eastAsia" w:cs="Times New Roman"/>
          <w:b w:val="0"/>
          <w:bCs w:val="0"/>
          <w:color w:val="000000"/>
          <w:kern w:val="0"/>
          <w:sz w:val="32"/>
          <w:szCs w:val="32"/>
          <w:lang w:val="en-US" w:eastAsia="zh-CN" w:bidi="ar-SA"/>
        </w:rPr>
      </w:pPr>
    </w:p>
    <w:p>
      <w:pPr>
        <w:pStyle w:val="2"/>
        <w:numPr>
          <w:ilvl w:val="0"/>
          <w:numId w:val="0"/>
        </w:numPr>
        <w:ind w:leftChars="150"/>
        <w:rPr>
          <w:rFonts w:hint="eastAsia" w:cs="Times New Roman"/>
          <w:b w:val="0"/>
          <w:bCs w:val="0"/>
          <w:color w:val="000000"/>
          <w:kern w:val="0"/>
          <w:sz w:val="32"/>
          <w:szCs w:val="32"/>
          <w:lang w:val="en-US" w:eastAsia="zh-CN" w:bidi="ar-SA"/>
        </w:rPr>
      </w:pPr>
    </w:p>
    <w:p>
      <w:pPr>
        <w:pStyle w:val="2"/>
        <w:numPr>
          <w:ilvl w:val="0"/>
          <w:numId w:val="0"/>
        </w:numPr>
        <w:ind w:leftChars="150"/>
        <w:rPr>
          <w:rFonts w:hint="eastAsia" w:cs="Times New Roman"/>
          <w:b w:val="0"/>
          <w:bCs w:val="0"/>
          <w:color w:val="000000"/>
          <w:kern w:val="0"/>
          <w:sz w:val="32"/>
          <w:szCs w:val="32"/>
          <w:lang w:val="en-US" w:eastAsia="zh-CN" w:bidi="ar-SA"/>
        </w:rPr>
      </w:pPr>
    </w:p>
    <w:p>
      <w:pPr>
        <w:pStyle w:val="2"/>
        <w:numPr>
          <w:ilvl w:val="0"/>
          <w:numId w:val="0"/>
        </w:numPr>
        <w:ind w:leftChars="150"/>
        <w:rPr>
          <w:rFonts w:hint="eastAsia" w:cs="Times New Roman"/>
          <w:b w:val="0"/>
          <w:bCs w:val="0"/>
          <w:color w:val="000000"/>
          <w:kern w:val="0"/>
          <w:sz w:val="32"/>
          <w:szCs w:val="32"/>
          <w:lang w:val="en-US" w:eastAsia="zh-CN" w:bidi="ar-SA"/>
        </w:rPr>
      </w:pPr>
    </w:p>
    <w:p>
      <w:pPr>
        <w:pStyle w:val="2"/>
        <w:numPr>
          <w:ilvl w:val="0"/>
          <w:numId w:val="0"/>
        </w:numPr>
        <w:ind w:leftChars="150"/>
        <w:rPr>
          <w:rFonts w:hint="eastAsia" w:cs="Times New Roman"/>
          <w:b w:val="0"/>
          <w:bCs w:val="0"/>
          <w:color w:val="000000"/>
          <w:kern w:val="0"/>
          <w:sz w:val="32"/>
          <w:szCs w:val="32"/>
          <w:lang w:val="en-US" w:eastAsia="zh-CN" w:bidi="ar-SA"/>
        </w:rPr>
      </w:pPr>
    </w:p>
    <w:p>
      <w:pPr>
        <w:pStyle w:val="2"/>
        <w:numPr>
          <w:ilvl w:val="0"/>
          <w:numId w:val="0"/>
        </w:numPr>
        <w:ind w:leftChars="150"/>
        <w:rPr>
          <w:rFonts w:hint="eastAsia" w:cs="Times New Roman"/>
          <w:b w:val="0"/>
          <w:bCs w:val="0"/>
          <w:color w:val="000000"/>
          <w:kern w:val="0"/>
          <w:sz w:val="32"/>
          <w:szCs w:val="32"/>
          <w:lang w:val="en-US" w:eastAsia="zh-CN" w:bidi="ar-SA"/>
        </w:rPr>
      </w:pPr>
    </w:p>
    <w:p>
      <w:pPr>
        <w:pStyle w:val="2"/>
        <w:numPr>
          <w:ilvl w:val="0"/>
          <w:numId w:val="0"/>
        </w:numPr>
        <w:ind w:leftChars="150"/>
        <w:rPr>
          <w:rFonts w:hint="eastAsia" w:cs="Times New Roman"/>
          <w:b w:val="0"/>
          <w:bCs w:val="0"/>
          <w:color w:val="000000"/>
          <w:kern w:val="0"/>
          <w:sz w:val="32"/>
          <w:szCs w:val="32"/>
          <w:lang w:val="en-US" w:eastAsia="zh-CN" w:bidi="ar-SA"/>
        </w:rPr>
      </w:pPr>
    </w:p>
    <w:p>
      <w:pPr>
        <w:pStyle w:val="2"/>
        <w:numPr>
          <w:ilvl w:val="0"/>
          <w:numId w:val="0"/>
        </w:numPr>
        <w:ind w:leftChars="150"/>
        <w:rPr>
          <w:rFonts w:hint="eastAsia" w:cs="Times New Roman"/>
          <w:b w:val="0"/>
          <w:bCs w:val="0"/>
          <w:color w:val="000000"/>
          <w:kern w:val="0"/>
          <w:sz w:val="32"/>
          <w:szCs w:val="32"/>
          <w:lang w:val="en-US" w:eastAsia="zh-CN" w:bidi="ar-SA"/>
        </w:rPr>
      </w:pPr>
    </w:p>
    <w:p>
      <w:pPr>
        <w:pStyle w:val="2"/>
        <w:numPr>
          <w:ilvl w:val="0"/>
          <w:numId w:val="0"/>
        </w:numPr>
        <w:ind w:leftChars="150"/>
        <w:rPr>
          <w:rFonts w:hint="eastAsia" w:cs="Times New Roman"/>
          <w:b w:val="0"/>
          <w:bCs w:val="0"/>
          <w:color w:val="000000"/>
          <w:kern w:val="0"/>
          <w:sz w:val="32"/>
          <w:szCs w:val="32"/>
          <w:lang w:val="en-US" w:eastAsia="zh-CN" w:bidi="ar-SA"/>
        </w:rPr>
      </w:pPr>
    </w:p>
    <w:p>
      <w:pPr>
        <w:pStyle w:val="2"/>
        <w:numPr>
          <w:ilvl w:val="0"/>
          <w:numId w:val="0"/>
        </w:numPr>
        <w:ind w:leftChars="150"/>
        <w:rPr>
          <w:rFonts w:hint="eastAsia" w:cs="Times New Roman"/>
          <w:b w:val="0"/>
          <w:bCs w:val="0"/>
          <w:color w:val="000000"/>
          <w:kern w:val="0"/>
          <w:sz w:val="32"/>
          <w:szCs w:val="32"/>
          <w:lang w:val="en-US" w:eastAsia="zh-CN" w:bidi="ar-SA"/>
        </w:rPr>
      </w:pPr>
    </w:p>
    <w:p>
      <w:pPr>
        <w:pStyle w:val="2"/>
        <w:numPr>
          <w:ilvl w:val="0"/>
          <w:numId w:val="0"/>
        </w:numPr>
        <w:ind w:leftChars="150"/>
        <w:rPr>
          <w:rFonts w:hint="eastAsia" w:cs="Times New Roman"/>
          <w:b w:val="0"/>
          <w:bCs w:val="0"/>
          <w:color w:val="000000"/>
          <w:kern w:val="0"/>
          <w:sz w:val="32"/>
          <w:szCs w:val="32"/>
          <w:lang w:val="en-US" w:eastAsia="zh-CN" w:bidi="ar-SA"/>
        </w:rPr>
      </w:pPr>
    </w:p>
    <w:p>
      <w:pPr>
        <w:pStyle w:val="2"/>
        <w:numPr>
          <w:ilvl w:val="0"/>
          <w:numId w:val="0"/>
        </w:numPr>
        <w:ind w:leftChars="150"/>
        <w:rPr>
          <w:rFonts w:hint="eastAsia" w:cs="Times New Roman"/>
          <w:b w:val="0"/>
          <w:bCs w:val="0"/>
          <w:color w:val="000000"/>
          <w:kern w:val="0"/>
          <w:sz w:val="32"/>
          <w:szCs w:val="32"/>
          <w:lang w:val="en-US" w:eastAsia="zh-CN" w:bidi="ar-SA"/>
        </w:rPr>
      </w:pPr>
    </w:p>
    <w:p>
      <w:pPr>
        <w:pStyle w:val="2"/>
        <w:numPr>
          <w:ilvl w:val="0"/>
          <w:numId w:val="0"/>
        </w:numPr>
        <w:ind w:leftChars="150"/>
        <w:rPr>
          <w:rFonts w:hint="eastAsia" w:cs="Times New Roman"/>
          <w:b w:val="0"/>
          <w:bCs w:val="0"/>
          <w:color w:val="000000"/>
          <w:kern w:val="0"/>
          <w:sz w:val="32"/>
          <w:szCs w:val="32"/>
          <w:lang w:val="en-US" w:eastAsia="zh-CN" w:bidi="ar-SA"/>
        </w:rPr>
      </w:pPr>
    </w:p>
    <w:p>
      <w:pPr>
        <w:pStyle w:val="2"/>
        <w:numPr>
          <w:ilvl w:val="0"/>
          <w:numId w:val="0"/>
        </w:numPr>
        <w:ind w:leftChars="150"/>
        <w:rPr>
          <w:rFonts w:hint="eastAsia" w:cs="Times New Roman"/>
          <w:b w:val="0"/>
          <w:bCs w:val="0"/>
          <w:color w:val="000000"/>
          <w:kern w:val="0"/>
          <w:sz w:val="32"/>
          <w:szCs w:val="32"/>
          <w:lang w:val="en-US" w:eastAsia="zh-CN" w:bidi="ar-SA"/>
        </w:rPr>
      </w:pPr>
    </w:p>
    <w:p>
      <w:pPr>
        <w:pStyle w:val="2"/>
        <w:numPr>
          <w:ilvl w:val="0"/>
          <w:numId w:val="0"/>
        </w:numPr>
        <w:ind w:leftChars="150"/>
        <w:rPr>
          <w:rFonts w:hint="eastAsia" w:cs="Times New Roman"/>
          <w:b w:val="0"/>
          <w:bCs w:val="0"/>
          <w:color w:val="000000"/>
          <w:kern w:val="0"/>
          <w:sz w:val="32"/>
          <w:szCs w:val="32"/>
          <w:lang w:val="en-US" w:eastAsia="zh-CN" w:bidi="ar-SA"/>
        </w:rPr>
      </w:pPr>
    </w:p>
    <w:p>
      <w:pPr>
        <w:pStyle w:val="2"/>
        <w:numPr>
          <w:ilvl w:val="0"/>
          <w:numId w:val="0"/>
        </w:numPr>
        <w:rPr>
          <w:rFonts w:hint="default" w:cs="Times New Roman"/>
          <w:b w:val="0"/>
          <w:bCs w:val="0"/>
          <w:color w:val="000000"/>
          <w:kern w:val="0"/>
          <w:sz w:val="32"/>
          <w:szCs w:val="32"/>
          <w:lang w:val="en-US" w:eastAsia="zh-CN" w:bidi="ar-SA"/>
        </w:rPr>
      </w:pPr>
    </w:p>
    <w:p>
      <w:pPr>
        <w:spacing w:line="600" w:lineRule="exact"/>
        <w:jc w:val="center"/>
        <w:outlineLvl w:val="0"/>
        <w:rPr>
          <w:rFonts w:ascii="仿宋" w:hAnsi="仿宋" w:eastAsia="仿宋"/>
        </w:rPr>
      </w:pPr>
      <w:bookmarkStart w:id="82" w:name="_Toc21750"/>
      <w:r>
        <w:rPr>
          <w:rFonts w:hint="eastAsia" w:ascii="黑体" w:hAnsi="黑体" w:eastAsia="黑体"/>
          <w:sz w:val="44"/>
          <w:szCs w:val="44"/>
        </w:rPr>
        <w:t>第</w:t>
      </w:r>
      <w:r>
        <w:rPr>
          <w:rStyle w:val="24"/>
          <w:rFonts w:hint="eastAsia" w:ascii="黑体" w:hAnsi="黑体" w:eastAsia="黑体"/>
          <w:b w:val="0"/>
        </w:rPr>
        <w:t>五部分 附表</w:t>
      </w:r>
      <w:bookmarkEnd w:id="78"/>
      <w:bookmarkEnd w:id="81"/>
      <w:bookmarkEnd w:id="82"/>
      <w:bookmarkStart w:id="83" w:name="_Toc15396619"/>
    </w:p>
    <w:p>
      <w:pPr>
        <w:pStyle w:val="4"/>
        <w:rPr>
          <w:rFonts w:hint="eastAsia" w:ascii="仿宋_GB2312" w:hAnsi="Times New Roman" w:eastAsia="仿宋_GB2312" w:cs="Times New Roman"/>
          <w:b w:val="0"/>
          <w:bCs w:val="0"/>
          <w:color w:val="000000"/>
          <w:kern w:val="0"/>
          <w:sz w:val="32"/>
          <w:szCs w:val="32"/>
          <w:lang w:val="en-US" w:eastAsia="zh-CN" w:bidi="ar-SA"/>
        </w:rPr>
      </w:pPr>
      <w:bookmarkStart w:id="84" w:name="_Toc19032"/>
      <w:r>
        <w:rPr>
          <w:rFonts w:hint="eastAsia" w:ascii="仿宋_GB2312" w:hAnsi="Times New Roman" w:eastAsia="仿宋_GB2312" w:cs="Times New Roman"/>
          <w:b w:val="0"/>
          <w:bCs w:val="0"/>
          <w:color w:val="000000"/>
          <w:kern w:val="0"/>
          <w:sz w:val="32"/>
          <w:szCs w:val="32"/>
          <w:lang w:val="en-US" w:eastAsia="zh-CN" w:bidi="ar-SA"/>
        </w:rPr>
        <w:t>一、收入支出决算总表</w:t>
      </w:r>
      <w:bookmarkEnd w:id="83"/>
      <w:bookmarkEnd w:id="84"/>
    </w:p>
    <w:p>
      <w:pPr>
        <w:pStyle w:val="4"/>
        <w:rPr>
          <w:rFonts w:hint="eastAsia" w:ascii="仿宋_GB2312" w:hAnsi="Times New Roman" w:eastAsia="仿宋_GB2312" w:cs="Times New Roman"/>
          <w:b w:val="0"/>
          <w:bCs w:val="0"/>
          <w:color w:val="000000"/>
          <w:kern w:val="0"/>
          <w:sz w:val="32"/>
          <w:szCs w:val="32"/>
          <w:lang w:val="en-US" w:eastAsia="zh-CN" w:bidi="ar-SA"/>
        </w:rPr>
      </w:pPr>
      <w:bookmarkStart w:id="85" w:name="_Toc8065"/>
      <w:bookmarkStart w:id="86" w:name="_Toc15396620"/>
      <w:r>
        <w:rPr>
          <w:rFonts w:hint="eastAsia" w:ascii="仿宋_GB2312" w:hAnsi="Times New Roman" w:eastAsia="仿宋_GB2312" w:cs="Times New Roman"/>
          <w:b w:val="0"/>
          <w:bCs w:val="0"/>
          <w:color w:val="000000"/>
          <w:kern w:val="0"/>
          <w:sz w:val="32"/>
          <w:szCs w:val="32"/>
          <w:lang w:val="en-US" w:eastAsia="zh-CN" w:bidi="ar-SA"/>
        </w:rPr>
        <w:t>二、收入决算表</w:t>
      </w:r>
      <w:bookmarkEnd w:id="85"/>
      <w:bookmarkEnd w:id="86"/>
    </w:p>
    <w:p>
      <w:pPr>
        <w:pStyle w:val="4"/>
        <w:rPr>
          <w:rFonts w:hint="eastAsia" w:ascii="仿宋_GB2312" w:hAnsi="Times New Roman" w:eastAsia="仿宋_GB2312" w:cs="Times New Roman"/>
          <w:b w:val="0"/>
          <w:bCs w:val="0"/>
          <w:color w:val="000000"/>
          <w:kern w:val="0"/>
          <w:sz w:val="32"/>
          <w:szCs w:val="32"/>
          <w:lang w:val="en-US" w:eastAsia="zh-CN" w:bidi="ar-SA"/>
        </w:rPr>
      </w:pPr>
      <w:bookmarkStart w:id="87" w:name="_Toc15748"/>
      <w:bookmarkStart w:id="88" w:name="_Toc15396621"/>
      <w:r>
        <w:rPr>
          <w:rFonts w:hint="eastAsia" w:ascii="仿宋_GB2312" w:hAnsi="Times New Roman" w:eastAsia="仿宋_GB2312" w:cs="Times New Roman"/>
          <w:b w:val="0"/>
          <w:bCs w:val="0"/>
          <w:color w:val="000000"/>
          <w:kern w:val="0"/>
          <w:sz w:val="32"/>
          <w:szCs w:val="32"/>
          <w:lang w:val="en-US" w:eastAsia="zh-CN" w:bidi="ar-SA"/>
        </w:rPr>
        <w:t>三、支出决算表</w:t>
      </w:r>
      <w:bookmarkEnd w:id="87"/>
      <w:bookmarkEnd w:id="88"/>
    </w:p>
    <w:p>
      <w:pPr>
        <w:pStyle w:val="4"/>
        <w:rPr>
          <w:rFonts w:hint="eastAsia" w:ascii="仿宋_GB2312" w:hAnsi="Times New Roman" w:eastAsia="仿宋_GB2312" w:cs="Times New Roman"/>
          <w:b w:val="0"/>
          <w:bCs w:val="0"/>
          <w:color w:val="000000"/>
          <w:kern w:val="0"/>
          <w:sz w:val="32"/>
          <w:szCs w:val="32"/>
          <w:lang w:val="en-US" w:eastAsia="zh-CN" w:bidi="ar-SA"/>
        </w:rPr>
      </w:pPr>
      <w:bookmarkStart w:id="89" w:name="_Toc4785"/>
      <w:bookmarkStart w:id="90" w:name="_Toc15396622"/>
      <w:r>
        <w:rPr>
          <w:rFonts w:hint="eastAsia" w:ascii="仿宋_GB2312" w:hAnsi="Times New Roman" w:eastAsia="仿宋_GB2312" w:cs="Times New Roman"/>
          <w:b w:val="0"/>
          <w:bCs w:val="0"/>
          <w:color w:val="000000"/>
          <w:kern w:val="0"/>
          <w:sz w:val="32"/>
          <w:szCs w:val="32"/>
          <w:lang w:val="en-US" w:eastAsia="zh-CN" w:bidi="ar-SA"/>
        </w:rPr>
        <w:t>四、财政拨款收入支出决算总表</w:t>
      </w:r>
      <w:bookmarkEnd w:id="89"/>
      <w:bookmarkEnd w:id="90"/>
    </w:p>
    <w:p>
      <w:pPr>
        <w:pStyle w:val="4"/>
        <w:rPr>
          <w:rFonts w:hint="eastAsia" w:ascii="仿宋_GB2312" w:hAnsi="Times New Roman" w:eastAsia="仿宋_GB2312" w:cs="Times New Roman"/>
          <w:b w:val="0"/>
          <w:bCs w:val="0"/>
          <w:color w:val="000000"/>
          <w:kern w:val="0"/>
          <w:sz w:val="32"/>
          <w:szCs w:val="32"/>
          <w:lang w:val="en-US" w:eastAsia="zh-CN" w:bidi="ar-SA"/>
        </w:rPr>
      </w:pPr>
      <w:bookmarkStart w:id="91" w:name="_Toc15396623"/>
      <w:bookmarkStart w:id="92" w:name="_Toc11899"/>
      <w:r>
        <w:rPr>
          <w:rFonts w:hint="eastAsia" w:ascii="仿宋_GB2312" w:hAnsi="Times New Roman" w:eastAsia="仿宋_GB2312" w:cs="Times New Roman"/>
          <w:b w:val="0"/>
          <w:bCs w:val="0"/>
          <w:color w:val="000000"/>
          <w:kern w:val="0"/>
          <w:sz w:val="32"/>
          <w:szCs w:val="32"/>
          <w:lang w:val="en-US" w:eastAsia="zh-CN" w:bidi="ar-SA"/>
        </w:rPr>
        <w:t>五、财政拨款支出决算明细表</w:t>
      </w:r>
      <w:bookmarkEnd w:id="91"/>
      <w:bookmarkEnd w:id="92"/>
      <w:bookmarkStart w:id="93" w:name="_Toc15396624"/>
    </w:p>
    <w:p>
      <w:pPr>
        <w:pStyle w:val="4"/>
        <w:rPr>
          <w:rFonts w:hint="eastAsia" w:ascii="仿宋_GB2312" w:hAnsi="Times New Roman" w:eastAsia="仿宋_GB2312" w:cs="Times New Roman"/>
          <w:b w:val="0"/>
          <w:bCs w:val="0"/>
          <w:color w:val="000000"/>
          <w:kern w:val="0"/>
          <w:sz w:val="32"/>
          <w:szCs w:val="32"/>
          <w:lang w:val="en-US" w:eastAsia="zh-CN" w:bidi="ar-SA"/>
        </w:rPr>
      </w:pPr>
      <w:bookmarkStart w:id="94" w:name="_Toc20063"/>
      <w:r>
        <w:rPr>
          <w:rFonts w:hint="eastAsia" w:ascii="仿宋_GB2312" w:hAnsi="Times New Roman" w:eastAsia="仿宋_GB2312" w:cs="Times New Roman"/>
          <w:b w:val="0"/>
          <w:bCs w:val="0"/>
          <w:color w:val="000000"/>
          <w:kern w:val="0"/>
          <w:sz w:val="32"/>
          <w:szCs w:val="32"/>
          <w:lang w:val="en-US" w:eastAsia="zh-CN" w:bidi="ar-SA"/>
        </w:rPr>
        <w:t>六、一般公共预算财政拨款支出决算表</w:t>
      </w:r>
      <w:bookmarkEnd w:id="93"/>
      <w:bookmarkEnd w:id="94"/>
    </w:p>
    <w:p>
      <w:pPr>
        <w:pStyle w:val="4"/>
        <w:rPr>
          <w:rFonts w:hint="eastAsia" w:ascii="仿宋_GB2312" w:hAnsi="Times New Roman" w:eastAsia="仿宋_GB2312" w:cs="Times New Roman"/>
          <w:b w:val="0"/>
          <w:bCs w:val="0"/>
          <w:color w:val="000000"/>
          <w:kern w:val="0"/>
          <w:sz w:val="32"/>
          <w:szCs w:val="32"/>
          <w:lang w:val="en-US" w:eastAsia="zh-CN" w:bidi="ar-SA"/>
        </w:rPr>
      </w:pPr>
      <w:bookmarkStart w:id="95" w:name="_Toc1375"/>
      <w:bookmarkStart w:id="96" w:name="_Toc15396625"/>
      <w:r>
        <w:rPr>
          <w:rFonts w:hint="eastAsia" w:ascii="仿宋_GB2312" w:hAnsi="Times New Roman" w:eastAsia="仿宋_GB2312" w:cs="Times New Roman"/>
          <w:b w:val="0"/>
          <w:bCs w:val="0"/>
          <w:color w:val="000000"/>
          <w:kern w:val="0"/>
          <w:sz w:val="32"/>
          <w:szCs w:val="32"/>
          <w:lang w:val="en-US" w:eastAsia="zh-CN" w:bidi="ar-SA"/>
        </w:rPr>
        <w:t>七、一般公共预算财政拨款支出决算明细表</w:t>
      </w:r>
      <w:bookmarkEnd w:id="95"/>
      <w:bookmarkEnd w:id="96"/>
    </w:p>
    <w:p>
      <w:pPr>
        <w:pStyle w:val="4"/>
        <w:rPr>
          <w:rFonts w:hint="eastAsia" w:ascii="仿宋_GB2312" w:hAnsi="Times New Roman" w:eastAsia="仿宋_GB2312" w:cs="Times New Roman"/>
          <w:b w:val="0"/>
          <w:bCs w:val="0"/>
          <w:color w:val="000000"/>
          <w:kern w:val="0"/>
          <w:sz w:val="32"/>
          <w:szCs w:val="32"/>
          <w:lang w:val="en-US" w:eastAsia="zh-CN" w:bidi="ar-SA"/>
        </w:rPr>
      </w:pPr>
      <w:bookmarkStart w:id="97" w:name="_Toc15396626"/>
      <w:bookmarkStart w:id="98" w:name="_Toc2827"/>
      <w:r>
        <w:rPr>
          <w:rFonts w:hint="eastAsia" w:ascii="仿宋_GB2312" w:hAnsi="Times New Roman" w:eastAsia="仿宋_GB2312" w:cs="Times New Roman"/>
          <w:b w:val="0"/>
          <w:bCs w:val="0"/>
          <w:color w:val="000000"/>
          <w:kern w:val="0"/>
          <w:sz w:val="32"/>
          <w:szCs w:val="32"/>
          <w:lang w:val="en-US" w:eastAsia="zh-CN" w:bidi="ar-SA"/>
        </w:rPr>
        <w:t>八、一般公共预算财政拨款基本支出决算表</w:t>
      </w:r>
      <w:bookmarkEnd w:id="97"/>
      <w:bookmarkEnd w:id="98"/>
    </w:p>
    <w:p>
      <w:pPr>
        <w:pStyle w:val="4"/>
        <w:rPr>
          <w:rFonts w:hint="eastAsia" w:ascii="仿宋_GB2312" w:hAnsi="Times New Roman" w:eastAsia="仿宋_GB2312" w:cs="Times New Roman"/>
          <w:b w:val="0"/>
          <w:bCs w:val="0"/>
          <w:color w:val="000000"/>
          <w:kern w:val="0"/>
          <w:sz w:val="32"/>
          <w:szCs w:val="32"/>
          <w:lang w:val="en-US" w:eastAsia="zh-CN" w:bidi="ar-SA"/>
        </w:rPr>
      </w:pPr>
      <w:bookmarkStart w:id="99" w:name="_Toc15396627"/>
      <w:bookmarkStart w:id="100" w:name="_Toc28145"/>
      <w:r>
        <w:rPr>
          <w:rFonts w:hint="eastAsia" w:ascii="仿宋_GB2312" w:hAnsi="Times New Roman" w:eastAsia="仿宋_GB2312" w:cs="Times New Roman"/>
          <w:b w:val="0"/>
          <w:bCs w:val="0"/>
          <w:color w:val="000000"/>
          <w:kern w:val="0"/>
          <w:sz w:val="32"/>
          <w:szCs w:val="32"/>
          <w:lang w:val="en-US" w:eastAsia="zh-CN" w:bidi="ar-SA"/>
        </w:rPr>
        <w:t>九、一般公共预算财政拨款项目支出决算表</w:t>
      </w:r>
      <w:bookmarkEnd w:id="99"/>
      <w:r>
        <w:rPr>
          <w:rFonts w:hint="eastAsia" w:ascii="仿宋_GB2312" w:hAnsi="Times New Roman" w:eastAsia="仿宋_GB2312" w:cs="Times New Roman"/>
          <w:b w:val="0"/>
          <w:bCs w:val="0"/>
          <w:color w:val="000000"/>
          <w:kern w:val="0"/>
          <w:sz w:val="32"/>
          <w:szCs w:val="32"/>
          <w:lang w:val="en-US" w:eastAsia="zh-CN" w:bidi="ar-SA"/>
        </w:rPr>
        <w:t>（此表无数据）</w:t>
      </w:r>
      <w:bookmarkEnd w:id="100"/>
    </w:p>
    <w:p>
      <w:pPr>
        <w:pStyle w:val="4"/>
        <w:rPr>
          <w:rFonts w:hint="eastAsia" w:ascii="仿宋_GB2312" w:hAnsi="Times New Roman" w:eastAsia="仿宋_GB2312" w:cs="Times New Roman"/>
          <w:b w:val="0"/>
          <w:bCs w:val="0"/>
          <w:color w:val="000000"/>
          <w:kern w:val="0"/>
          <w:sz w:val="32"/>
          <w:szCs w:val="32"/>
          <w:lang w:val="en-US" w:eastAsia="zh-CN" w:bidi="ar-SA"/>
        </w:rPr>
      </w:pPr>
      <w:bookmarkStart w:id="101" w:name="_Toc15396628"/>
      <w:bookmarkStart w:id="102" w:name="_Toc19886"/>
      <w:r>
        <w:rPr>
          <w:rFonts w:hint="eastAsia" w:ascii="仿宋_GB2312" w:hAnsi="Times New Roman" w:eastAsia="仿宋_GB2312" w:cs="Times New Roman"/>
          <w:b w:val="0"/>
          <w:bCs w:val="0"/>
          <w:color w:val="000000"/>
          <w:kern w:val="0"/>
          <w:sz w:val="32"/>
          <w:szCs w:val="32"/>
          <w:lang w:val="en-US" w:eastAsia="zh-CN" w:bidi="ar-SA"/>
        </w:rPr>
        <w:t>十、</w:t>
      </w:r>
      <w:bookmarkEnd w:id="101"/>
      <w:r>
        <w:rPr>
          <w:rFonts w:hint="eastAsia" w:ascii="仿宋_GB2312" w:hAnsi="Times New Roman" w:eastAsia="仿宋_GB2312" w:cs="Times New Roman"/>
          <w:b w:val="0"/>
          <w:bCs w:val="0"/>
          <w:color w:val="000000"/>
          <w:kern w:val="0"/>
          <w:sz w:val="32"/>
          <w:szCs w:val="32"/>
          <w:lang w:val="en-US" w:eastAsia="zh-CN" w:bidi="ar-SA"/>
        </w:rPr>
        <w:t>政府性基金预算财政拨款收入支出决算表（此表无数据）</w:t>
      </w:r>
      <w:bookmarkEnd w:id="102"/>
    </w:p>
    <w:p>
      <w:pPr>
        <w:pStyle w:val="4"/>
        <w:rPr>
          <w:rFonts w:hint="eastAsia" w:ascii="仿宋_GB2312" w:hAnsi="Times New Roman" w:eastAsia="仿宋_GB2312" w:cs="Times New Roman"/>
          <w:b w:val="0"/>
          <w:bCs w:val="0"/>
          <w:color w:val="000000"/>
          <w:kern w:val="0"/>
          <w:sz w:val="32"/>
          <w:szCs w:val="32"/>
          <w:lang w:val="en-US" w:eastAsia="zh-CN" w:bidi="ar-SA"/>
        </w:rPr>
      </w:pPr>
      <w:bookmarkStart w:id="103" w:name="_Toc15396629"/>
      <w:bookmarkStart w:id="104" w:name="_Toc10396"/>
      <w:r>
        <w:rPr>
          <w:rFonts w:hint="eastAsia" w:ascii="仿宋_GB2312" w:hAnsi="Times New Roman" w:eastAsia="仿宋_GB2312" w:cs="Times New Roman"/>
          <w:b w:val="0"/>
          <w:bCs w:val="0"/>
          <w:color w:val="000000"/>
          <w:kern w:val="0"/>
          <w:sz w:val="32"/>
          <w:szCs w:val="32"/>
          <w:lang w:val="en-US" w:eastAsia="zh-CN" w:bidi="ar-SA"/>
        </w:rPr>
        <w:t>十一、</w:t>
      </w:r>
      <w:bookmarkEnd w:id="103"/>
      <w:r>
        <w:rPr>
          <w:rFonts w:hint="eastAsia" w:ascii="仿宋_GB2312" w:hAnsi="Times New Roman" w:eastAsia="仿宋_GB2312" w:cs="Times New Roman"/>
          <w:b w:val="0"/>
          <w:bCs w:val="0"/>
          <w:color w:val="000000"/>
          <w:kern w:val="0"/>
          <w:sz w:val="32"/>
          <w:szCs w:val="32"/>
          <w:lang w:val="en-US" w:eastAsia="zh-CN" w:bidi="ar-SA"/>
        </w:rPr>
        <w:t>国有资本经营预算财政拨款收入支出决算表（此表无数据）</w:t>
      </w:r>
      <w:bookmarkEnd w:id="104"/>
    </w:p>
    <w:p>
      <w:pPr>
        <w:pStyle w:val="4"/>
        <w:rPr>
          <w:rFonts w:hint="eastAsia" w:ascii="仿宋_GB2312" w:hAnsi="Times New Roman" w:eastAsia="仿宋_GB2312" w:cs="Times New Roman"/>
          <w:b w:val="0"/>
          <w:bCs w:val="0"/>
          <w:color w:val="000000"/>
          <w:kern w:val="0"/>
          <w:sz w:val="32"/>
          <w:szCs w:val="32"/>
          <w:lang w:val="en-US" w:eastAsia="zh-CN" w:bidi="ar-SA"/>
        </w:rPr>
      </w:pPr>
      <w:bookmarkStart w:id="105" w:name="_Toc15396630"/>
      <w:bookmarkStart w:id="106" w:name="_Toc12048"/>
      <w:r>
        <w:rPr>
          <w:rFonts w:hint="eastAsia" w:ascii="仿宋_GB2312" w:hAnsi="Times New Roman" w:eastAsia="仿宋_GB2312" w:cs="Times New Roman"/>
          <w:b w:val="0"/>
          <w:bCs w:val="0"/>
          <w:color w:val="000000"/>
          <w:kern w:val="0"/>
          <w:sz w:val="32"/>
          <w:szCs w:val="32"/>
          <w:lang w:val="en-US" w:eastAsia="zh-CN" w:bidi="ar-SA"/>
        </w:rPr>
        <w:t>十二、</w:t>
      </w:r>
      <w:bookmarkEnd w:id="105"/>
      <w:r>
        <w:rPr>
          <w:rFonts w:hint="eastAsia" w:ascii="仿宋_GB2312" w:hAnsi="Times New Roman" w:eastAsia="仿宋_GB2312" w:cs="Times New Roman"/>
          <w:b w:val="0"/>
          <w:bCs w:val="0"/>
          <w:color w:val="000000"/>
          <w:kern w:val="0"/>
          <w:sz w:val="32"/>
          <w:szCs w:val="32"/>
          <w:lang w:val="en-US" w:eastAsia="zh-CN" w:bidi="ar-SA"/>
        </w:rPr>
        <w:t>国有资本经营预算财政拨款支出决算表（此表无数据）</w:t>
      </w:r>
      <w:bookmarkEnd w:id="106"/>
    </w:p>
    <w:p>
      <w:pPr>
        <w:pStyle w:val="4"/>
        <w:rPr>
          <w:rFonts w:hint="eastAsia" w:ascii="仿宋_GB2312" w:hAnsi="Times New Roman" w:eastAsia="仿宋_GB2312" w:cs="Times New Roman"/>
          <w:b w:val="0"/>
          <w:bCs w:val="0"/>
          <w:color w:val="000000"/>
          <w:kern w:val="0"/>
          <w:sz w:val="32"/>
          <w:szCs w:val="32"/>
          <w:lang w:val="en-US" w:eastAsia="zh-CN" w:bidi="ar-SA"/>
        </w:rPr>
      </w:pPr>
      <w:bookmarkStart w:id="107" w:name="_Toc15396631"/>
      <w:bookmarkStart w:id="108" w:name="_Toc1256"/>
      <w:r>
        <w:rPr>
          <w:rFonts w:hint="eastAsia" w:ascii="仿宋_GB2312" w:hAnsi="Times New Roman" w:eastAsia="仿宋_GB2312" w:cs="Times New Roman"/>
          <w:b w:val="0"/>
          <w:bCs w:val="0"/>
          <w:color w:val="000000"/>
          <w:kern w:val="0"/>
          <w:sz w:val="32"/>
          <w:szCs w:val="32"/>
          <w:lang w:val="en-US" w:eastAsia="zh-CN" w:bidi="ar-SA"/>
        </w:rPr>
        <w:t>十三、</w:t>
      </w:r>
      <w:bookmarkEnd w:id="107"/>
      <w:r>
        <w:rPr>
          <w:rFonts w:hint="eastAsia" w:ascii="仿宋_GB2312" w:hAnsi="Times New Roman" w:eastAsia="仿宋_GB2312" w:cs="Times New Roman"/>
          <w:b w:val="0"/>
          <w:bCs w:val="0"/>
          <w:color w:val="000000"/>
          <w:kern w:val="0"/>
          <w:sz w:val="32"/>
          <w:szCs w:val="32"/>
          <w:lang w:val="en-US" w:eastAsia="zh-CN" w:bidi="ar-SA"/>
        </w:rPr>
        <w:t>财政拨款“三公”经费支出决算表</w:t>
      </w:r>
      <w:bookmarkEnd w:id="108"/>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15</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wOWMxYTQ5Y2MxN2RiM2FlNzEwMzU3ZmM2MWZlNG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54D1"/>
    <w:rsid w:val="00166E95"/>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049A"/>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524A"/>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346460"/>
    <w:rsid w:val="017E418B"/>
    <w:rsid w:val="01FD1236"/>
    <w:rsid w:val="0274041A"/>
    <w:rsid w:val="053A62B5"/>
    <w:rsid w:val="06B72100"/>
    <w:rsid w:val="0A2032A3"/>
    <w:rsid w:val="0B8A37D8"/>
    <w:rsid w:val="0BC70232"/>
    <w:rsid w:val="10C055FF"/>
    <w:rsid w:val="118107EC"/>
    <w:rsid w:val="11DD6519"/>
    <w:rsid w:val="14B0163B"/>
    <w:rsid w:val="153E0B27"/>
    <w:rsid w:val="15F60148"/>
    <w:rsid w:val="16BB723D"/>
    <w:rsid w:val="16EF01EB"/>
    <w:rsid w:val="18015F3F"/>
    <w:rsid w:val="181B5077"/>
    <w:rsid w:val="19074E69"/>
    <w:rsid w:val="191D2B69"/>
    <w:rsid w:val="1BE8440E"/>
    <w:rsid w:val="1C8418DC"/>
    <w:rsid w:val="1D155CEE"/>
    <w:rsid w:val="200A79C3"/>
    <w:rsid w:val="20AA31D4"/>
    <w:rsid w:val="20F57F95"/>
    <w:rsid w:val="22907924"/>
    <w:rsid w:val="23FC322E"/>
    <w:rsid w:val="240371BF"/>
    <w:rsid w:val="245D4241"/>
    <w:rsid w:val="25711CC6"/>
    <w:rsid w:val="25C741E6"/>
    <w:rsid w:val="2613148A"/>
    <w:rsid w:val="26E11B94"/>
    <w:rsid w:val="27842671"/>
    <w:rsid w:val="29FD04D3"/>
    <w:rsid w:val="2A9C3DF6"/>
    <w:rsid w:val="2ABE7A3E"/>
    <w:rsid w:val="2ACC22FF"/>
    <w:rsid w:val="2CA234A8"/>
    <w:rsid w:val="2CF34D78"/>
    <w:rsid w:val="2CF43AE1"/>
    <w:rsid w:val="2EFA178C"/>
    <w:rsid w:val="2F7E270C"/>
    <w:rsid w:val="30B46D73"/>
    <w:rsid w:val="319F7F4E"/>
    <w:rsid w:val="33174961"/>
    <w:rsid w:val="33DF0344"/>
    <w:rsid w:val="3469221F"/>
    <w:rsid w:val="34D52B35"/>
    <w:rsid w:val="35CA6E72"/>
    <w:rsid w:val="36903146"/>
    <w:rsid w:val="37D00F65"/>
    <w:rsid w:val="383D272C"/>
    <w:rsid w:val="386E29B4"/>
    <w:rsid w:val="39AE70AB"/>
    <w:rsid w:val="39F90AA6"/>
    <w:rsid w:val="3C0C0783"/>
    <w:rsid w:val="3D461F68"/>
    <w:rsid w:val="3D8A3D4E"/>
    <w:rsid w:val="3E383D96"/>
    <w:rsid w:val="3E9F0E79"/>
    <w:rsid w:val="3F9F3A96"/>
    <w:rsid w:val="4115700E"/>
    <w:rsid w:val="41AB23F5"/>
    <w:rsid w:val="48BF60AB"/>
    <w:rsid w:val="493C27E9"/>
    <w:rsid w:val="496F39ED"/>
    <w:rsid w:val="49FF41D3"/>
    <w:rsid w:val="4B452947"/>
    <w:rsid w:val="4BE068DB"/>
    <w:rsid w:val="4BF6002B"/>
    <w:rsid w:val="4ECE2238"/>
    <w:rsid w:val="4FA964E9"/>
    <w:rsid w:val="4FF3673D"/>
    <w:rsid w:val="5059001E"/>
    <w:rsid w:val="51070B9E"/>
    <w:rsid w:val="510F0B7F"/>
    <w:rsid w:val="511E00EE"/>
    <w:rsid w:val="51DB4B86"/>
    <w:rsid w:val="52C86ACD"/>
    <w:rsid w:val="53CD5923"/>
    <w:rsid w:val="55333C3E"/>
    <w:rsid w:val="56680BF1"/>
    <w:rsid w:val="56D8300B"/>
    <w:rsid w:val="571C5B06"/>
    <w:rsid w:val="63841AEA"/>
    <w:rsid w:val="645C1CA7"/>
    <w:rsid w:val="64CA39A1"/>
    <w:rsid w:val="65756DE9"/>
    <w:rsid w:val="65AA7938"/>
    <w:rsid w:val="65E67727"/>
    <w:rsid w:val="672836B9"/>
    <w:rsid w:val="685651F8"/>
    <w:rsid w:val="69630ADE"/>
    <w:rsid w:val="6A70036B"/>
    <w:rsid w:val="6AA075A3"/>
    <w:rsid w:val="6AC8479A"/>
    <w:rsid w:val="6C4A05C8"/>
    <w:rsid w:val="6D3B1A89"/>
    <w:rsid w:val="702F196E"/>
    <w:rsid w:val="711B1D67"/>
    <w:rsid w:val="71BF4EC2"/>
    <w:rsid w:val="71D61A9F"/>
    <w:rsid w:val="72734D90"/>
    <w:rsid w:val="7412278C"/>
    <w:rsid w:val="76D91687"/>
    <w:rsid w:val="79E7B28D"/>
    <w:rsid w:val="7A0F14BB"/>
    <w:rsid w:val="7CD64C47"/>
    <w:rsid w:val="7E4F7D23"/>
    <w:rsid w:val="7EB931D0"/>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3"/>
    <w:qFormat/>
    <w:uiPriority w:val="9"/>
    <w:rPr>
      <w:rFonts w:ascii="Times New Roman" w:hAnsi="Times New Roman"/>
      <w:b/>
      <w:bCs/>
      <w:kern w:val="44"/>
      <w:sz w:val="44"/>
      <w:szCs w:val="44"/>
    </w:rPr>
  </w:style>
  <w:style w:type="character" w:customStyle="1" w:styleId="25">
    <w:name w:val="标题 2 字符"/>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WPSOffice手动目录 1"/>
    <w:qFormat/>
    <w:uiPriority w:val="0"/>
    <w:pPr>
      <w:ind w:leftChars="0"/>
    </w:pPr>
    <w:rPr>
      <w:rFonts w:asciiTheme="minorHAnsi" w:hAnsiTheme="minorHAnsi" w:eastAsiaTheme="minorEastAsia" w:cstheme="minorBidi"/>
      <w:sz w:val="20"/>
      <w:szCs w:val="20"/>
    </w:rPr>
  </w:style>
  <w:style w:type="paragraph" w:customStyle="1" w:styleId="31">
    <w:name w:val="WPSOffice手动目录 2"/>
    <w:qFormat/>
    <w:uiPriority w:val="0"/>
    <w:pPr>
      <w:ind w:leftChars="200"/>
    </w:pPr>
    <w:rPr>
      <w:rFonts w:asciiTheme="minorHAnsi" w:hAnsiTheme="minorHAnsi" w:eastAsiaTheme="minorEastAsia" w:cstheme="minorBidi"/>
      <w:sz w:val="20"/>
      <w:szCs w:val="20"/>
    </w:rPr>
  </w:style>
  <w:style w:type="paragraph" w:customStyle="1" w:styleId="32">
    <w:name w:val="WPSOffice手动目录 3"/>
    <w:qFormat/>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0" i="0" u="none" strike="noStrike" kern="1200" cap="none" spc="50" normalizeH="0" baseline="0">
                <a:solidFill>
                  <a:schemeClr val="tx1">
                    <a:lumMod val="65000"/>
                    <a:lumOff val="35000"/>
                  </a:schemeClr>
                </a:solidFill>
                <a:latin typeface="+mj-lt"/>
                <a:ea typeface="+mj-ea"/>
                <a:cs typeface="+mj-cs"/>
              </a:defRPr>
            </a:pPr>
            <a:r>
              <a:t>收入支出对比</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2021年度</c:v>
                </c:pt>
              </c:strCache>
            </c:strRef>
          </c:tx>
          <c:spPr>
            <a:solidFill>
              <a:schemeClr val="accent6">
                <a:alpha val="7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收入</c:v>
                </c:pt>
                <c:pt idx="1">
                  <c:v>支出</c:v>
                </c:pt>
              </c:strCache>
            </c:strRef>
          </c:cat>
          <c:val>
            <c:numRef>
              <c:f>Sheet1!$B$2:$B$3</c:f>
              <c:numCache>
                <c:formatCode>General</c:formatCode>
                <c:ptCount val="2"/>
                <c:pt idx="0">
                  <c:v>1233.54</c:v>
                </c:pt>
                <c:pt idx="1">
                  <c:v>1233.54</c:v>
                </c:pt>
              </c:numCache>
            </c:numRef>
          </c:val>
        </c:ser>
        <c:ser>
          <c:idx val="1"/>
          <c:order val="1"/>
          <c:tx>
            <c:strRef>
              <c:f>Sheet1!$C$1</c:f>
              <c:strCache>
                <c:ptCount val="1"/>
                <c:pt idx="0">
                  <c:v>2022年度</c:v>
                </c:pt>
              </c:strCache>
            </c:strRef>
          </c:tx>
          <c:spPr>
            <a:solidFill>
              <a:schemeClr val="accent5">
                <a:alpha val="7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收入</c:v>
                </c:pt>
                <c:pt idx="1">
                  <c:v>支出</c:v>
                </c:pt>
              </c:strCache>
            </c:strRef>
          </c:cat>
          <c:val>
            <c:numRef>
              <c:f>Sheet1!$C$2:$C$3</c:f>
              <c:numCache>
                <c:formatCode>General</c:formatCode>
                <c:ptCount val="2"/>
                <c:pt idx="0">
                  <c:v>708.65</c:v>
                </c:pt>
                <c:pt idx="1">
                  <c:v>708.65</c:v>
                </c:pt>
              </c:numCache>
            </c:numRef>
          </c:val>
        </c:ser>
        <c:dLbls>
          <c:showLegendKey val="0"/>
          <c:showVal val="1"/>
          <c:showCatName val="0"/>
          <c:showSerName val="0"/>
          <c:showPercent val="0"/>
          <c:showBubbleSize val="0"/>
        </c:dLbls>
        <c:gapWidth val="80"/>
        <c:overlap val="25"/>
        <c:axId val="645858728"/>
        <c:axId val="829565038"/>
      </c:barChart>
      <c:catAx>
        <c:axId val="645858728"/>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cap="none" spc="20" normalizeH="0" baseline="0">
                <a:solidFill>
                  <a:schemeClr val="tx1">
                    <a:lumMod val="65000"/>
                    <a:lumOff val="35000"/>
                  </a:schemeClr>
                </a:solidFill>
                <a:latin typeface="+mn-lt"/>
                <a:ea typeface="+mn-ea"/>
                <a:cs typeface="+mn-cs"/>
              </a:defRPr>
            </a:pPr>
          </a:p>
        </c:txPr>
        <c:crossAx val="829565038"/>
        <c:crosses val="autoZero"/>
        <c:auto val="1"/>
        <c:lblAlgn val="ctr"/>
        <c:lblOffset val="100"/>
        <c:noMultiLvlLbl val="0"/>
      </c:catAx>
      <c:valAx>
        <c:axId val="82956503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spc="20" baseline="0">
                <a:solidFill>
                  <a:schemeClr val="tx1">
                    <a:lumMod val="65000"/>
                    <a:lumOff val="35000"/>
                  </a:schemeClr>
                </a:solidFill>
                <a:latin typeface="+mn-lt"/>
                <a:ea typeface="+mn-ea"/>
                <a:cs typeface="+mn-cs"/>
              </a:defRPr>
            </a:pPr>
          </a:p>
        </c:txPr>
        <c:crossAx val="6458587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cap="none" spc="20" baseline="0">
                <a:solidFill>
                  <a:schemeClr val="tx1">
                    <a:lumMod val="50000"/>
                    <a:lumOff val="50000"/>
                  </a:schemeClr>
                </a:solidFill>
                <a:latin typeface="+mn-lt"/>
                <a:ea typeface="+mn-ea"/>
                <a:cs typeface="+mn-cs"/>
              </a:defRPr>
            </a:pPr>
            <a:r>
              <a:t>收入决算结构</a:t>
            </a:r>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701815674557573"/>
          <c:y val="0.219147633623734"/>
          <c:w val="0.835504481728338"/>
          <c:h val="0.582660701671768"/>
        </c:manualLayout>
      </c:layout>
      <c:pie3DChart>
        <c:varyColors val="1"/>
        <c:ser>
          <c:idx val="0"/>
          <c:order val="0"/>
          <c:tx>
            <c:strRef>
              <c:f>Sheet1!$B$1</c:f>
              <c:strCache>
                <c:ptCount val="1"/>
                <c:pt idx="0">
                  <c:v>收入</c:v>
                </c:pt>
              </c:strCache>
            </c:strRef>
          </c:tx>
          <c:spPr>
            <a:scene3d>
              <a:camera prst="orthographicFront"/>
              <a:lightRig rig="threePt" dir="t"/>
            </a:scene3d>
            <a:sp3d contourW="9525"/>
          </c:spPr>
          <c:explosion val="0"/>
          <c:dPt>
            <c:idx val="0"/>
            <c:bubble3D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a:noFill/>
              </a:ln>
              <a:effectLst>
                <a:outerShdw blurRad="40000" dist="20000" dir="5400000" rotWithShape="0">
                  <a:srgbClr val="000000">
                    <a:alpha val="38000"/>
                  </a:srgbClr>
                </a:outerShdw>
              </a:effectLst>
            </c:spPr>
          </c:dPt>
          <c:dPt>
            <c:idx val="1"/>
            <c:bubble3D val="0"/>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a:noFill/>
              </a:ln>
              <a:effectLst>
                <a:outerShdw blurRad="40000" dist="20000" dir="5400000" rotWithShape="0">
                  <a:srgbClr val="000000">
                    <a:alpha val="38000"/>
                  </a:srgbClr>
                </a:outerShdw>
              </a:effectLst>
            </c:spPr>
          </c:dPt>
          <c:dLbls>
            <c:dLbl>
              <c:idx val="0"/>
              <c:layout/>
              <c:dLblPos val="bestFit"/>
              <c:showLegendKey val="0"/>
              <c:showVal val="1"/>
              <c:showCatName val="0"/>
              <c:showSerName val="0"/>
              <c:showPercent val="1"/>
              <c:showBubbleSize val="0"/>
              <c:extLst>
                <c:ext xmlns:c15="http://schemas.microsoft.com/office/drawing/2012/chart" uri="{CE6537A1-D6FC-4f65-9D91-7224C49458BB}"/>
              </c:extLst>
            </c:dLbl>
            <c:dLbl>
              <c:idx val="1"/>
              <c:layout/>
              <c:dLblPos val="bestFit"/>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一般公共预算</c:v>
                </c:pt>
                <c:pt idx="1">
                  <c:v>年初结转结余</c:v>
                </c:pt>
              </c:strCache>
            </c:strRef>
          </c:cat>
          <c:val>
            <c:numRef>
              <c:f>Sheet1!$B$2:$B$3</c:f>
              <c:numCache>
                <c:formatCode>General</c:formatCode>
                <c:ptCount val="2"/>
                <c:pt idx="0">
                  <c:v>690.4</c:v>
                </c:pt>
                <c:pt idx="1">
                  <c:v>18.25</c:v>
                </c:pt>
              </c:numCache>
            </c:numRef>
          </c:val>
        </c:ser>
        <c:dLbls>
          <c:showLegendKey val="0"/>
          <c:showVal val="0"/>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0" vertOverflow="ellipsis" vert="horz" wrap="square" anchor="ctr" anchorCtr="1"/>
          <a:lstStyle/>
          <a:p>
            <a:pPr defTabSz="914400">
              <a:defRPr lang="zh-CN" sz="1400" b="0" i="0" u="none" strike="noStrike" kern="1200" cap="none" spc="20" baseline="0">
                <a:solidFill>
                  <a:schemeClr val="tx1">
                    <a:lumMod val="50000"/>
                    <a:lumOff val="50000"/>
                  </a:schemeClr>
                </a:solidFill>
                <a:latin typeface="+mn-lt"/>
                <a:ea typeface="+mn-ea"/>
                <a:cs typeface="+mn-cs"/>
              </a:defRPr>
            </a:pPr>
            <a:r>
              <a:t>支出决算结构</a:t>
            </a:r>
          </a:p>
        </c:rich>
      </c:tx>
      <c:layout/>
      <c:overlay val="0"/>
      <c:spPr>
        <a:noFill/>
        <a:ln>
          <a:noFill/>
        </a:ln>
        <a:effectLst/>
      </c:spPr>
    </c:title>
    <c:autoTitleDeleted val="0"/>
    <c:plotArea>
      <c:layout/>
      <c:pieChart>
        <c:varyColors val="1"/>
        <c:ser>
          <c:idx val="0"/>
          <c:order val="0"/>
          <c:tx>
            <c:strRef>
              <c:f>Sheet1!$B$1</c:f>
              <c:strCache>
                <c:ptCount val="1"/>
                <c:pt idx="0">
                  <c:v>支出决算结构</c:v>
                </c:pt>
              </c:strCache>
            </c:strRef>
          </c:tx>
          <c:spPr/>
          <c:explosion val="0"/>
          <c:dPt>
            <c:idx val="0"/>
            <c:bubble3D val="0"/>
            <c:spPr>
              <a:gradFill rotWithShape="1">
                <a:gsLst>
                  <a:gs pos="0">
                    <a:schemeClr val="dk1">
                      <a:tint val="88500"/>
                      <a:tint val="50000"/>
                      <a:satMod val="300000"/>
                    </a:schemeClr>
                  </a:gs>
                  <a:gs pos="35000">
                    <a:schemeClr val="dk1">
                      <a:tint val="88500"/>
                      <a:tint val="37000"/>
                      <a:satMod val="300000"/>
                    </a:schemeClr>
                  </a:gs>
                  <a:gs pos="100000">
                    <a:schemeClr val="dk1">
                      <a:tint val="88500"/>
                      <a:tint val="15000"/>
                      <a:satMod val="350000"/>
                    </a:schemeClr>
                  </a:gs>
                </a:gsLst>
                <a:lin ang="16200000" scaled="1"/>
              </a:gradFill>
              <a:ln w="9525" cap="flat" cmpd="sng" algn="ctr">
                <a:solidFill>
                  <a:schemeClr val="dk1">
                    <a:tint val="88500"/>
                    <a:shade val="95000"/>
                  </a:schemeClr>
                </a:solidFill>
                <a:round/>
              </a:ln>
              <a:effectLst>
                <a:outerShdw blurRad="40000" dist="20000" dir="5400000" rotWithShape="0">
                  <a:srgbClr val="000000">
                    <a:alpha val="38000"/>
                  </a:srgbClr>
                </a:outerShdw>
              </a:effectLst>
            </c:spPr>
          </c:dPt>
          <c:dLbls>
            <c:dLbl>
              <c:idx val="0"/>
              <c:layout>
                <c:manualLayout>
                  <c:x val="-0.124607792329342"/>
                  <c:y val="0.114993248475207"/>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r>
                      <a:t>基本支出658.33万元，占53.37%</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c:f>
              <c:strCache>
                <c:ptCount val="1"/>
                <c:pt idx="0">
                  <c:v>基本支出</c:v>
                </c:pt>
              </c:strCache>
            </c:strRef>
          </c:cat>
          <c:val>
            <c:numRef>
              <c:f>Sheet1!$B$2</c:f>
              <c:numCache>
                <c:formatCode>General</c:formatCode>
                <c:ptCount val="1"/>
                <c:pt idx="0">
                  <c:v>708.65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zh-CN" altLang="en-US" b="1">
                <a:solidFill>
                  <a:schemeClr val="tx1">
                    <a:lumMod val="50000"/>
                  </a:schemeClr>
                </a:solidFill>
              </a:rPr>
              <a:t>财政拨款</a:t>
            </a:r>
            <a:r>
              <a:rPr lang="zh-CN" altLang="en-US" b="1">
                <a:solidFill>
                  <a:schemeClr val="tx1">
                    <a:lumMod val="50000"/>
                  </a:schemeClr>
                </a:solidFill>
                <a:uFillTx/>
              </a:rPr>
              <a:t>收支</a:t>
            </a:r>
            <a:r>
              <a:rPr lang="zh-CN" altLang="en-US" b="1">
                <a:solidFill>
                  <a:schemeClr val="tx1">
                    <a:lumMod val="50000"/>
                  </a:schemeClr>
                </a:solidFill>
              </a:rPr>
              <a:t>对比表</a:t>
            </a:r>
            <a:endParaRPr lang="zh-CN" altLang="en-US" b="1">
              <a:solidFill>
                <a:schemeClr val="tx1">
                  <a:lumMod val="50000"/>
                </a:schemeClr>
              </a:solidFill>
            </a:endParaRPr>
          </a:p>
        </c:rich>
      </c:tx>
      <c:layout>
        <c:manualLayout>
          <c:xMode val="edge"/>
          <c:yMode val="edge"/>
          <c:x val="0.308568598315998"/>
          <c:y val="0.0157350517008841"/>
        </c:manualLayout>
      </c:layout>
      <c:overlay val="0"/>
      <c:spPr>
        <a:noFill/>
        <a:ln>
          <a:noFill/>
        </a:ln>
        <a:effectLst/>
      </c:spPr>
    </c:title>
    <c:autoTitleDeleted val="0"/>
    <c:plotArea>
      <c:layout>
        <c:manualLayout>
          <c:layoutTarget val="inner"/>
          <c:xMode val="edge"/>
          <c:yMode val="edge"/>
          <c:x val="0.105916360425998"/>
          <c:y val="0.0828516483516484"/>
          <c:w val="0.87555"/>
          <c:h val="0.7605"/>
        </c:manualLayout>
      </c:layout>
      <c:barChart>
        <c:barDir val="col"/>
        <c:grouping val="clustered"/>
        <c:varyColors val="0"/>
        <c:ser>
          <c:idx val="0"/>
          <c:order val="0"/>
          <c:tx>
            <c:strRef>
              <c:f>Sheet1!$B$1</c:f>
              <c:strCache>
                <c:ptCount val="1"/>
                <c:pt idx="0">
                  <c:v>2021年度</c:v>
                </c:pt>
              </c:strCache>
            </c:strRef>
          </c:tx>
          <c:spPr>
            <a:solidFill>
              <a:schemeClr val="tx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Sheet1!$B$2:$B$3</c:f>
              <c:numCache>
                <c:formatCode>General</c:formatCode>
                <c:ptCount val="2"/>
                <c:pt idx="0">
                  <c:v>1233.54</c:v>
                </c:pt>
                <c:pt idx="1">
                  <c:v>1233.54</c:v>
                </c:pt>
              </c:numCache>
            </c:numRef>
          </c:val>
        </c:ser>
        <c:ser>
          <c:idx val="1"/>
          <c:order val="1"/>
          <c:tx>
            <c:strRef>
              <c:f>Sheet1!$C$1</c:f>
              <c:strCache>
                <c:ptCount val="1"/>
                <c:pt idx="0">
                  <c:v>2022年度</c:v>
                </c:pt>
              </c:strCache>
            </c:strRef>
          </c:tx>
          <c:spPr>
            <a:solidFill>
              <a:schemeClr val="accent4"/>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Sheet1!$C$2:$C$3</c:f>
              <c:numCache>
                <c:formatCode>General</c:formatCode>
                <c:ptCount val="2"/>
                <c:pt idx="0">
                  <c:v>708.65</c:v>
                </c:pt>
                <c:pt idx="1">
                  <c:v>708.65</c:v>
                </c:pt>
              </c:numCache>
            </c:numRef>
          </c:val>
        </c:ser>
        <c:ser>
          <c:idx val="2"/>
          <c:order val="2"/>
          <c:tx>
            <c:strRef>
              <c:f>Sheet1!$D$1</c:f>
              <c:strCache>
                <c:ptCount val="1"/>
                <c:pt idx="0">
                  <c:v>降幅</c:v>
                </c:pt>
              </c:strCache>
            </c:strRef>
          </c:tx>
          <c:spPr>
            <a:solidFill>
              <a:schemeClr val="accent3"/>
            </a:solidFill>
            <a:ln>
              <a:noFill/>
            </a:ln>
            <a:effectLst/>
          </c:spPr>
          <c:invertIfNegative val="0"/>
          <c:dLbls>
            <c:dLbl>
              <c:idx val="0"/>
              <c:layout>
                <c:manualLayout>
                  <c:x val="0.00844360074280655"/>
                  <c:y val="0.00944078400245037"/>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524.89</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11441307578009"/>
                  <c:y val="0.00449572905739547"/>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 524.89 </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Sheet1!$D$2:$D$3</c:f>
              <c:numCache>
                <c:formatCode>General</c:formatCode>
                <c:ptCount val="2"/>
                <c:pt idx="0">
                  <c:v>-524.89</c:v>
                </c:pt>
                <c:pt idx="1">
                  <c:v>-524.89</c:v>
                </c:pt>
              </c:numCache>
            </c:numRef>
          </c:val>
        </c:ser>
        <c:dLbls>
          <c:showLegendKey val="0"/>
          <c:showVal val="0"/>
          <c:showCatName val="0"/>
          <c:showSerName val="0"/>
          <c:showPercent val="0"/>
          <c:showBubbleSize val="0"/>
        </c:dLbls>
        <c:gapWidth val="219"/>
        <c:overlap val="-27"/>
        <c:axId val="406143146"/>
        <c:axId val="185996679"/>
      </c:barChart>
      <c:catAx>
        <c:axId val="40614314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5996679"/>
        <c:crosses val="autoZero"/>
        <c:auto val="1"/>
        <c:lblAlgn val="ctr"/>
        <c:lblOffset val="100"/>
        <c:noMultiLvlLbl val="0"/>
      </c:catAx>
      <c:valAx>
        <c:axId val="1859966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6143146"/>
        <c:crosses val="autoZero"/>
        <c:crossBetween val="between"/>
      </c:valAx>
      <c:spPr>
        <a:noFill/>
        <a:ln>
          <a:noFill/>
        </a:ln>
        <a:effectLst/>
      </c:spPr>
    </c:plotArea>
    <c:legend>
      <c:legendPos val="b"/>
      <c:layout>
        <c:manualLayout>
          <c:xMode val="edge"/>
          <c:yMode val="edge"/>
          <c:x val="0.340762753838534"/>
          <c:y val="0.92956691143413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0" i="0" u="none" strike="noStrike" kern="1200" cap="none" spc="50" normalizeH="0" baseline="0">
                <a:solidFill>
                  <a:schemeClr val="tx1">
                    <a:lumMod val="65000"/>
                    <a:lumOff val="35000"/>
                  </a:schemeClr>
                </a:solidFill>
                <a:latin typeface="+mj-lt"/>
                <a:ea typeface="+mj-ea"/>
                <a:cs typeface="+mj-cs"/>
              </a:defRPr>
            </a:pPr>
            <a:r>
              <a:t>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2021年度</c:v>
                </c:pt>
              </c:strCache>
            </c:strRef>
          </c:tx>
          <c:spPr>
            <a:solidFill>
              <a:schemeClr val="accent1">
                <a:alpha val="7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c:f>
              <c:strCache>
                <c:ptCount val="1"/>
                <c:pt idx="0">
                  <c:v>支出</c:v>
                </c:pt>
              </c:strCache>
            </c:strRef>
          </c:cat>
          <c:val>
            <c:numRef>
              <c:f>Sheet1!$B$2</c:f>
              <c:numCache>
                <c:formatCode>General</c:formatCode>
                <c:ptCount val="1"/>
                <c:pt idx="0">
                  <c:v>1233.54</c:v>
                </c:pt>
              </c:numCache>
            </c:numRef>
          </c:val>
        </c:ser>
        <c:ser>
          <c:idx val="1"/>
          <c:order val="1"/>
          <c:tx>
            <c:strRef>
              <c:f>Sheet1!$C$1</c:f>
              <c:strCache>
                <c:ptCount val="1"/>
                <c:pt idx="0">
                  <c:v>2022年度</c:v>
                </c:pt>
              </c:strCache>
            </c:strRef>
          </c:tx>
          <c:spPr>
            <a:solidFill>
              <a:schemeClr val="accent3">
                <a:alpha val="7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c:f>
              <c:strCache>
                <c:ptCount val="1"/>
                <c:pt idx="0">
                  <c:v>支出</c:v>
                </c:pt>
              </c:strCache>
            </c:strRef>
          </c:cat>
          <c:val>
            <c:numRef>
              <c:f>Sheet1!$C$2</c:f>
              <c:numCache>
                <c:formatCode>General</c:formatCode>
                <c:ptCount val="1"/>
                <c:pt idx="0">
                  <c:v>708.65</c:v>
                </c:pt>
              </c:numCache>
            </c:numRef>
          </c:val>
        </c:ser>
        <c:ser>
          <c:idx val="2"/>
          <c:order val="2"/>
          <c:tx>
            <c:strRef>
              <c:f>Sheet1!$D$1</c:f>
              <c:strCache>
                <c:ptCount val="1"/>
                <c:pt idx="0">
                  <c:v>降幅 </c:v>
                </c:pt>
              </c:strCache>
            </c:strRef>
          </c:tx>
          <c:spPr>
            <a:solidFill>
              <a:schemeClr val="accent5">
                <a:alpha val="70000"/>
              </a:schemeClr>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1">
                          <a:lumMod val="35000"/>
                          <a:lumOff val="65000"/>
                        </a:schemeClr>
                      </a:solidFill>
                    </a:ln>
                    <a:effectLst/>
                  </c:spPr>
                </c15:leaderLines>
              </c:ext>
            </c:extLst>
          </c:dLbls>
          <c:cat>
            <c:strRef>
              <c:f>Sheet1!$A$2</c:f>
              <c:strCache>
                <c:ptCount val="1"/>
                <c:pt idx="0">
                  <c:v>支出</c:v>
                </c:pt>
              </c:strCache>
            </c:strRef>
          </c:cat>
          <c:val>
            <c:numRef>
              <c:f>Sheet1!$D$2</c:f>
              <c:numCache>
                <c:formatCode>General</c:formatCode>
                <c:ptCount val="1"/>
                <c:pt idx="0">
                  <c:v>-524.89</c:v>
                </c:pt>
              </c:numCache>
            </c:numRef>
          </c:val>
        </c:ser>
        <c:dLbls>
          <c:showLegendKey val="0"/>
          <c:showVal val="1"/>
          <c:showCatName val="0"/>
          <c:showSerName val="0"/>
          <c:showPercent val="0"/>
          <c:showBubbleSize val="0"/>
        </c:dLbls>
        <c:gapWidth val="80"/>
        <c:overlap val="25"/>
        <c:axId val="645858728"/>
        <c:axId val="829565038"/>
      </c:barChart>
      <c:catAx>
        <c:axId val="645858728"/>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cap="none" spc="20" normalizeH="0" baseline="0">
                <a:solidFill>
                  <a:schemeClr val="tx1">
                    <a:lumMod val="65000"/>
                    <a:lumOff val="35000"/>
                  </a:schemeClr>
                </a:solidFill>
                <a:latin typeface="+mn-lt"/>
                <a:ea typeface="+mn-ea"/>
                <a:cs typeface="+mn-cs"/>
              </a:defRPr>
            </a:pPr>
          </a:p>
        </c:txPr>
        <c:crossAx val="829565038"/>
        <c:crosses val="autoZero"/>
        <c:auto val="1"/>
        <c:lblAlgn val="ctr"/>
        <c:lblOffset val="100"/>
        <c:noMultiLvlLbl val="0"/>
      </c:catAx>
      <c:valAx>
        <c:axId val="82956503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spc="20" baseline="0">
                <a:solidFill>
                  <a:schemeClr val="tx1">
                    <a:lumMod val="65000"/>
                    <a:lumOff val="35000"/>
                  </a:schemeClr>
                </a:solidFill>
                <a:latin typeface="+mn-lt"/>
                <a:ea typeface="+mn-ea"/>
                <a:cs typeface="+mn-cs"/>
              </a:defRPr>
            </a:pPr>
          </a:p>
        </c:txPr>
        <c:crossAx val="6458587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40" b="0" i="0" u="none" strike="noStrike" kern="1200" spc="0" baseline="0">
                <a:solidFill>
                  <a:schemeClr val="tx1">
                    <a:lumMod val="65000"/>
                    <a:lumOff val="35000"/>
                  </a:schemeClr>
                </a:solidFill>
                <a:latin typeface="+mn-lt"/>
                <a:ea typeface="+mn-ea"/>
                <a:cs typeface="+mn-cs"/>
              </a:defRPr>
            </a:pPr>
            <a:r>
              <a:rPr lang="zh-CN" altLang="en-US" sz="1400">
                <a:solidFill>
                  <a:schemeClr val="tx1"/>
                </a:solidFill>
                <a:uFillTx/>
              </a:rPr>
              <a:t>一般公共预算财政拨款支出</a:t>
            </a:r>
            <a:endParaRPr lang="zh-CN" altLang="en-US" sz="1400">
              <a:solidFill>
                <a:schemeClr val="tx1"/>
              </a:solidFill>
              <a:uFillTx/>
            </a:endParaRPr>
          </a:p>
        </c:rich>
      </c:tx>
      <c:layout/>
      <c:overlay val="0"/>
      <c:spPr>
        <a:noFill/>
        <a:ln>
          <a:noFill/>
        </a:ln>
        <a:effectLst/>
      </c:spPr>
    </c:title>
    <c:autoTitleDeleted val="0"/>
    <c:view3D>
      <c:rotX val="50"/>
      <c:rotY val="43"/>
      <c:depthPercent val="100"/>
      <c:rAngAx val="0"/>
      <c:perspective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86075"/>
          <c:y val="0.17406"/>
          <c:w val="0.8316"/>
          <c:h val="0.668213333333333"/>
        </c:manualLayout>
      </c:layout>
      <c:pie3DChart>
        <c:varyColors val="1"/>
        <c:ser>
          <c:idx val="0"/>
          <c:order val="0"/>
          <c:tx>
            <c:strRef>
              <c:f>Sheet1!$B$1</c:f>
              <c:strCache>
                <c:ptCount val="1"/>
                <c:pt idx="0">
                  <c:v>金额</c:v>
                </c:pt>
              </c:strCache>
            </c:strRef>
          </c:tx>
          <c:explosion val="24"/>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163125"/>
                  <c:y val="0.15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r>
                      <a:rPr lang="zh-CN" altLang="en-US"/>
                      <a:t>社会保障和就业</a:t>
                    </a:r>
                    <a:r>
                      <a:rPr lang="en-US" altLang="zh-CN"/>
                      <a:t>6.73%</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43654574505858"/>
                  <c:y val="-0.0098026450686897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r>
                      <a:rPr lang="zh-CN" altLang="en-US"/>
                      <a:t>交通运输支出</a:t>
                    </a:r>
                    <a:r>
                      <a:rPr lang="en-US" altLang="zh-CN"/>
                      <a:t>89.60%</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58634230308914"/>
                  <c:y val="0.0184404941857729"/>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r>
                      <a:rPr lang="zh-CN" altLang="en-US"/>
                      <a:t>住房保障支出</a:t>
                    </a:r>
                    <a:r>
                      <a:rPr lang="en-US" altLang="zh-CN"/>
                      <a:t>3.67%</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社会保障和就业支出</c:v>
                </c:pt>
                <c:pt idx="1">
                  <c:v>交通运输支出</c:v>
                </c:pt>
                <c:pt idx="2">
                  <c:v>住房保障支出</c:v>
                </c:pt>
              </c:strCache>
            </c:strRef>
          </c:cat>
          <c:val>
            <c:numRef>
              <c:f>Sheet1!$B$2:$B$4</c:f>
              <c:numCache>
                <c:formatCode>General</c:formatCode>
                <c:ptCount val="3"/>
                <c:pt idx="0">
                  <c:v>92.25</c:v>
                </c:pt>
                <c:pt idx="1">
                  <c:v>557.43</c:v>
                </c:pt>
                <c:pt idx="2">
                  <c:v>58.97</c:v>
                </c:pt>
              </c:numCache>
            </c:numRef>
          </c:val>
        </c:ser>
        <c:dLbls>
          <c:showLegendKey val="0"/>
          <c:showVal val="1"/>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0" vertOverflow="ellipsis" vert="horz" wrap="square" anchor="ctr" anchorCtr="1"/>
          <a:lstStyle/>
          <a:p>
            <a:pPr defTabSz="914400">
              <a:defRPr lang="zh-CN" sz="1600" b="1" i="0" u="none" strike="noStrike" kern="1200" baseline="0">
                <a:solidFill>
                  <a:schemeClr val="tx1">
                    <a:lumMod val="65000"/>
                    <a:lumOff val="35000"/>
                  </a:schemeClr>
                </a:solidFill>
                <a:latin typeface="+mn-lt"/>
                <a:ea typeface="+mn-ea"/>
                <a:cs typeface="+mn-cs"/>
              </a:defRPr>
            </a:pPr>
            <a:r>
              <a:t>三公经费结构图</a:t>
            </a:r>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82325"/>
          <c:y val="0.16015"/>
          <c:w val="0.8316"/>
          <c:h val="0.669533333333333"/>
        </c:manualLayout>
      </c:layout>
      <c:pie3DChart>
        <c:varyColors val="1"/>
        <c:ser>
          <c:idx val="0"/>
          <c:order val="0"/>
          <c:tx>
            <c:strRef>
              <c:f>Sheet1!$B$1</c:f>
              <c:strCache>
                <c:ptCount val="1"/>
                <c:pt idx="0">
                  <c:v>三公经费结构图</c:v>
                </c:pt>
              </c:strCache>
            </c:strRef>
          </c:tx>
          <c:spPr>
            <a:scene3d>
              <a:camera prst="orthographicFront"/>
              <a:lightRig rig="threePt" dir="t"/>
            </a:scene3d>
            <a:sp3d contourW="9525"/>
          </c:spPr>
          <c:explosion val="0"/>
          <c:dPt>
            <c:idx val="0"/>
            <c:bubble3D val="0"/>
            <c:spPr>
              <a:gradFill rotWithShape="1">
                <a:gsLst>
                  <a:gs pos="0">
                    <a:schemeClr val="accent6">
                      <a:tint val="76667"/>
                      <a:shade val="51000"/>
                      <a:satMod val="130000"/>
                    </a:schemeClr>
                  </a:gs>
                  <a:gs pos="80000">
                    <a:schemeClr val="accent6">
                      <a:tint val="76667"/>
                      <a:shade val="93000"/>
                      <a:satMod val="130000"/>
                    </a:schemeClr>
                  </a:gs>
                  <a:gs pos="100000">
                    <a:schemeClr val="accent6">
                      <a:tint val="76667"/>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6">
                      <a:shade val="76667"/>
                      <a:shade val="51000"/>
                      <a:satMod val="130000"/>
                    </a:schemeClr>
                  </a:gs>
                  <a:gs pos="80000">
                    <a:schemeClr val="accent6">
                      <a:shade val="76667"/>
                      <a:shade val="93000"/>
                      <a:satMod val="130000"/>
                    </a:schemeClr>
                  </a:gs>
                  <a:gs pos="100000">
                    <a:schemeClr val="accent6">
                      <a:shade val="76667"/>
                      <a:shade val="94000"/>
                      <a:satMod val="135000"/>
                    </a:schemeClr>
                  </a:gs>
                </a:gsLst>
                <a:lin ang="16200000" scaled="0"/>
              </a:gradFill>
              <a:ln>
                <a:noFill/>
              </a:ln>
              <a:effectLst>
                <a:outerShdw blurRad="40000" dist="23000" dir="5400000" rotWithShape="0">
                  <a:srgbClr val="000000">
                    <a:alpha val="35000"/>
                  </a:srgbClr>
                </a:outerShdw>
              </a:effectLst>
            </c:spPr>
          </c:dPt>
          <c:dLbls>
            <c:dLbl>
              <c:idx val="0"/>
              <c:layout>
                <c:manualLayout>
                  <c:x val="-0.0915891532326376"/>
                  <c:y val="-0.25896284743218"/>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公务用车购置及运行维护</a:t>
                    </a:r>
                    <a:r>
                      <a:rPr lang="en-US" altLang="zh-CN"/>
                      <a:t>2.27</a:t>
                    </a:r>
                    <a:r>
                      <a:t>，</a:t>
                    </a:r>
                    <a:r>
                      <a:rPr lang="en-US" altLang="zh-CN"/>
                      <a:t>94.2</a:t>
                    </a:r>
                    <a:r>
                      <a:t>%</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5625"/>
                  <c:y val="-0.0525"/>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t>接待费</a:t>
                    </a:r>
                    <a:r>
                      <a:rPr lang="en-US" altLang="zh-CN"/>
                      <a:t>0.14</a:t>
                    </a:r>
                    <a:r>
                      <a:t> ，</a:t>
                    </a:r>
                    <a:r>
                      <a:rPr lang="en-US" altLang="zh-CN"/>
                      <a:t>5.8</a:t>
                    </a:r>
                    <a:r>
                      <a:t>%</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公务用车购置及运行维护费</c:v>
                </c:pt>
                <c:pt idx="1">
                  <c:v>公务接待费</c:v>
                </c:pt>
              </c:strCache>
            </c:strRef>
          </c:cat>
          <c:val>
            <c:numRef>
              <c:f>Sheet1!$B$2:$B$3</c:f>
              <c:numCache>
                <c:formatCode>General</c:formatCode>
                <c:ptCount val="2"/>
                <c:pt idx="0">
                  <c:v>2.27</c:v>
                </c:pt>
                <c:pt idx="1">
                  <c:v>0.14</c:v>
                </c:pt>
              </c:numCache>
            </c:numRef>
          </c:val>
        </c:ser>
        <c:dLbls>
          <c:showLegendKey val="0"/>
          <c:showVal val="1"/>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882</Words>
  <Characters>5030</Characters>
  <Lines>41</Lines>
  <Paragraphs>11</Paragraphs>
  <TotalTime>1</TotalTime>
  <ScaleCrop>false</ScaleCrop>
  <LinksUpToDate>false</LinksUpToDate>
  <CharactersWithSpaces>5901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未知</cp:lastModifiedBy>
  <cp:lastPrinted>2023-07-31T02:35:00Z</cp:lastPrinted>
  <dcterms:modified xsi:type="dcterms:W3CDTF">2023-09-14T08:56:12Z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004FCF7F8B6445DB8A59BABE8B1DDE96_12</vt:lpwstr>
  </property>
</Properties>
</file>