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widowControl/>
        <w:jc w:val="center"/>
        <w:outlineLvl w:val="0"/>
        <w:rPr>
          <w:rFonts w:hint="eastAsia" w:ascii="Times New Roman" w:hAnsi="Times New Roman" w:eastAsia="方正小标宋简体" w:cs="方正小标宋简体"/>
          <w:kern w:val="0"/>
          <w:sz w:val="72"/>
          <w:szCs w:val="72"/>
          <w:lang w:bidi="ar"/>
        </w:rPr>
      </w:pPr>
      <w:r>
        <w:rPr>
          <w:rFonts w:hint="eastAsia" w:ascii="Times New Roman" w:hAnsi="Times New Roman" w:eastAsia="方正小标宋简体" w:cs="方正小标宋简体"/>
          <w:kern w:val="0"/>
          <w:sz w:val="72"/>
          <w:szCs w:val="72"/>
          <w:lang w:bidi="ar"/>
        </w:rPr>
        <w:t>攀枝花市航务海事中心</w:t>
      </w:r>
    </w:p>
    <w:p>
      <w:pPr>
        <w:widowControl/>
        <w:jc w:val="center"/>
        <w:outlineLvl w:val="0"/>
        <w:rPr>
          <w:rFonts w:hint="eastAsia" w:ascii="Times New Roman" w:hAnsi="Times New Roman" w:eastAsia="方正小标宋简体" w:cs="方正小标宋简体"/>
          <w:kern w:val="0"/>
          <w:sz w:val="72"/>
          <w:szCs w:val="72"/>
          <w:lang w:bidi="ar"/>
        </w:rPr>
      </w:pPr>
      <w:r>
        <w:rPr>
          <w:rFonts w:hint="eastAsia" w:ascii="Times New Roman" w:hAnsi="Times New Roman" w:eastAsia="方正小标宋简体" w:cs="方正小标宋简体"/>
          <w:kern w:val="0"/>
          <w:sz w:val="72"/>
          <w:szCs w:val="72"/>
          <w:lang w:bidi="ar"/>
        </w:rPr>
        <w:t>2023年单位预算</w:t>
      </w:r>
    </w:p>
    <w:p>
      <w:pPr>
        <w:widowControl/>
        <w:jc w:val="center"/>
        <w:rPr>
          <w:rFonts w:hint="eastAsia" w:ascii="Times New Roman" w:hAnsi="Times New Roman" w:eastAsia="方正小标宋简体" w:cs="方正小标宋简体"/>
          <w:kern w:val="0"/>
          <w:sz w:val="36"/>
          <w:szCs w:val="36"/>
          <w:lang w:bidi="ar"/>
        </w:rPr>
        <w:sectPr>
          <w:pgSz w:w="11906" w:h="16838"/>
          <w:pgMar w:top="1440" w:right="1800" w:bottom="1440" w:left="1800" w:header="720" w:footer="720" w:gutter="0"/>
          <w:pgNumType w:fmt="numberInDash"/>
          <w:cols w:space="720" w:num="1"/>
          <w:docGrid w:type="lines" w:linePitch="312" w:charSpace="0"/>
        </w:sectPr>
      </w:pPr>
    </w:p>
    <w:p>
      <w:pPr>
        <w:pStyle w:val="6"/>
        <w:widowControl/>
        <w:spacing w:before="0" w:beforeAutospacing="0" w:after="0" w:afterAutospacing="0" w:line="600" w:lineRule="exact"/>
        <w:ind w:firstLine="720" w:firstLineChars="200"/>
        <w:jc w:val="center"/>
        <w:outlineLvl w:val="0"/>
        <w:rPr>
          <w:rStyle w:val="8"/>
          <w:rFonts w:hint="eastAsia" w:ascii="Times New Roman" w:hAnsi="Times New Roman" w:eastAsia="黑体" w:cs="宋体"/>
          <w:b w:val="0"/>
          <w:bCs/>
          <w:sz w:val="36"/>
          <w:szCs w:val="36"/>
        </w:rPr>
      </w:pPr>
      <w:r>
        <w:rPr>
          <w:rStyle w:val="8"/>
          <w:rFonts w:hint="eastAsia" w:ascii="Times New Roman" w:hAnsi="Times New Roman" w:eastAsia="黑体" w:cs="宋体"/>
          <w:b w:val="0"/>
          <w:bCs/>
          <w:sz w:val="36"/>
          <w:szCs w:val="36"/>
        </w:rPr>
        <w:t>目录</w:t>
      </w:r>
    </w:p>
    <w:p>
      <w:pPr>
        <w:pStyle w:val="6"/>
        <w:widowControl/>
        <w:spacing w:before="0" w:beforeAutospacing="0" w:after="0" w:afterAutospacing="0" w:line="600" w:lineRule="exact"/>
        <w:ind w:firstLine="640" w:firstLineChars="200"/>
        <w:jc w:val="both"/>
        <w:outlineLvl w:val="0"/>
        <w:rPr>
          <w:rFonts w:ascii="Times New Roman" w:hAnsi="Times New Roman" w:cs="宋体"/>
          <w:bCs/>
          <w:sz w:val="21"/>
          <w:szCs w:val="21"/>
        </w:rPr>
      </w:pPr>
      <w:r>
        <w:rPr>
          <w:rStyle w:val="8"/>
          <w:rFonts w:ascii="Times New Roman" w:hAnsi="Times New Roman" w:eastAsia="黑体" w:cs="宋体"/>
          <w:b w:val="0"/>
          <w:bCs/>
          <w:sz w:val="32"/>
          <w:szCs w:val="21"/>
        </w:rPr>
        <w:t>第一部分</w:t>
      </w:r>
      <w:r>
        <w:rPr>
          <w:rStyle w:val="8"/>
          <w:rFonts w:hint="eastAsia" w:ascii="Times New Roman" w:hAnsi="Times New Roman" w:eastAsia="黑体" w:cs="宋体"/>
          <w:b w:val="0"/>
          <w:bCs/>
          <w:sz w:val="32"/>
          <w:szCs w:val="21"/>
        </w:rPr>
        <w:t xml:space="preserve"> </w:t>
      </w:r>
      <w:r>
        <w:rPr>
          <w:rStyle w:val="8"/>
          <w:rFonts w:ascii="Times New Roman" w:hAnsi="Times New Roman" w:eastAsia="黑体" w:cs="宋体"/>
          <w:b w:val="0"/>
          <w:bCs/>
          <w:sz w:val="32"/>
          <w:szCs w:val="21"/>
        </w:rPr>
        <w:t xml:space="preserve"> </w:t>
      </w:r>
      <w:r>
        <w:rPr>
          <w:rStyle w:val="8"/>
          <w:rFonts w:hint="eastAsia" w:ascii="Times New Roman" w:hAnsi="Times New Roman" w:eastAsia="黑体" w:cs="宋体"/>
          <w:b w:val="0"/>
          <w:bCs/>
          <w:sz w:val="32"/>
          <w:szCs w:val="21"/>
        </w:rPr>
        <w:t>攀枝花市航务海事中心</w:t>
      </w:r>
      <w:r>
        <w:rPr>
          <w:rStyle w:val="8"/>
          <w:rFonts w:ascii="Times New Roman" w:hAnsi="Times New Roman" w:eastAsia="黑体" w:cs="宋体"/>
          <w:b w:val="0"/>
          <w:bCs/>
          <w:sz w:val="32"/>
          <w:szCs w:val="21"/>
        </w:rPr>
        <w:t>概况</w:t>
      </w:r>
    </w:p>
    <w:p>
      <w:pPr>
        <w:pStyle w:val="6"/>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一、职能简介</w:t>
      </w:r>
    </w:p>
    <w:p>
      <w:pPr>
        <w:pStyle w:val="6"/>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年重点工作</w:t>
      </w:r>
    </w:p>
    <w:p>
      <w:pPr>
        <w:pStyle w:val="6"/>
        <w:widowControl/>
        <w:spacing w:before="0" w:beforeAutospacing="0" w:after="0" w:afterAutospacing="0" w:line="600" w:lineRule="exact"/>
        <w:ind w:firstLine="640" w:firstLineChars="200"/>
        <w:jc w:val="both"/>
        <w:outlineLvl w:val="0"/>
        <w:rPr>
          <w:rStyle w:val="8"/>
          <w:rFonts w:ascii="Times New Roman" w:hAnsi="Times New Roman" w:eastAsia="黑体" w:cs="宋体"/>
          <w:b w:val="0"/>
          <w:bCs/>
          <w:sz w:val="32"/>
          <w:szCs w:val="21"/>
        </w:rPr>
      </w:pPr>
      <w:r>
        <w:rPr>
          <w:rStyle w:val="8"/>
          <w:rFonts w:ascii="Times New Roman" w:hAnsi="Times New Roman" w:eastAsia="黑体" w:cs="宋体"/>
          <w:b w:val="0"/>
          <w:bCs/>
          <w:sz w:val="32"/>
          <w:szCs w:val="21"/>
        </w:rPr>
        <w:t>第</w:t>
      </w:r>
      <w:r>
        <w:rPr>
          <w:rStyle w:val="8"/>
          <w:rFonts w:hint="eastAsia" w:ascii="Times New Roman" w:hAnsi="Times New Roman" w:eastAsia="黑体" w:cs="宋体"/>
          <w:b w:val="0"/>
          <w:bCs/>
          <w:sz w:val="32"/>
          <w:szCs w:val="21"/>
        </w:rPr>
        <w:t>二</w:t>
      </w:r>
      <w:r>
        <w:rPr>
          <w:rStyle w:val="8"/>
          <w:rFonts w:ascii="Times New Roman" w:hAnsi="Times New Roman" w:eastAsia="黑体" w:cs="宋体"/>
          <w:b w:val="0"/>
          <w:bCs/>
          <w:sz w:val="32"/>
          <w:szCs w:val="21"/>
        </w:rPr>
        <w:t>部分</w:t>
      </w:r>
      <w:r>
        <w:rPr>
          <w:rStyle w:val="8"/>
          <w:rFonts w:hint="eastAsia" w:ascii="Times New Roman" w:hAnsi="Times New Roman" w:eastAsia="黑体" w:cs="宋体"/>
          <w:b w:val="0"/>
          <w:bCs/>
          <w:sz w:val="32"/>
          <w:szCs w:val="21"/>
        </w:rPr>
        <w:t xml:space="preserve"> </w:t>
      </w:r>
      <w:r>
        <w:rPr>
          <w:rStyle w:val="8"/>
          <w:rFonts w:ascii="Times New Roman" w:hAnsi="Times New Roman" w:eastAsia="黑体" w:cs="宋体"/>
          <w:b w:val="0"/>
          <w:bCs/>
          <w:sz w:val="32"/>
          <w:szCs w:val="21"/>
        </w:rPr>
        <w:t xml:space="preserve"> </w:t>
      </w:r>
      <w:r>
        <w:rPr>
          <w:rStyle w:val="8"/>
          <w:rFonts w:hint="eastAsia" w:ascii="Times New Roman" w:hAnsi="Times New Roman" w:eastAsia="黑体" w:cs="宋体"/>
          <w:b w:val="0"/>
          <w:bCs/>
          <w:sz w:val="32"/>
          <w:szCs w:val="21"/>
        </w:rPr>
        <w:t>攀枝花市航务海事中心</w:t>
      </w:r>
      <w:r>
        <w:rPr>
          <w:rStyle w:val="8"/>
          <w:rFonts w:ascii="Times New Roman" w:hAnsi="Times New Roman" w:eastAsia="黑体" w:cs="宋体"/>
          <w:b w:val="0"/>
          <w:bCs/>
          <w:sz w:val="32"/>
          <w:szCs w:val="21"/>
        </w:rPr>
        <w:t>202</w:t>
      </w:r>
      <w:r>
        <w:rPr>
          <w:rStyle w:val="8"/>
          <w:rFonts w:hint="eastAsia" w:ascii="Times New Roman" w:hAnsi="Times New Roman" w:eastAsia="黑体" w:cs="宋体"/>
          <w:b w:val="0"/>
          <w:bCs/>
          <w:sz w:val="32"/>
          <w:szCs w:val="21"/>
          <w:lang w:val="en-US" w:eastAsia="zh-CN"/>
        </w:rPr>
        <w:t>3</w:t>
      </w:r>
      <w:r>
        <w:rPr>
          <w:rStyle w:val="8"/>
          <w:rFonts w:ascii="Times New Roman" w:hAnsi="Times New Roman" w:eastAsia="黑体" w:cs="宋体"/>
          <w:b w:val="0"/>
          <w:bCs/>
          <w:sz w:val="32"/>
          <w:szCs w:val="21"/>
        </w:rPr>
        <w:t>年</w:t>
      </w:r>
      <w:r>
        <w:rPr>
          <w:rStyle w:val="8"/>
          <w:rFonts w:hint="eastAsia" w:ascii="Times New Roman" w:hAnsi="Times New Roman" w:eastAsia="黑体" w:cs="宋体"/>
          <w:b w:val="0"/>
          <w:bCs/>
          <w:sz w:val="32"/>
          <w:szCs w:val="21"/>
        </w:rPr>
        <w:t>单位</w:t>
      </w:r>
      <w:r>
        <w:rPr>
          <w:rStyle w:val="8"/>
          <w:rFonts w:ascii="Times New Roman" w:hAnsi="Times New Roman" w:eastAsia="黑体" w:cs="宋体"/>
          <w:b w:val="0"/>
          <w:bCs/>
          <w:sz w:val="32"/>
          <w:szCs w:val="21"/>
        </w:rPr>
        <w:t>预算情况说明</w:t>
      </w:r>
    </w:p>
    <w:p>
      <w:pPr>
        <w:pStyle w:val="6"/>
        <w:widowControl/>
        <w:spacing w:before="0" w:beforeAutospacing="0" w:after="0" w:afterAutospacing="0" w:line="600" w:lineRule="exact"/>
        <w:ind w:firstLine="640" w:firstLineChars="200"/>
        <w:jc w:val="both"/>
        <w:outlineLvl w:val="0"/>
        <w:rPr>
          <w:rStyle w:val="8"/>
          <w:rFonts w:ascii="Times New Roman" w:hAnsi="Times New Roman" w:eastAsia="黑体" w:cs="宋体"/>
          <w:b w:val="0"/>
          <w:bCs/>
          <w:sz w:val="32"/>
          <w:szCs w:val="21"/>
        </w:rPr>
      </w:pPr>
      <w:r>
        <w:rPr>
          <w:rStyle w:val="8"/>
          <w:rFonts w:ascii="Times New Roman" w:hAnsi="Times New Roman" w:eastAsia="黑体" w:cs="宋体"/>
          <w:b w:val="0"/>
          <w:bCs/>
          <w:sz w:val="32"/>
          <w:szCs w:val="21"/>
        </w:rPr>
        <w:t>第</w:t>
      </w:r>
      <w:r>
        <w:rPr>
          <w:rStyle w:val="8"/>
          <w:rFonts w:hint="eastAsia" w:ascii="Times New Roman" w:hAnsi="Times New Roman" w:eastAsia="黑体" w:cs="宋体"/>
          <w:b w:val="0"/>
          <w:bCs/>
          <w:sz w:val="32"/>
          <w:szCs w:val="21"/>
        </w:rPr>
        <w:t>三</w:t>
      </w:r>
      <w:r>
        <w:rPr>
          <w:rStyle w:val="8"/>
          <w:rFonts w:ascii="Times New Roman" w:hAnsi="Times New Roman" w:eastAsia="黑体" w:cs="宋体"/>
          <w:b w:val="0"/>
          <w:bCs/>
          <w:sz w:val="32"/>
          <w:szCs w:val="21"/>
        </w:rPr>
        <w:t>部分</w:t>
      </w:r>
      <w:r>
        <w:rPr>
          <w:rStyle w:val="8"/>
          <w:rFonts w:hint="eastAsia" w:ascii="Times New Roman" w:hAnsi="Times New Roman" w:eastAsia="黑体" w:cs="宋体"/>
          <w:b w:val="0"/>
          <w:bCs/>
          <w:sz w:val="32"/>
          <w:szCs w:val="21"/>
        </w:rPr>
        <w:t xml:space="preserve">  </w:t>
      </w:r>
      <w:r>
        <w:rPr>
          <w:rStyle w:val="8"/>
          <w:rFonts w:ascii="Times New Roman" w:hAnsi="Times New Roman" w:eastAsia="黑体" w:cs="宋体"/>
          <w:b w:val="0"/>
          <w:bCs/>
          <w:sz w:val="32"/>
          <w:szCs w:val="21"/>
        </w:rPr>
        <w:t>名词解释</w:t>
      </w: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sectPr>
          <w:footerReference r:id="rId3" w:type="default"/>
          <w:pgSz w:w="11906" w:h="16838"/>
          <w:pgMar w:top="1440" w:right="1800" w:bottom="1440" w:left="1800" w:header="720" w:footer="720" w:gutter="0"/>
          <w:pgNumType w:fmt="numberInDash" w:start="1"/>
          <w:cols w:space="720" w:num="1"/>
          <w:docGrid w:type="lines" w:linePitch="312" w:charSpace="0"/>
        </w:sect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jc w:val="both"/>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rPr>
          <w:rFonts w:hint="eastAsia" w:ascii="Times New Roman" w:hAnsi="Times New Roman" w:eastAsia="方正小标宋简体" w:cs="方正小标宋简体"/>
          <w:sz w:val="52"/>
          <w:szCs w:val="52"/>
          <w:lang w:bidi="ar"/>
        </w:rPr>
      </w:pPr>
      <w:r>
        <w:rPr>
          <w:rFonts w:hint="eastAsia" w:ascii="Times New Roman" w:hAnsi="Times New Roman" w:eastAsia="方正小标宋简体" w:cs="方正小标宋简体"/>
          <w:sz w:val="52"/>
          <w:szCs w:val="52"/>
          <w:lang w:bidi="ar"/>
        </w:rPr>
        <w:t>第一部分  攀枝花市航务海事中心</w:t>
      </w:r>
    </w:p>
    <w:p>
      <w:pPr>
        <w:pStyle w:val="6"/>
        <w:widowControl/>
        <w:spacing w:before="0" w:beforeAutospacing="0" w:after="0" w:afterAutospacing="0"/>
        <w:jc w:val="center"/>
        <w:outlineLvl w:val="0"/>
        <w:rPr>
          <w:rFonts w:hint="eastAsia" w:ascii="Times New Roman" w:hAnsi="Times New Roman" w:eastAsia="方正小标宋简体" w:cs="方正小标宋简体"/>
          <w:sz w:val="52"/>
          <w:szCs w:val="52"/>
          <w:lang w:bidi="ar"/>
        </w:rPr>
      </w:pPr>
      <w:r>
        <w:rPr>
          <w:rFonts w:hint="eastAsia" w:ascii="Times New Roman" w:hAnsi="Times New Roman" w:eastAsia="方正小标宋简体" w:cs="方正小标宋简体"/>
          <w:sz w:val="52"/>
          <w:szCs w:val="52"/>
          <w:lang w:bidi="ar"/>
        </w:rPr>
        <w:t>概况</w:t>
      </w:r>
    </w:p>
    <w:p>
      <w:pPr>
        <w:pStyle w:val="6"/>
        <w:widowControl/>
        <w:adjustRightInd w:val="0"/>
        <w:spacing w:before="0" w:beforeAutospacing="0" w:after="0" w:afterAutospacing="0"/>
        <w:ind w:firstLine="640" w:firstLineChars="200"/>
        <w:jc w:val="both"/>
        <w:rPr>
          <w:rStyle w:val="8"/>
          <w:rFonts w:hint="eastAsia" w:ascii="Times New Roman" w:hAnsi="Times New Roman" w:eastAsia="黑体" w:cs="宋体"/>
          <w:b w:val="0"/>
          <w:bCs/>
          <w:sz w:val="32"/>
          <w:szCs w:val="21"/>
        </w:rPr>
        <w:sectPr>
          <w:footerReference r:id="rId4" w:type="default"/>
          <w:pgSz w:w="11906" w:h="16838"/>
          <w:pgMar w:top="1440" w:right="1800" w:bottom="1440" w:left="1800" w:header="720" w:footer="720" w:gutter="0"/>
          <w:pgNumType w:fmt="decimal" w:start="1"/>
          <w:cols w:space="720" w:num="1"/>
          <w:docGrid w:type="lines" w:linePitch="312" w:charSpace="0"/>
        </w:sectPr>
      </w:pPr>
    </w:p>
    <w:p>
      <w:pPr>
        <w:pStyle w:val="6"/>
        <w:widowControl/>
        <w:adjustRightInd w:val="0"/>
        <w:spacing w:before="0" w:beforeAutospacing="0" w:after="0" w:afterAutospacing="0"/>
        <w:ind w:firstLine="640" w:firstLineChars="200"/>
        <w:jc w:val="both"/>
        <w:outlineLvl w:val="1"/>
        <w:rPr>
          <w:rStyle w:val="8"/>
          <w:rFonts w:hint="eastAsia" w:ascii="Times New Roman" w:hAnsi="Times New Roman" w:eastAsia="黑体" w:cs="宋体"/>
          <w:b w:val="0"/>
          <w:bCs/>
          <w:sz w:val="32"/>
          <w:szCs w:val="21"/>
        </w:rPr>
      </w:pPr>
      <w:r>
        <w:rPr>
          <w:rStyle w:val="8"/>
          <w:rFonts w:hint="eastAsia" w:ascii="Times New Roman" w:hAnsi="Times New Roman" w:eastAsia="黑体" w:cs="宋体"/>
          <w:b w:val="0"/>
          <w:bCs/>
          <w:sz w:val="32"/>
          <w:szCs w:val="21"/>
        </w:rPr>
        <w:t>一、职能简介</w:t>
      </w:r>
    </w:p>
    <w:p>
      <w:pPr>
        <w:pStyle w:val="2"/>
        <w:adjustRightInd w:val="0"/>
        <w:spacing w:before="130"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攀枝花市航务海事中心(原攀枝花市地方海事局)属参照公务员法管理事业单位。单位职责为：贯彻执行国家有关交通运输行业的方针、政策和法律、法规，贯彻执行省地方性法规、规章、交通运输行业规划、政策和规范性文件。组织拟订并监督实施水路行业发展战略、政策，会同有关部门组织编制综合运输体系规划；承担水路交通运输市场监管责任，组织实施并监督执行水路运输有关政策、技术标准和运营规范；承担运输船舶及相关水上设施检验、登记和防止污染、通讯导航、危险品运输的监督管理工作；负责船员管理相关工作；按规定负责港口规划和港口岸线管理工作。</w:t>
      </w:r>
    </w:p>
    <w:p>
      <w:pPr>
        <w:adjustRightInd w:val="0"/>
        <w:spacing w:line="360" w:lineRule="auto"/>
        <w:ind w:firstLine="640" w:firstLineChars="200"/>
        <w:rPr>
          <w:rFonts w:hint="eastAsia" w:ascii="仿宋_GB2312" w:hAnsi="仿宋" w:eastAsia="仿宋_GB2312"/>
          <w:kern w:val="10"/>
          <w:sz w:val="32"/>
          <w:szCs w:val="32"/>
        </w:rPr>
      </w:pPr>
      <w:r>
        <w:rPr>
          <w:rFonts w:hint="eastAsia" w:ascii="Times New Roman" w:hAnsi="Times New Roman" w:eastAsia="仿宋_GB2312" w:cs="仿宋_GB2312"/>
          <w:sz w:val="32"/>
          <w:szCs w:val="32"/>
        </w:rPr>
        <w:t>我单位现有编制12名，内设三科一室</w:t>
      </w:r>
      <w:r>
        <w:rPr>
          <w:rFonts w:hint="eastAsia" w:ascii="仿宋_GB2312" w:hAnsi="仿宋" w:eastAsia="仿宋_GB2312"/>
          <w:kern w:val="10"/>
          <w:sz w:val="32"/>
          <w:szCs w:val="32"/>
        </w:rPr>
        <w:t>航务科、海事科、科教信息科、综合办公室。实有在职人员10名,退休人员4名。</w:t>
      </w:r>
    </w:p>
    <w:p>
      <w:pPr>
        <w:pStyle w:val="6"/>
        <w:widowControl/>
        <w:adjustRightInd w:val="0"/>
        <w:spacing w:before="0" w:beforeAutospacing="0" w:after="0" w:afterAutospacing="0"/>
        <w:ind w:firstLine="640" w:firstLineChars="200"/>
        <w:jc w:val="both"/>
        <w:outlineLvl w:val="1"/>
        <w:rPr>
          <w:rStyle w:val="8"/>
          <w:rFonts w:hint="eastAsia" w:ascii="Times New Roman" w:hAnsi="Times New Roman" w:eastAsia="黑体" w:cs="宋体"/>
          <w:b w:val="0"/>
          <w:bCs/>
          <w:sz w:val="32"/>
          <w:szCs w:val="21"/>
        </w:rPr>
      </w:pPr>
      <w:r>
        <w:rPr>
          <w:rStyle w:val="8"/>
          <w:rFonts w:hint="eastAsia" w:ascii="Times New Roman" w:hAnsi="Times New Roman" w:eastAsia="黑体" w:cs="宋体"/>
          <w:b w:val="0"/>
          <w:bCs/>
          <w:sz w:val="32"/>
          <w:szCs w:val="21"/>
        </w:rPr>
        <w:t>二、2023年重点工作</w:t>
      </w:r>
    </w:p>
    <w:p>
      <w:pPr>
        <w:spacing w:line="540" w:lineRule="exact"/>
        <w:ind w:firstLine="64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eastAsia="仿宋_GB2312"/>
          <w:color w:val="000000"/>
          <w:sz w:val="32"/>
          <w:szCs w:val="32"/>
        </w:rPr>
        <w:t>全力</w:t>
      </w:r>
      <w:r>
        <w:rPr>
          <w:rFonts w:hint="eastAsia" w:ascii="仿宋_GB2312" w:hAnsi="仿宋" w:eastAsia="仿宋_GB2312"/>
          <w:sz w:val="32"/>
          <w:szCs w:val="32"/>
        </w:rPr>
        <w:t>做好金沙江乌东德库区库尾航道整治项目编制、报审、立项的服务工作，积极向省航务海事中心沟通汇报，争取项目资金和政策支持。</w:t>
      </w:r>
      <w:r>
        <w:rPr>
          <w:rFonts w:hint="eastAsia" w:ascii="仿宋_GB2312" w:hAnsi="黑体" w:eastAsia="仿宋_GB2312"/>
          <w:sz w:val="32"/>
          <w:szCs w:val="32"/>
        </w:rPr>
        <w:t>组织开展乌东德库区水路运输市场需求调研，研究水路客运组织方式，积极推进</w:t>
      </w:r>
      <w:r>
        <w:rPr>
          <w:rFonts w:hint="eastAsia" w:ascii="仿宋_GB2312" w:hAnsi="微软雅黑" w:eastAsia="仿宋_GB2312"/>
          <w:sz w:val="32"/>
          <w:szCs w:val="32"/>
        </w:rPr>
        <w:t>发展“水运+旅游”项目</w:t>
      </w:r>
      <w:r>
        <w:rPr>
          <w:rFonts w:hint="eastAsia" w:ascii="仿宋_GB2312" w:hAnsi="黑体" w:eastAsia="仿宋_GB2312"/>
          <w:sz w:val="32"/>
          <w:szCs w:val="32"/>
        </w:rPr>
        <w:t>。做好汛期、“中秋”“十一”小长假等重点时段的水路运输组织保障工作。</w:t>
      </w:r>
    </w:p>
    <w:p>
      <w:pPr>
        <w:spacing w:line="540" w:lineRule="exact"/>
        <w:ind w:firstLine="640"/>
        <w:rPr>
          <w:rFonts w:hint="eastAsia" w:ascii="仿宋_GB2312" w:eastAsia="仿宋_GB2312"/>
          <w:color w:val="000000"/>
          <w:sz w:val="32"/>
          <w:szCs w:val="32"/>
        </w:rPr>
      </w:pPr>
      <w:r>
        <w:rPr>
          <w:rFonts w:hint="eastAsia" w:ascii="仿宋_GB2312" w:hAnsi="黑体" w:eastAsia="仿宋_GB2312"/>
          <w:sz w:val="32"/>
          <w:szCs w:val="32"/>
        </w:rPr>
        <w:t>2、</w:t>
      </w:r>
      <w:r>
        <w:rPr>
          <w:rFonts w:hint="eastAsia" w:ascii="仿宋_GB2312" w:hAnsi="仿宋_GB2312" w:eastAsia="仿宋_GB2312" w:cs="仿宋_GB2312"/>
          <w:color w:val="000000"/>
          <w:sz w:val="32"/>
          <w:szCs w:val="32"/>
        </w:rPr>
        <w:t>加大对水运企业的</w:t>
      </w:r>
      <w:r>
        <w:rPr>
          <w:rFonts w:hint="eastAsia" w:ascii="仿宋_GB2312" w:eastAsia="仿宋_GB2312"/>
          <w:color w:val="000000"/>
          <w:sz w:val="32"/>
          <w:szCs w:val="32"/>
        </w:rPr>
        <w:t>检查指导，督促水运企业和船主严格履行安全生产主体责任，指导水运企业加强企业内部建设，完善企业安全生产责任清单，进一步推进水运企业向</w:t>
      </w:r>
      <w:r>
        <w:rPr>
          <w:rFonts w:hint="eastAsia" w:ascii="仿宋_GB2312" w:hAnsi="仿宋_GB2312" w:eastAsia="仿宋_GB2312" w:cs="仿宋_GB2312"/>
          <w:color w:val="000000"/>
          <w:sz w:val="32"/>
          <w:szCs w:val="32"/>
        </w:rPr>
        <w:t>专业化、规模化、集约化发展，不断提升行业发展能力和安全能力</w:t>
      </w:r>
      <w:r>
        <w:rPr>
          <w:rFonts w:hint="eastAsia" w:ascii="仿宋_GB2312" w:eastAsia="仿宋_GB2312"/>
          <w:color w:val="000000"/>
          <w:sz w:val="32"/>
          <w:szCs w:val="32"/>
        </w:rPr>
        <w:t>。</w:t>
      </w:r>
    </w:p>
    <w:p>
      <w:pPr>
        <w:spacing w:line="540" w:lineRule="exact"/>
        <w:ind w:firstLine="640"/>
        <w:rPr>
          <w:rFonts w:hint="eastAsia" w:ascii="仿宋_GB2312" w:hAnsi="Arial" w:eastAsia="仿宋_GB2312" w:cs="Arial"/>
          <w:color w:val="000000"/>
          <w:sz w:val="32"/>
          <w:szCs w:val="32"/>
          <w:shd w:val="clear" w:color="auto" w:fill="FFFFFF"/>
        </w:rPr>
      </w:pPr>
      <w:r>
        <w:rPr>
          <w:rFonts w:hint="eastAsia" w:ascii="仿宋_GB2312" w:eastAsia="仿宋_GB2312"/>
          <w:color w:val="000000"/>
          <w:sz w:val="32"/>
          <w:szCs w:val="32"/>
        </w:rPr>
        <w:t>3、抓好疫情防控常态化工作。</w:t>
      </w:r>
      <w:r>
        <w:rPr>
          <w:rFonts w:hint="eastAsia" w:ascii="仿宋_GB2312" w:hAnsi="Arial" w:eastAsia="仿宋_GB2312" w:cs="Arial"/>
          <w:color w:val="000000"/>
          <w:sz w:val="32"/>
          <w:szCs w:val="32"/>
          <w:shd w:val="clear" w:color="auto" w:fill="FFFFFF"/>
        </w:rPr>
        <w:t>严格落实重点港口、码头扫码验码、体温检测等措施。</w:t>
      </w:r>
    </w:p>
    <w:p>
      <w:pPr>
        <w:pStyle w:val="12"/>
        <w:spacing w:line="540" w:lineRule="exact"/>
        <w:ind w:firstLine="640"/>
        <w:rPr>
          <w:rFonts w:ascii="仿宋_GB2312" w:hAnsi="Arial" w:eastAsia="仿宋_GB2312" w:cs="Arial"/>
          <w:color w:val="000000"/>
          <w:sz w:val="32"/>
          <w:szCs w:val="32"/>
          <w:shd w:val="clear" w:color="auto" w:fill="FFFFFF"/>
        </w:rPr>
      </w:pPr>
      <w:r>
        <w:rPr>
          <w:rFonts w:hint="eastAsia" w:ascii="仿宋_GB2312" w:hAnsi="黑体" w:eastAsia="仿宋_GB2312"/>
          <w:sz w:val="32"/>
          <w:szCs w:val="32"/>
        </w:rPr>
        <w:t>4、开展水运环保和港口、船舶污染防治部门联合检查，</w:t>
      </w:r>
      <w:r>
        <w:rPr>
          <w:rFonts w:hint="eastAsia" w:ascii="仿宋_GB2312" w:eastAsia="仿宋_GB2312"/>
          <w:color w:val="000000"/>
          <w:sz w:val="32"/>
          <w:szCs w:val="32"/>
          <w:shd w:val="clear" w:color="auto" w:fill="FFFFFF"/>
        </w:rPr>
        <w:t>推进港口船舶污染物接收转运处置全过程电子联单闭环管理，建立健全船舶和港口污染防治长效机制。</w:t>
      </w:r>
    </w:p>
    <w:p>
      <w:pPr>
        <w:pStyle w:val="6"/>
        <w:shd w:val="clear" w:color="auto" w:fill="FFFFFF"/>
        <w:spacing w:before="0" w:beforeAutospacing="0" w:after="0" w:afterAutospacing="0" w:line="540" w:lineRule="exact"/>
        <w:ind w:firstLine="560"/>
        <w:jc w:val="both"/>
        <w:rPr>
          <w:rFonts w:hint="eastAsia" w:ascii="仿宋_GB2312" w:hAnsi="微软雅黑" w:eastAsia="仿宋_GB2312"/>
          <w:color w:val="000000"/>
          <w:sz w:val="32"/>
          <w:szCs w:val="32"/>
        </w:rPr>
      </w:pPr>
      <w:r>
        <w:rPr>
          <w:rFonts w:hint="eastAsia" w:ascii="仿宋_GB2312" w:hAnsi="黑体" w:eastAsia="仿宋_GB2312"/>
          <w:sz w:val="32"/>
          <w:szCs w:val="32"/>
        </w:rPr>
        <w:t>5、持续抓好以</w:t>
      </w:r>
      <w:r>
        <w:rPr>
          <w:rFonts w:hint="eastAsia" w:ascii="仿宋_GB2312" w:hAnsi="楷体" w:eastAsia="仿宋_GB2312"/>
          <w:color w:val="000000"/>
          <w:sz w:val="32"/>
          <w:szCs w:val="32"/>
        </w:rPr>
        <w:t>党建促队伍各项工作</w:t>
      </w:r>
      <w:r>
        <w:rPr>
          <w:rFonts w:hint="eastAsia" w:ascii="仿宋_GB2312" w:hAnsi="楷体" w:eastAsia="仿宋_GB2312"/>
          <w:color w:val="000000"/>
          <w:sz w:val="21"/>
          <w:szCs w:val="21"/>
        </w:rPr>
        <w:t>，</w:t>
      </w:r>
      <w:r>
        <w:rPr>
          <w:rFonts w:hint="eastAsia" w:ascii="仿宋_GB2312" w:hAnsi="微软雅黑" w:eastAsia="仿宋_GB2312"/>
          <w:color w:val="000000"/>
          <w:sz w:val="32"/>
          <w:szCs w:val="32"/>
        </w:rPr>
        <w:t>严格落实组织生活会、“支部主题党日”、党员集中学习等制度，掌控好意识形态主动权和深化清廉交通建设，强化党内政治生活制度的约束力和执行力。</w:t>
      </w:r>
    </w:p>
    <w:p>
      <w:pPr>
        <w:pStyle w:val="6"/>
        <w:shd w:val="clear" w:color="auto" w:fill="FFFFFF"/>
        <w:spacing w:before="0" w:beforeAutospacing="0" w:after="0" w:afterAutospacing="0" w:line="540" w:lineRule="exact"/>
        <w:ind w:firstLine="560"/>
        <w:jc w:val="both"/>
        <w:rPr>
          <w:rFonts w:hint="eastAsia" w:ascii="仿宋_GB2312" w:hAnsi="微软雅黑" w:eastAsia="仿宋_GB2312"/>
          <w:color w:val="000000"/>
          <w:sz w:val="32"/>
          <w:szCs w:val="32"/>
        </w:rPr>
      </w:pPr>
    </w:p>
    <w:p>
      <w:pPr>
        <w:pStyle w:val="6"/>
        <w:widowControl/>
        <w:spacing w:before="0" w:beforeAutospacing="0" w:after="0" w:afterAutospacing="0" w:line="600" w:lineRule="exact"/>
        <w:ind w:firstLine="640" w:firstLineChars="200"/>
        <w:jc w:val="both"/>
        <w:rPr>
          <w:rFonts w:ascii="Times New Roman" w:hAnsi="Times New Roman" w:eastAsia="仿宋_GB2312" w:cs="仿宋_GB2312"/>
          <w:sz w:val="32"/>
          <w:szCs w:val="32"/>
        </w:rPr>
      </w:pPr>
    </w:p>
    <w:p>
      <w:pPr>
        <w:pStyle w:val="6"/>
        <w:widowControl/>
        <w:spacing w:before="0" w:beforeAutospacing="0" w:after="150" w:afterAutospacing="0"/>
        <w:rPr>
          <w:rFonts w:hint="eastAsia" w:ascii="Times New Roman" w:hAnsi="Times New Roman" w:cs="宋体"/>
          <w:sz w:val="27"/>
          <w:szCs w:val="27"/>
        </w:rPr>
      </w:pPr>
      <w:r>
        <w:rPr>
          <w:rStyle w:val="8"/>
          <w:rFonts w:hint="eastAsia" w:ascii="Times New Roman" w:hAnsi="Times New Roman" w:cs="宋体"/>
          <w:sz w:val="27"/>
          <w:szCs w:val="27"/>
        </w:rPr>
        <w:t>　　</w:t>
      </w: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sectPr>
          <w:footerReference r:id="rId5" w:type="default"/>
          <w:pgSz w:w="11906" w:h="16838"/>
          <w:pgMar w:top="1440" w:right="1800" w:bottom="1440" w:left="1800" w:header="720" w:footer="720" w:gutter="0"/>
          <w:pgNumType w:fmt="decimal"/>
          <w:cols w:space="720" w:num="1"/>
          <w:docGrid w:type="lines" w:linePitch="312" w:charSpace="0"/>
        </w:sect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jc w:val="both"/>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rPr>
          <w:rFonts w:hint="eastAsia" w:ascii="Times New Roman" w:hAnsi="Times New Roman" w:eastAsia="方正小标宋简体" w:cs="方正小标宋简体"/>
          <w:sz w:val="52"/>
          <w:szCs w:val="52"/>
          <w:lang w:bidi="ar"/>
        </w:rPr>
      </w:pPr>
      <w:r>
        <w:rPr>
          <w:rFonts w:hint="eastAsia" w:ascii="Times New Roman" w:hAnsi="Times New Roman" w:eastAsia="方正小标宋简体" w:cs="方正小标宋简体"/>
          <w:sz w:val="52"/>
          <w:szCs w:val="52"/>
          <w:lang w:bidi="ar"/>
        </w:rPr>
        <w:t>第二部分  攀枝花市航务海事中心</w:t>
      </w:r>
    </w:p>
    <w:p>
      <w:pPr>
        <w:pStyle w:val="6"/>
        <w:widowControl/>
        <w:spacing w:before="0" w:beforeAutospacing="0" w:after="0" w:afterAutospacing="0" w:line="600" w:lineRule="exact"/>
        <w:jc w:val="center"/>
        <w:outlineLvl w:val="0"/>
        <w:rPr>
          <w:rFonts w:hint="eastAsia" w:ascii="Times New Roman" w:hAnsi="Times New Roman" w:eastAsia="方正小标宋简体" w:cs="方正小标宋简体"/>
          <w:sz w:val="52"/>
          <w:szCs w:val="52"/>
          <w:lang w:bidi="ar"/>
        </w:rPr>
      </w:pPr>
      <w:r>
        <w:rPr>
          <w:rFonts w:hint="eastAsia" w:ascii="Times New Roman" w:hAnsi="Times New Roman" w:eastAsia="方正小标宋简体" w:cs="方正小标宋简体"/>
          <w:sz w:val="52"/>
          <w:szCs w:val="52"/>
          <w:lang w:bidi="ar"/>
        </w:rPr>
        <w:t>2023年单位预算情况说明</w:t>
      </w:r>
    </w:p>
    <w:p>
      <w:pPr>
        <w:pStyle w:val="6"/>
        <w:widowControl/>
        <w:spacing w:before="0" w:beforeAutospacing="0" w:after="0" w:afterAutospacing="0" w:line="600" w:lineRule="exact"/>
        <w:ind w:firstLine="640" w:firstLineChars="200"/>
        <w:jc w:val="both"/>
        <w:rPr>
          <w:rFonts w:hint="eastAsia" w:ascii="Times New Roman" w:hAnsi="Times New Roman" w:eastAsia="黑体"/>
          <w:sz w:val="32"/>
          <w:szCs w:val="32"/>
        </w:rPr>
        <w:sectPr>
          <w:footerReference r:id="rId6" w:type="default"/>
          <w:pgSz w:w="11906" w:h="16838"/>
          <w:pgMar w:top="1440" w:right="1800" w:bottom="1440" w:left="1800" w:header="720" w:footer="720" w:gutter="0"/>
          <w:pgNumType w:fmt="decimal"/>
          <w:cols w:space="720" w:num="1"/>
          <w:docGrid w:type="lines" w:linePitch="312" w:charSpace="0"/>
        </w:sectPr>
      </w:pPr>
    </w:p>
    <w:p>
      <w:pPr>
        <w:pStyle w:val="6"/>
        <w:widowControl/>
        <w:spacing w:before="0" w:beforeAutospacing="0" w:after="0" w:afterAutospacing="0" w:line="600" w:lineRule="exact"/>
        <w:ind w:firstLine="640" w:firstLineChars="200"/>
        <w:jc w:val="both"/>
        <w:outlineLvl w:val="1"/>
        <w:rPr>
          <w:rFonts w:hint="eastAsia" w:ascii="Times New Roman" w:hAnsi="Times New Roman" w:eastAsia="黑体"/>
          <w:sz w:val="32"/>
          <w:szCs w:val="32"/>
        </w:rPr>
      </w:pPr>
      <w:r>
        <w:rPr>
          <w:rFonts w:hint="eastAsia" w:ascii="Times New Roman" w:hAnsi="Times New Roman" w:eastAsia="黑体"/>
          <w:sz w:val="32"/>
          <w:szCs w:val="32"/>
        </w:rPr>
        <w:t>一、收支预算情况说明</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按照综合预算的原则，市航务海事中心所有收入和支出均纳入单位预算管理。收入包括：一般公共预算拨款收入；支出包括：</w:t>
      </w:r>
      <w:r>
        <w:rPr>
          <w:rFonts w:hint="eastAsia" w:ascii="仿宋_GB2312" w:hAnsi="宋体" w:eastAsia="仿宋_GB2312" w:cs="宋体"/>
          <w:kern w:val="0"/>
          <w:sz w:val="32"/>
          <w:szCs w:val="32"/>
        </w:rPr>
        <w:t>社会保障和就业支出、卫生健康支出、交通运输支出、住房保障支出</w:t>
      </w:r>
      <w:r>
        <w:rPr>
          <w:rFonts w:hint="eastAsia" w:ascii="仿宋_GB2312" w:hAnsi="Times New Roman" w:eastAsia="仿宋_GB2312"/>
          <w:sz w:val="32"/>
          <w:szCs w:val="32"/>
        </w:rPr>
        <w:t>。</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市航务海事中心2023年收支预算总数244.27万元,比2022年收支预算总数减少52.02万元，主要原因是人员变动减少人员经费。</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（一）收入预算情况</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市航务海事中心2023年收入预算244.27万元，其中：一般公共预算拨款收入244.27万元，占100%。</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（二）支出预算情况</w:t>
      </w:r>
    </w:p>
    <w:p>
      <w:pPr>
        <w:spacing w:line="580" w:lineRule="exact"/>
        <w:ind w:firstLine="640" w:firstLineChars="200"/>
        <w:rPr>
          <w:rFonts w:hint="eastAsia" w:ascii="仿宋_GB2312" w:hAnsi="Times New Roman" w:eastAsia="仿宋_GB2312"/>
          <w:sz w:val="32"/>
          <w:szCs w:val="32"/>
          <w:u w:val="single"/>
        </w:rPr>
      </w:pPr>
      <w:r>
        <w:rPr>
          <w:rFonts w:hint="eastAsia" w:ascii="仿宋_GB2312" w:hAnsi="Times New Roman" w:eastAsia="仿宋_GB2312"/>
          <w:sz w:val="32"/>
          <w:szCs w:val="32"/>
        </w:rPr>
        <w:t>市航务海事中心2023年支出预算244.27万元，其中：基本支出214.27万元，占87.7%；项目支出3万元，占12.3%。</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二、财政拨款收支预算情况说明</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市航务海事中心2023年财政拨款收支预算总数244.27万元,比2022年财政拨款收支预算总数减少52.02万元，主要原因是人员变动减少人员经费。</w:t>
      </w:r>
    </w:p>
    <w:p>
      <w:pPr>
        <w:spacing w:line="580" w:lineRule="exact"/>
        <w:rPr>
          <w:rFonts w:hint="eastAsia" w:ascii="仿宋_GB2312" w:hAnsi="Times New Roman" w:eastAsia="仿宋_GB2312"/>
          <w:sz w:val="32"/>
          <w:szCs w:val="32"/>
        </w:rPr>
        <w:sectPr>
          <w:footerReference r:id="rId7" w:type="default"/>
          <w:pgSz w:w="11906" w:h="16838"/>
          <w:pgMar w:top="1440" w:right="1800" w:bottom="1440" w:left="1800" w:header="720" w:footer="720" w:gutter="0"/>
          <w:pgNumType w:fmt="decimal"/>
          <w:cols w:space="720" w:num="1"/>
          <w:docGrid w:type="lines" w:linePitch="312" w:charSpace="0"/>
        </w:sectPr>
      </w:pPr>
    </w:p>
    <w:p>
      <w:pPr>
        <w:spacing w:line="580" w:lineRule="exact"/>
        <w:ind w:firstLine="640" w:firstLineChars="200"/>
        <w:rPr>
          <w:rFonts w:hint="eastAsia" w:ascii="仿宋_GB2312" w:hAnsi="Times New Roman" w:eastAsia="仿宋_GB2312"/>
          <w:sz w:val="32"/>
          <w:szCs w:val="32"/>
          <w:u w:val="single"/>
        </w:rPr>
      </w:pPr>
      <w:r>
        <w:rPr>
          <w:rFonts w:hint="eastAsia" w:ascii="仿宋_GB2312" w:hAnsi="Times New Roman" w:eastAsia="仿宋_GB2312"/>
          <w:sz w:val="32"/>
          <w:szCs w:val="32"/>
        </w:rPr>
        <w:t>收入包括：本年一般公共预算拨款收入244.27万元；支出包括：</w:t>
      </w:r>
      <w:r>
        <w:rPr>
          <w:rFonts w:hint="eastAsia" w:ascii="仿宋_GB2312" w:hAnsi="宋体" w:eastAsia="仿宋_GB2312" w:cs="宋体"/>
          <w:kern w:val="0"/>
          <w:sz w:val="32"/>
          <w:szCs w:val="32"/>
        </w:rPr>
        <w:t>社会保障和就业支出32.09万元、卫生健康支出16.14万元、交通运输支出178.84万元、住房保障支出17.2万元</w:t>
      </w:r>
      <w:r>
        <w:rPr>
          <w:rFonts w:hint="eastAsia" w:ascii="仿宋_GB2312" w:hAnsi="Times New Roman" w:eastAsia="仿宋_GB2312"/>
          <w:sz w:val="32"/>
          <w:szCs w:val="32"/>
        </w:rPr>
        <w:t>。</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三、一般公共预算当年拨款情况说明</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（一）一般公共预算当年拨款规模变化情况</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市航务海事中心2023年一般公共预算当年拨款244.27万元，比2022年预算数减少52.02万元，主要原因是人员变动减少人员经费。</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（二）一般公共预算当年拨款结构情况</w:t>
      </w:r>
    </w:p>
    <w:p>
      <w:pPr>
        <w:spacing w:line="580" w:lineRule="exact"/>
        <w:ind w:firstLine="640" w:firstLineChars="200"/>
        <w:rPr>
          <w:rFonts w:hint="eastAsia" w:ascii="仿宋_GB2312" w:hAnsi="Times New Roman" w:eastAsia="仿宋_GB2312"/>
          <w:sz w:val="32"/>
          <w:szCs w:val="32"/>
        </w:rPr>
      </w:pPr>
      <w:r>
        <w:rPr>
          <w:rFonts w:hint="eastAsia" w:ascii="仿宋_GB2312" w:hAnsi="宋体" w:eastAsia="仿宋_GB2312" w:cs="宋体"/>
          <w:kern w:val="0"/>
          <w:sz w:val="32"/>
          <w:szCs w:val="32"/>
        </w:rPr>
        <w:t>社会保障和就业支出32.09万元，</w:t>
      </w:r>
      <w:r>
        <w:rPr>
          <w:rFonts w:hint="eastAsia" w:ascii="仿宋_GB2312" w:hAnsi="Times New Roman" w:eastAsia="仿宋_GB2312"/>
          <w:sz w:val="32"/>
          <w:szCs w:val="32"/>
        </w:rPr>
        <w:t>占13.1%</w:t>
      </w:r>
      <w:r>
        <w:rPr>
          <w:rFonts w:hint="eastAsia" w:ascii="仿宋_GB2312" w:hAnsi="宋体" w:eastAsia="仿宋_GB2312" w:cs="宋体"/>
          <w:kern w:val="0"/>
          <w:sz w:val="32"/>
          <w:szCs w:val="32"/>
        </w:rPr>
        <w:t>、卫生健康支出16.14万元，</w:t>
      </w:r>
      <w:r>
        <w:rPr>
          <w:rFonts w:hint="eastAsia" w:ascii="仿宋_GB2312" w:hAnsi="Times New Roman" w:eastAsia="仿宋_GB2312"/>
          <w:sz w:val="32"/>
          <w:szCs w:val="32"/>
        </w:rPr>
        <w:t>占6.6%</w:t>
      </w:r>
      <w:r>
        <w:rPr>
          <w:rFonts w:hint="eastAsia" w:ascii="仿宋_GB2312" w:hAnsi="宋体" w:eastAsia="仿宋_GB2312" w:cs="宋体"/>
          <w:kern w:val="0"/>
          <w:sz w:val="32"/>
          <w:szCs w:val="32"/>
        </w:rPr>
        <w:t>、交通运输支出178.84万元，</w:t>
      </w:r>
      <w:r>
        <w:rPr>
          <w:rFonts w:hint="eastAsia" w:ascii="仿宋_GB2312" w:hAnsi="Times New Roman" w:eastAsia="仿宋_GB2312"/>
          <w:sz w:val="32"/>
          <w:szCs w:val="32"/>
        </w:rPr>
        <w:t>占73.2%</w:t>
      </w:r>
      <w:r>
        <w:rPr>
          <w:rFonts w:hint="eastAsia" w:ascii="仿宋_GB2312" w:hAnsi="宋体" w:eastAsia="仿宋_GB2312" w:cs="宋体"/>
          <w:kern w:val="0"/>
          <w:sz w:val="32"/>
          <w:szCs w:val="32"/>
        </w:rPr>
        <w:t>、住房保障支出17.2万元</w:t>
      </w:r>
      <w:r>
        <w:rPr>
          <w:rFonts w:hint="eastAsia" w:ascii="仿宋_GB2312" w:hAnsi="Times New Roman" w:eastAsia="仿宋_GB2312"/>
          <w:sz w:val="32"/>
          <w:szCs w:val="32"/>
        </w:rPr>
        <w:t>。占7.1%。</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（三）一般公共预算当年拨款具体使用情况</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1.社会保障和就业支出（类）行政事业单位离退休（款）行政单位离退休（项）2023年预算数为11.6万元，主要用于：退休人员社保统筹外退休费、生活补助的发放和退休医疗补助、公用经费开支。</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2. 社会保障和就业支出（类）行政事业单位离退休（款）机关事业单位基本养老保险缴费支出（项）2023年预算数为20.49万元，主要用于：在职人员缴纳基本养老保险。</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3. 卫生健康支出（类）行政事业单位医疗（款）行政单位医疗（项）11.04万元，主要用于：在职人员缴纳基本医疗保险。</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4.卫生健康支出（类）行政事业单位医疗（款）公务员医疗补助（项）0.8万元。主要用于：在职人员缴纳800元/年.人的公务员医疗补助。</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5.卫生健康支出（类）行政事业单位医疗（款）其他行政单位医疗支出（项）4.3万元，主要用于：在职人员缴纳补充医疗保险。</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6.交通运输支出（类）公路水路运输（款）行政运行（项）2023年预算数为175.84万元，主要用于：在职行政（参公）人员工资奖金发放、医保及失业保险缴纳；办公费、水费、电费、邮电费、差旅费、接待费、公务用车运行维护费、其他交通费用、工会经费、福利费等公用经费开支。</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7.交通运输支出（类）公路水路运输（款）海事管理（项）2023年预算数为3万元，主要用于：加强海事政务能力建设；保证单位正常运转，加强市级水上应急救助站日常安全管理等。</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8. 住房保障支出（类）住房改革支出（款）住房公积金（项）2023年预算数17.2万元，主要用于：在职职工缴纳住房公积金支出。</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四、一般公共预算基本支出情况说明</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市航务海事中心2023年一般公共预算基本支出241.27万元，其中：</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人员经费208.21万元，主要包括：基本工资、津贴补贴、奖金、绩效工资、机关事业单位基本养老保险缴费、职工基本医疗保险缴费、公务员医疗补助缴费、其他社会保障缴费、住房公积金、其他工资福利支出、退休费、生活补助、医疗费补助。</w:t>
      </w:r>
    </w:p>
    <w:p>
      <w:pPr>
        <w:spacing w:line="580" w:lineRule="exact"/>
        <w:ind w:firstLine="640" w:firstLineChars="200"/>
        <w:rPr>
          <w:rFonts w:hint="eastAsia" w:ascii="仿宋_GB2312" w:hAnsi="Times New Roman" w:eastAsia="仿宋_GB2312"/>
          <w:sz w:val="32"/>
          <w:szCs w:val="32"/>
          <w:u w:val="single"/>
        </w:rPr>
      </w:pPr>
      <w:r>
        <w:rPr>
          <w:rFonts w:hint="eastAsia" w:ascii="仿宋_GB2312" w:hAnsi="Times New Roman" w:eastAsia="仿宋_GB2312"/>
          <w:sz w:val="32"/>
          <w:szCs w:val="32"/>
        </w:rPr>
        <w:t>公用经费33.06万元，主要包括：办公费、水费、电费、邮电费、差旅费、公务接待费、工会经费、福利费、公务用车运行维护费、其他交通费用、其他商品和服务支出（党建经费、离退休公用）。</w:t>
      </w:r>
    </w:p>
    <w:p>
      <w:pPr>
        <w:ind w:firstLine="640" w:firstLineChars="200"/>
        <w:outlineLvl w:val="1"/>
        <w:rPr>
          <w:rFonts w:hint="eastAsia"/>
        </w:rPr>
      </w:pPr>
      <w:r>
        <w:rPr>
          <w:rFonts w:hint="eastAsia" w:ascii="Times New Roman" w:hAnsi="Times New Roman" w:eastAsia="黑体"/>
          <w:sz w:val="32"/>
          <w:szCs w:val="32"/>
        </w:rPr>
        <w:t>五、“三公”经费财政拨款预算安排情况说明</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三公”经费财政拨款预算数6.03万元，其中：公务接待费0.85万元，公务用车购置及运行维护费5.18万元。根据工作统一安排，2023年市本级年初部门预算暂不编列因公出国（境）经费。执行中，市级部门确需执行出国（境）任务和计划的，按照“一事一议”的方式按程序报市政府</w:t>
      </w:r>
      <w:r>
        <w:rPr>
          <w:rFonts w:hint="eastAsia" w:ascii="仿宋_GB2312" w:hAnsi="Times New Roman" w:eastAsia="仿宋_GB2312"/>
          <w:sz w:val="32"/>
          <w:szCs w:val="32"/>
          <w:lang w:eastAsia="zh-CN"/>
        </w:rPr>
        <w:t>审</w:t>
      </w:r>
      <w:r>
        <w:rPr>
          <w:rFonts w:hint="eastAsia" w:ascii="仿宋_GB2312" w:hAnsi="Times New Roman" w:eastAsia="仿宋_GB2312"/>
          <w:sz w:val="32"/>
          <w:szCs w:val="32"/>
        </w:rPr>
        <w:t>批后安排经费。</w:t>
      </w:r>
    </w:p>
    <w:p>
      <w:pPr>
        <w:spacing w:line="580" w:lineRule="exact"/>
        <w:ind w:firstLine="640"/>
        <w:rPr>
          <w:rFonts w:hint="eastAsia" w:ascii="Times New Roman" w:hAnsi="Times New Roman" w:eastAsia="黑体"/>
          <w:b/>
          <w:sz w:val="32"/>
          <w:szCs w:val="32"/>
        </w:rPr>
      </w:pPr>
      <w:r>
        <w:rPr>
          <w:rFonts w:hint="eastAsia" w:ascii="Times New Roman" w:hAnsi="Times New Roman" w:eastAsia="楷体_GB2312"/>
          <w:b/>
          <w:sz w:val="32"/>
          <w:szCs w:val="32"/>
        </w:rPr>
        <w:t>（一）公务接待费较2022年预算下降</w:t>
      </w:r>
      <w:r>
        <w:rPr>
          <w:rFonts w:hint="eastAsia" w:ascii="Times New Roman" w:hAnsi="Times New Roman" w:eastAsia="仿宋_GB2312"/>
          <w:b/>
          <w:sz w:val="32"/>
          <w:szCs w:val="32"/>
        </w:rPr>
        <w:t>10</w:t>
      </w:r>
      <w:r>
        <w:rPr>
          <w:rFonts w:ascii="Times New Roman" w:hAnsi="Times New Roman" w:eastAsia="楷体_GB2312"/>
          <w:b/>
          <w:sz w:val="32"/>
          <w:szCs w:val="32"/>
        </w:rPr>
        <w:t>%</w:t>
      </w:r>
      <w:r>
        <w:rPr>
          <w:rFonts w:hint="eastAsia" w:ascii="Times New Roman" w:hAnsi="Times New Roman" w:eastAsia="楷体_GB2312"/>
          <w:b/>
          <w:sz w:val="32"/>
          <w:szCs w:val="32"/>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厉</w:t>
      </w:r>
      <w:r>
        <w:rPr>
          <w:rFonts w:hint="eastAsia" w:ascii="Times New Roman" w:hAnsi="Times New Roman" w:eastAsia="仿宋_GB2312"/>
          <w:sz w:val="32"/>
          <w:szCs w:val="32"/>
        </w:rPr>
        <w:t>行节约，压减相关经费。</w:t>
      </w:r>
    </w:p>
    <w:p>
      <w:pPr>
        <w:spacing w:line="580" w:lineRule="exact"/>
        <w:ind w:firstLine="640"/>
        <w:rPr>
          <w:rFonts w:ascii="Times New Roman" w:hAnsi="Times New Roman" w:eastAsia="仿宋_GB2312"/>
          <w:sz w:val="32"/>
          <w:szCs w:val="32"/>
        </w:rPr>
      </w:pPr>
      <w:r>
        <w:rPr>
          <w:rFonts w:hint="eastAsia" w:ascii="Times New Roman" w:hAnsi="Times New Roman" w:eastAsia="仿宋_GB2312"/>
          <w:sz w:val="32"/>
          <w:szCs w:val="32"/>
        </w:rPr>
        <w:t>2023年公务接待费计划用于省级安全检查、</w:t>
      </w:r>
      <w:r>
        <w:rPr>
          <w:rFonts w:ascii="Times New Roman" w:hAnsi="Times New Roman" w:eastAsia="仿宋_GB2312"/>
          <w:sz w:val="32"/>
          <w:szCs w:val="32"/>
        </w:rPr>
        <w:t>考察调研、等公务活动开支的用餐费等</w:t>
      </w:r>
      <w:r>
        <w:rPr>
          <w:rFonts w:hint="eastAsia" w:ascii="Times New Roman" w:hAnsi="Times New Roman" w:eastAsia="仿宋_GB2312"/>
          <w:sz w:val="32"/>
          <w:szCs w:val="32"/>
        </w:rPr>
        <w:t>。</w:t>
      </w:r>
    </w:p>
    <w:p>
      <w:pPr>
        <w:spacing w:line="580" w:lineRule="exact"/>
        <w:ind w:firstLine="640"/>
        <w:rPr>
          <w:rFonts w:hint="eastAsia" w:ascii="Times New Roman" w:hAnsi="Times New Roman" w:eastAsia="黑体"/>
          <w:b/>
          <w:sz w:val="32"/>
          <w:szCs w:val="32"/>
        </w:rPr>
      </w:pPr>
      <w:r>
        <w:rPr>
          <w:rFonts w:hint="eastAsia" w:ascii="Times New Roman" w:hAnsi="Times New Roman" w:eastAsia="楷体_GB2312"/>
          <w:b/>
          <w:sz w:val="32"/>
          <w:szCs w:val="32"/>
        </w:rPr>
        <w:t>（二）公务用车购置及运行维护费较2022年预算下降</w:t>
      </w:r>
      <w:r>
        <w:rPr>
          <w:rFonts w:hint="eastAsia" w:ascii="Times New Roman" w:hAnsi="Times New Roman" w:eastAsia="仿宋_GB2312"/>
          <w:b/>
          <w:sz w:val="32"/>
          <w:szCs w:val="32"/>
        </w:rPr>
        <w:t>20</w:t>
      </w:r>
      <w:r>
        <w:rPr>
          <w:rFonts w:ascii="Times New Roman" w:hAnsi="Times New Roman" w:eastAsia="楷体_GB2312"/>
          <w:b/>
          <w:sz w:val="32"/>
          <w:szCs w:val="32"/>
        </w:rPr>
        <w:t>%</w:t>
      </w:r>
      <w:r>
        <w:rPr>
          <w:rFonts w:hint="eastAsia" w:ascii="Times New Roman" w:hAnsi="Times New Roman" w:eastAsia="楷体_GB2312"/>
          <w:b/>
          <w:sz w:val="32"/>
          <w:szCs w:val="32"/>
        </w:rPr>
        <w:t>。</w:t>
      </w:r>
      <w:r>
        <w:rPr>
          <w:rFonts w:hint="eastAsia" w:ascii="Times New Roman" w:hAnsi="Times New Roman" w:eastAsia="仿宋_GB2312"/>
          <w:sz w:val="32"/>
          <w:szCs w:val="32"/>
        </w:rPr>
        <w:t>主要原因：</w:t>
      </w:r>
      <w:r>
        <w:rPr>
          <w:rFonts w:hint="eastAsia" w:ascii="Times New Roman" w:hAnsi="Times New Roman" w:eastAsia="仿宋_GB2312"/>
          <w:sz w:val="32"/>
          <w:szCs w:val="32"/>
          <w:lang w:eastAsia="zh-CN"/>
        </w:rPr>
        <w:t>厉</w:t>
      </w:r>
      <w:r>
        <w:rPr>
          <w:rFonts w:hint="eastAsia" w:ascii="Times New Roman" w:hAnsi="Times New Roman" w:eastAsia="仿宋_GB2312"/>
          <w:sz w:val="32"/>
          <w:szCs w:val="32"/>
        </w:rPr>
        <w:t>行节约，压减相关经费。</w:t>
      </w:r>
    </w:p>
    <w:p>
      <w:pPr>
        <w:spacing w:line="58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单位现有公务用车4辆，其中：轿车1辆，另有船舶折合车辆3辆。</w:t>
      </w:r>
    </w:p>
    <w:p>
      <w:pPr>
        <w:spacing w:line="58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2023年未安排公务用车购置费。</w:t>
      </w:r>
    </w:p>
    <w:p>
      <w:pPr>
        <w:spacing w:line="58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2023年安排公务用车运行维护费5.18万元，用于1辆公务用车的使用、维护、燃油、车辆通行、车辆保险等方面经及3艘船舶燃油、维护看守、维修等支出。主要保障航道巡航巡查等工作开展。</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六、非财政拨款预算安排“三公”经费情况说明</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市航务海事中心2023年无非财政拨款“三公”经费预算。</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七、政府性基金预算支出情况说明</w:t>
      </w:r>
    </w:p>
    <w:p>
      <w:pPr>
        <w:spacing w:line="580" w:lineRule="exact"/>
        <w:ind w:firstLine="640" w:firstLineChars="200"/>
        <w:rPr>
          <w:rFonts w:hint="eastAsia" w:ascii="仿宋_GB2312" w:hAnsi="Times New Roman" w:eastAsia="仿宋_GB2312"/>
          <w:sz w:val="32"/>
          <w:szCs w:val="32"/>
          <w:u w:val="single"/>
        </w:rPr>
      </w:pPr>
      <w:r>
        <w:rPr>
          <w:rFonts w:hint="eastAsia" w:ascii="仿宋_GB2312" w:hAnsi="Times New Roman" w:eastAsia="仿宋_GB2312"/>
          <w:sz w:val="32"/>
          <w:szCs w:val="32"/>
        </w:rPr>
        <w:t>市航务海事中心2023年无政府性基金预算。</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八、国有资本经营预算情况说明</w:t>
      </w:r>
    </w:p>
    <w:p>
      <w:pPr>
        <w:spacing w:line="580" w:lineRule="exact"/>
        <w:ind w:firstLine="640" w:firstLineChars="200"/>
        <w:rPr>
          <w:rFonts w:hint="eastAsia" w:ascii="仿宋_GB2312" w:hAnsi="Times New Roman" w:eastAsia="仿宋_GB2312"/>
          <w:sz w:val="32"/>
          <w:szCs w:val="32"/>
          <w:u w:val="single"/>
        </w:rPr>
      </w:pPr>
      <w:r>
        <w:rPr>
          <w:rFonts w:hint="eastAsia" w:ascii="仿宋_GB2312" w:hAnsi="Times New Roman" w:eastAsia="仿宋_GB2312"/>
          <w:sz w:val="32"/>
          <w:szCs w:val="32"/>
        </w:rPr>
        <w:t>市航务海事中心2023年无国有资本经营预算。</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九、其他重要事项的情况说明</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（一）机关运行经费情况</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2023年，市航务海事中心机关运行经费财政拨款预算为33.06万元，比2022年预算减少2.25万元，下降6%。主要原因是：人员变动减少人员经费。</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（二）政府采购情况</w:t>
      </w:r>
    </w:p>
    <w:p>
      <w:pPr>
        <w:spacing w:line="580" w:lineRule="exact"/>
        <w:ind w:firstLine="640" w:firstLineChars="200"/>
        <w:outlineLvl w:val="2"/>
        <w:rPr>
          <w:rFonts w:hint="eastAsia" w:ascii="仿宋_GB2312" w:hAnsi="Times New Roman" w:eastAsia="仿宋_GB2312"/>
          <w:sz w:val="32"/>
          <w:szCs w:val="32"/>
        </w:rPr>
      </w:pPr>
      <w:r>
        <w:rPr>
          <w:rFonts w:hint="eastAsia" w:ascii="仿宋_GB2312" w:hAnsi="Times New Roman" w:eastAsia="仿宋_GB2312"/>
          <w:sz w:val="32"/>
          <w:szCs w:val="32"/>
        </w:rPr>
        <w:t>2023年，市</w:t>
      </w:r>
      <w:r>
        <w:rPr>
          <w:rFonts w:hint="eastAsia" w:ascii="仿宋_GB2312" w:hAnsi="Times New Roman" w:eastAsia="仿宋_GB2312"/>
          <w:sz w:val="32"/>
          <w:szCs w:val="32"/>
          <w:lang w:val="en-US" w:eastAsia="zh-CN"/>
        </w:rPr>
        <w:t>航务海事中心</w:t>
      </w:r>
      <w:r>
        <w:rPr>
          <w:rFonts w:hint="eastAsia" w:ascii="仿宋_GB2312" w:hAnsi="Times New Roman" w:eastAsia="仿宋_GB2312"/>
          <w:sz w:val="32"/>
          <w:szCs w:val="32"/>
        </w:rPr>
        <w:t>安排政府采购预算</w:t>
      </w:r>
      <w:r>
        <w:rPr>
          <w:rFonts w:hint="eastAsia" w:ascii="仿宋_GB2312" w:hAnsi="Times New Roman" w:eastAsia="仿宋_GB2312"/>
          <w:sz w:val="32"/>
          <w:szCs w:val="32"/>
          <w:lang w:val="en-US" w:eastAsia="zh-CN"/>
        </w:rPr>
        <w:t>1.00</w:t>
      </w:r>
      <w:r>
        <w:rPr>
          <w:rFonts w:hint="eastAsia" w:ascii="仿宋_GB2312" w:hAnsi="Times New Roman" w:eastAsia="仿宋_GB2312"/>
          <w:sz w:val="32"/>
          <w:szCs w:val="32"/>
        </w:rPr>
        <w:t>万元，其中政府采购服务预算</w:t>
      </w:r>
      <w:r>
        <w:rPr>
          <w:rFonts w:hint="eastAsia" w:ascii="仿宋_GB2312" w:hAnsi="Times New Roman" w:eastAsia="仿宋_GB2312"/>
          <w:sz w:val="32"/>
          <w:szCs w:val="32"/>
          <w:lang w:val="en-US" w:eastAsia="zh-CN"/>
        </w:rPr>
        <w:t>1.00</w:t>
      </w:r>
      <w:r>
        <w:rPr>
          <w:rFonts w:hint="eastAsia" w:ascii="仿宋_GB2312" w:hAnsi="Times New Roman" w:eastAsia="仿宋_GB2312"/>
          <w:sz w:val="32"/>
          <w:szCs w:val="32"/>
        </w:rPr>
        <w:t>万元。</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（三）国有资产占有使用情况</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截至202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年底，市航务海事中心共有车辆4辆，其中公务用车1辆，船舶折合车辆3辆。</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市航务海事中心2023年单位预算未安排购置车辆及单位价值200万元以上大型设备。</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（四）预算绩效情况</w:t>
      </w:r>
    </w:p>
    <w:p>
      <w:pPr>
        <w:spacing w:line="578"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Times New Roman" w:eastAsia="仿宋_GB2312"/>
          <w:sz w:val="32"/>
          <w:szCs w:val="32"/>
        </w:rPr>
        <w:t>市航务海事中心</w:t>
      </w:r>
      <w:r>
        <w:rPr>
          <w:rFonts w:hint="eastAsia" w:ascii="仿宋_GB2312" w:hAnsi="仿宋_GB2312" w:eastAsia="仿宋_GB2312" w:cs="仿宋_GB2312"/>
          <w:sz w:val="32"/>
          <w:szCs w:val="32"/>
        </w:rPr>
        <w:t>开展绩效目标管理的项目2个，涉及预算3万元。其中：运转类项目2个，涉及预算3万元，其中：海事管理2万元，物业管理费1万元。</w:t>
      </w:r>
    </w:p>
    <w:p>
      <w:pPr>
        <w:pStyle w:val="6"/>
        <w:widowControl/>
        <w:spacing w:before="0" w:beforeAutospacing="0" w:after="0" w:afterAutospacing="0"/>
        <w:ind w:firstLine="640" w:firstLineChars="200"/>
        <w:jc w:val="both"/>
        <w:rPr>
          <w:rFonts w:hint="eastAsia" w:ascii="Times New Roman" w:hAnsi="Times New Roman" w:eastAsia="仿宋_GB2312" w:cs="仿宋_GB2312"/>
          <w:sz w:val="32"/>
          <w:szCs w:val="32"/>
        </w:rPr>
        <w:sectPr>
          <w:footerReference r:id="rId8" w:type="default"/>
          <w:pgSz w:w="11906" w:h="16838"/>
          <w:pgMar w:top="1440" w:right="1800" w:bottom="1440" w:left="1800" w:header="720" w:footer="720" w:gutter="0"/>
          <w:pgNumType w:fmt="decimal"/>
          <w:cols w:space="720" w:num="1"/>
          <w:docGrid w:type="lines" w:linePitch="312" w:charSpace="0"/>
        </w:sectPr>
      </w:pPr>
    </w:p>
    <w:p>
      <w:pPr>
        <w:pStyle w:val="6"/>
        <w:widowControl/>
        <w:spacing w:before="0" w:beforeAutospacing="0" w:after="0" w:afterAutospacing="0"/>
        <w:ind w:firstLine="640" w:firstLineChars="200"/>
        <w:jc w:val="both"/>
        <w:rPr>
          <w:rFonts w:hint="eastAsia" w:ascii="Times New Roman" w:hAnsi="Times New Roman" w:eastAsia="仿宋_GB2312" w:cs="仿宋_GB2312"/>
          <w:sz w:val="32"/>
          <w:szCs w:val="32"/>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6"/>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jc w:val="center"/>
        <w:outlineLvl w:val="0"/>
        <w:rPr>
          <w:rFonts w:ascii="Times New Roman" w:hAnsi="Times New Roman" w:eastAsia="方正小标宋简体" w:cs="方正小标宋简体"/>
          <w:kern w:val="0"/>
          <w:sz w:val="52"/>
          <w:szCs w:val="52"/>
          <w:lang w:bidi="ar"/>
        </w:rPr>
      </w:pPr>
      <w:r>
        <w:rPr>
          <w:rFonts w:hint="eastAsia" w:ascii="Times New Roman" w:hAnsi="Times New Roman" w:eastAsia="方正小标宋简体" w:cs="方正小标宋简体"/>
          <w:kern w:val="0"/>
          <w:sz w:val="52"/>
          <w:szCs w:val="52"/>
          <w:lang w:bidi="ar"/>
        </w:rPr>
        <w:t xml:space="preserve">第三部分  </w:t>
      </w:r>
      <w:r>
        <w:rPr>
          <w:rFonts w:ascii="Times New Roman" w:hAnsi="Times New Roman" w:eastAsia="方正小标宋简体" w:cs="方正小标宋简体"/>
          <w:kern w:val="0"/>
          <w:sz w:val="52"/>
          <w:szCs w:val="52"/>
          <w:lang w:bidi="ar"/>
        </w:rPr>
        <w:t>名词解释</w:t>
      </w:r>
    </w:p>
    <w:p>
      <w:pPr>
        <w:ind w:firstLine="640" w:firstLineChars="200"/>
        <w:rPr>
          <w:rFonts w:ascii="Times New Roman" w:hAnsi="Times New Roman" w:eastAsia="仿宋_GB2312"/>
          <w:sz w:val="32"/>
          <w:szCs w:val="32"/>
        </w:rPr>
        <w:sectPr>
          <w:footerReference r:id="rId9" w:type="default"/>
          <w:pgSz w:w="11906" w:h="16838"/>
          <w:pgMar w:top="1440" w:right="1800" w:bottom="1440" w:left="1800" w:header="720" w:footer="720" w:gutter="0"/>
          <w:pgNumType w:fmt="decimal"/>
          <w:cols w:space="720" w:num="1"/>
          <w:docGrid w:type="lines" w:linePitch="312" w:charSpace="0"/>
        </w:sectPr>
      </w:pP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1.一般公共预算拨款收入：是指市级财政当年拨付的预算资金。</w:t>
      </w:r>
    </w:p>
    <w:p>
      <w:pPr>
        <w:spacing w:line="580" w:lineRule="exact"/>
        <w:ind w:firstLine="640" w:firstLineChars="200"/>
        <w:jc w:val="left"/>
        <w:outlineLvl w:val="1"/>
        <w:rPr>
          <w:rFonts w:hint="eastAsia" w:ascii="仿宋_GB2312" w:hAnsi="Times New Roman" w:eastAsia="仿宋_GB2312"/>
          <w:sz w:val="32"/>
          <w:szCs w:val="32"/>
        </w:rPr>
      </w:pPr>
      <w:r>
        <w:rPr>
          <w:rFonts w:hint="eastAsia" w:ascii="仿宋_GB2312" w:hAnsi="Times New Roman" w:eastAsia="仿宋_GB2312"/>
          <w:sz w:val="32"/>
          <w:szCs w:val="32"/>
        </w:rPr>
        <w:t>2.基本支出：是指为保证机构正常运转，完成日常工作任务而发生的人员支出和公用支出。</w:t>
      </w:r>
    </w:p>
    <w:p>
      <w:pPr>
        <w:spacing w:line="580" w:lineRule="exact"/>
        <w:ind w:firstLine="640" w:firstLineChars="200"/>
        <w:jc w:val="left"/>
        <w:outlineLvl w:val="1"/>
        <w:rPr>
          <w:rFonts w:hint="eastAsia" w:ascii="仿宋_GB2312" w:hAnsi="Times New Roman" w:eastAsia="仿宋_GB2312"/>
          <w:sz w:val="32"/>
          <w:szCs w:val="32"/>
        </w:rPr>
      </w:pPr>
      <w:r>
        <w:rPr>
          <w:rFonts w:hint="eastAsia" w:ascii="仿宋_GB2312" w:hAnsi="Times New Roman" w:eastAsia="仿宋_GB2312"/>
          <w:sz w:val="32"/>
          <w:szCs w:val="32"/>
        </w:rPr>
        <w:t>3.项目支出：是指在基本支出之外为完成特定行政任务和事业发展目标所发生的支出。</w:t>
      </w:r>
    </w:p>
    <w:p>
      <w:pPr>
        <w:spacing w:line="580" w:lineRule="exact"/>
        <w:ind w:firstLine="640" w:firstLineChars="200"/>
        <w:jc w:val="left"/>
        <w:outlineLvl w:val="1"/>
        <w:rPr>
          <w:rFonts w:hint="eastAsia" w:ascii="仿宋_GB2312" w:hAnsi="Times New Roman" w:eastAsia="仿宋_GB2312"/>
          <w:sz w:val="32"/>
          <w:szCs w:val="32"/>
        </w:rPr>
      </w:pPr>
      <w:r>
        <w:rPr>
          <w:rFonts w:hint="eastAsia" w:ascii="仿宋_GB2312" w:hAnsi="Times New Roman" w:eastAsia="仿宋_GB2312"/>
          <w:sz w:val="32"/>
          <w:szCs w:val="32"/>
        </w:rPr>
        <w:t>4.社会保障和就业支出：是指用于退休人员社保统筹外退休费、生活补助的发放、退休医疗补助、公用经费开支，以及在职人员缴纳基本养老保险的支出。</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5. 卫生健康支出：是指用于在职人员缴纳基本医疗保险、公务员医疗补助以及补充医疗保险的支出。</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6.交通运输支出：是指用于交通运输类工作的日常运行及特定项目等支出。行政运行主要用于：在职人员工资奖金发放、医保及失业保险缴纳；办公费、水费、电费、邮电费、差旅费、接待费、公务用车运行维护费、其他交通费用、工会经费、福利费等公用经费开支。</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7.海事管理：是指主要用于加强海事政务能力建设；保证单位正常运转，加强市级水上应急救助站日常安全管理等工作开展的经费。</w:t>
      </w:r>
    </w:p>
    <w:p>
      <w:pPr>
        <w:spacing w:line="580" w:lineRule="exact"/>
        <w:ind w:firstLine="640" w:firstLineChars="200"/>
        <w:outlineLvl w:val="1"/>
        <w:rPr>
          <w:rFonts w:hint="eastAsia" w:ascii="仿宋_GB2312" w:hAnsi="Times New Roman" w:eastAsia="仿宋_GB2312"/>
          <w:sz w:val="32"/>
          <w:szCs w:val="32"/>
        </w:rPr>
      </w:pPr>
      <w:r>
        <w:rPr>
          <w:rFonts w:hint="eastAsia" w:ascii="仿宋_GB2312" w:hAnsi="Times New Roman" w:eastAsia="仿宋_GB2312"/>
          <w:sz w:val="32"/>
          <w:szCs w:val="32"/>
        </w:rPr>
        <w:t>8. 住房保障支出（类）住房改革支出（款）住房公积金（项）2023年预算数17.2万元，主要用于：在职职工缴纳住房公积金支出。</w:t>
      </w:r>
    </w:p>
    <w:p>
      <w:pPr>
        <w:ind w:firstLine="640" w:firstLineChars="200"/>
        <w:rPr>
          <w:rFonts w:ascii="Times New Roman" w:hAnsi="Times New Roman" w:eastAsia="仿宋_GB2312"/>
          <w:sz w:val="32"/>
          <w:szCs w:val="32"/>
        </w:rPr>
      </w:pPr>
    </w:p>
    <w:p>
      <w:pPr>
        <w:ind w:firstLine="640" w:firstLineChars="200"/>
        <w:rPr>
          <w:rFonts w:ascii="仿宋_GB2312" w:hAnsi="Times New Roman" w:eastAsia="仿宋_GB2312"/>
          <w:sz w:val="32"/>
          <w:szCs w:val="32"/>
        </w:rPr>
      </w:pPr>
      <w:bookmarkStart w:id="0" w:name="_GoBack"/>
      <w:bookmarkEnd w:id="0"/>
      <w:r>
        <w:rPr>
          <w:rFonts w:hint="eastAsia" w:ascii="仿宋_GB2312" w:hAnsi="Times New Roman" w:eastAsia="仿宋_GB2312"/>
          <w:sz w:val="32"/>
          <w:szCs w:val="32"/>
        </w:rPr>
        <w:t>附件：表1.</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收支总表</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表1-1.</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收入总表</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表1-2.</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支出总表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表2.财政拨款收支预算总表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表2-1.财政拨款支出预算表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表3.一般公共预算支出预算表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表3-1.一般公共预算基本支出预算表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表3-2.一般公共预算项目支出预算表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表3-3.一般公共预算“三公”经费支出预算表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表4.政府性基金支出预算表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表4-1.政府性基金预算“三公”经费支出预算表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表5.国有资本经营预算支出预算表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表6-1.</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预算项目绩效目标表</w:t>
      </w: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表6-2.</w:t>
      </w:r>
      <w:r>
        <w:rPr>
          <w:rFonts w:hint="eastAsia" w:ascii="仿宋_GB2312" w:hAnsi="Times New Roman" w:eastAsia="仿宋_GB2312"/>
          <w:sz w:val="32"/>
          <w:szCs w:val="32"/>
          <w:lang w:eastAsia="zh-CN"/>
        </w:rPr>
        <w:t>单位</w:t>
      </w:r>
      <w:r>
        <w:rPr>
          <w:rFonts w:hint="eastAsia" w:ascii="仿宋_GB2312" w:hAnsi="Times New Roman" w:eastAsia="仿宋_GB2312"/>
          <w:sz w:val="32"/>
          <w:szCs w:val="32"/>
        </w:rPr>
        <w:t>预算项目绩效目标表</w:t>
      </w:r>
    </w:p>
    <w:p/>
    <w:sectPr>
      <w:footerReference r:id="rId10"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r>
                      <w:rPr>
                        <w:rFonts w:hint="eastAsia"/>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r>
                      <w:rPr>
                        <w:rFonts w:hint="eastAsia"/>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- 6 -</w:t>
                    </w:r>
                    <w:r>
                      <w:rPr>
                        <w:rFonts w:hint="eastAsia"/>
                        <w:lang w:eastAsia="zh-CN"/>
                      </w:rPr>
                      <w:fldChar w:fldCharType="end"/>
                    </w:r>
                    <w:r>
                      <w:rPr>
                        <w:rFonts w:hint="eastAsia"/>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- 11 -</w:t>
                    </w:r>
                    <w:r>
                      <w:rPr>
                        <w:rFonts w:hint="eastAsia"/>
                        <w:lang w:eastAsia="zh-CN"/>
                      </w:rPr>
                      <w:fldChar w:fldCharType="end"/>
                    </w:r>
                    <w:r>
                      <w:rPr>
                        <w:rFonts w:hint="eastAsia"/>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- 10 -</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04"/>
    <w:rsid w:val="00150625"/>
    <w:rsid w:val="00152026"/>
    <w:rsid w:val="001E04EA"/>
    <w:rsid w:val="002426EF"/>
    <w:rsid w:val="00275FC6"/>
    <w:rsid w:val="00283972"/>
    <w:rsid w:val="0031041B"/>
    <w:rsid w:val="003B1664"/>
    <w:rsid w:val="003D24F0"/>
    <w:rsid w:val="00455B7D"/>
    <w:rsid w:val="004F7F88"/>
    <w:rsid w:val="00541F60"/>
    <w:rsid w:val="00612A9B"/>
    <w:rsid w:val="00620468"/>
    <w:rsid w:val="006C002B"/>
    <w:rsid w:val="006D04E6"/>
    <w:rsid w:val="007F3CA1"/>
    <w:rsid w:val="00AF6A53"/>
    <w:rsid w:val="00B12187"/>
    <w:rsid w:val="00DC0004"/>
    <w:rsid w:val="00E90484"/>
    <w:rsid w:val="00F75111"/>
    <w:rsid w:val="42071D08"/>
    <w:rsid w:val="4A6E6833"/>
    <w:rsid w:val="5AE3080F"/>
    <w:rsid w:val="60AD657B"/>
    <w:rsid w:val="62260050"/>
    <w:rsid w:val="7377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0"/>
    <w:qFormat/>
    <w:uiPriority w:val="0"/>
    <w:pPr>
      <w:spacing w:after="140" w:line="276" w:lineRule="auto"/>
    </w:pPr>
  </w:style>
  <w:style w:type="paragraph" w:styleId="3">
    <w:name w:val="Balloon Text"/>
    <w:basedOn w:val="1"/>
    <w:link w:val="13"/>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10">
    <w:name w:val="正文文本 Char"/>
    <w:basedOn w:val="7"/>
    <w:link w:val="2"/>
    <w:qFormat/>
    <w:uiPriority w:val="0"/>
    <w:rPr>
      <w:rFonts w:ascii="Calibri" w:hAnsi="Calibri" w:eastAsia="宋体" w:cs="Times New Roman"/>
      <w:szCs w:val="24"/>
    </w:rPr>
  </w:style>
  <w:style w:type="character" w:customStyle="1" w:styleId="11">
    <w:name w:val="页脚 Char"/>
    <w:basedOn w:val="7"/>
    <w:link w:val="4"/>
    <w:qFormat/>
    <w:uiPriority w:val="0"/>
    <w:rPr>
      <w:rFonts w:ascii="Calibri" w:hAnsi="Calibri" w:eastAsia="宋体" w:cs="Times New Roman"/>
      <w:sz w:val="18"/>
      <w:szCs w:val="24"/>
    </w:rPr>
  </w:style>
  <w:style w:type="paragraph" w:customStyle="1" w:styleId="12">
    <w:name w:val="List Paragraph"/>
    <w:basedOn w:val="1"/>
    <w:qFormat/>
    <w:uiPriority w:val="34"/>
    <w:pPr>
      <w:suppressAutoHyphens w:val="0"/>
      <w:ind w:firstLine="420" w:firstLineChars="200"/>
    </w:pPr>
    <w:rPr>
      <w:szCs w:val="22"/>
    </w:rPr>
  </w:style>
  <w:style w:type="character" w:customStyle="1" w:styleId="13">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590</Words>
  <Characters>3367</Characters>
  <Lines>28</Lines>
  <Paragraphs>7</Paragraphs>
  <TotalTime>0</TotalTime>
  <ScaleCrop>false</ScaleCrop>
  <LinksUpToDate>false</LinksUpToDate>
  <CharactersWithSpaces>3950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2023-01-30T05:01:00Z</dcterms:created>
  <dc:creator>admin</dc:creator>
  <cp:lastModifiedBy>王羽</cp:lastModifiedBy>
  <dcterms:modified xsi:type="dcterms:W3CDTF">2023-02-01T10:35:00Z</dcterms:modified>
  <dc:title>攀枝花市航务海事中心</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