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bookmarkStart w:id="0" w:name="_GoBack"/>
      <w:r>
        <w:drawing>
          <wp:inline distT="0" distB="0" distL="0" distR="0">
            <wp:extent cx="3035300" cy="8229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035300" cy="8229600"/>
                    </a:xfrm>
                    <a:prstGeom prst="rect">
                      <a:avLst/>
                    </a:prstGeom>
                  </pic:spPr>
                </pic:pic>
              </a:graphicData>
            </a:graphic>
          </wp:inline>
        </w:drawing>
      </w:r>
      <w:bookmarkEnd w:id="0"/>
      <w:r>
        <w:drawing>
          <wp:inline distT="0" distB="0" distL="0" distR="0">
            <wp:extent cx="2985770" cy="822960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985770" cy="8229600"/>
                    </a:xfrm>
                    <a:prstGeom prst="rect">
                      <a:avLst/>
                    </a:prstGeom>
                  </pic:spPr>
                </pic:pic>
              </a:graphicData>
            </a:graphic>
          </wp:inline>
        </w:drawing>
      </w:r>
    </w:p>
    <w:p>
      <w:pPr>
        <w:rPr>
          <w:rFonts w:hint="eastAsia"/>
        </w:rPr>
      </w:pPr>
    </w:p>
    <w:p>
      <w:pPr>
        <w:rPr>
          <w:rFonts w:hint="eastAsia"/>
        </w:rPr>
      </w:pPr>
    </w:p>
    <w:p>
      <w:pPr>
        <w:pStyle w:val="2"/>
        <w:spacing w:before="0" w:beforeAutospacing="0" w:after="0" w:afterAutospacing="0"/>
        <w:ind w:left="60"/>
        <w:jc w:val="center"/>
        <w:rPr>
          <w:rFonts w:ascii="微软雅黑" w:hAnsi="微软雅黑" w:eastAsia="微软雅黑"/>
          <w:color w:val="323232"/>
          <w:lang w:val="en"/>
        </w:rPr>
      </w:pPr>
      <w:r>
        <w:drawing>
          <wp:inline distT="0" distB="0" distL="0" distR="0">
            <wp:extent cx="5274310" cy="26879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688433"/>
                    </a:xfrm>
                    <a:prstGeom prst="rect">
                      <a:avLst/>
                    </a:prstGeom>
                  </pic:spPr>
                </pic:pic>
              </a:graphicData>
            </a:graphic>
          </wp:inline>
        </w:drawing>
      </w:r>
      <w:r>
        <w:rPr>
          <w:rFonts w:hint="eastAsia" w:ascii="微软雅黑" w:hAnsi="微软雅黑" w:eastAsia="微软雅黑"/>
          <w:color w:val="323232"/>
          <w:sz w:val="72"/>
          <w:szCs w:val="72"/>
          <w:lang w:val="en"/>
        </w:rPr>
        <w:t>第一卷</w:t>
      </w:r>
    </w:p>
    <w:p>
      <w:pPr>
        <w:widowControl/>
        <w:spacing w:line="705" w:lineRule="atLeast"/>
        <w:ind w:left="1170"/>
        <w:jc w:val="center"/>
        <w:rPr>
          <w:rFonts w:hint="eastAsia" w:ascii="微软雅黑" w:hAnsi="微软雅黑" w:eastAsia="微软雅黑" w:cs="宋体"/>
          <w:color w:val="323232"/>
          <w:kern w:val="0"/>
          <w:szCs w:val="21"/>
          <w:lang w:val="en"/>
        </w:rPr>
      </w:pPr>
      <w:r>
        <w:rPr>
          <w:rFonts w:hint="eastAsia" w:ascii="黑体" w:hAnsi="黑体" w:eastAsia="黑体" w:cs="宋体"/>
          <w:color w:val="323232"/>
          <w:kern w:val="0"/>
          <w:sz w:val="56"/>
          <w:szCs w:val="56"/>
          <w:lang w:val="en"/>
        </w:rPr>
        <w:t>第一章招标公告/投标邀请书</w:t>
      </w:r>
    </w:p>
    <w:p>
      <w:pPr>
        <w:widowControl/>
        <w:ind w:left="750" w:right="735" w:firstLine="1170"/>
        <w:jc w:val="left"/>
        <w:rPr>
          <w:rFonts w:hint="eastAsia" w:ascii="微软雅黑" w:hAnsi="微软雅黑" w:eastAsia="微软雅黑" w:cs="宋体"/>
          <w:color w:val="323232"/>
          <w:kern w:val="0"/>
          <w:szCs w:val="21"/>
          <w:lang w:val="en"/>
        </w:rPr>
      </w:pPr>
      <w:r>
        <w:rPr>
          <w:rFonts w:hint="eastAsia" w:ascii="黑体" w:hAnsi="黑体" w:eastAsia="黑体" w:cs="宋体"/>
          <w:color w:val="0000FF"/>
          <w:kern w:val="0"/>
          <w:sz w:val="29"/>
          <w:szCs w:val="29"/>
          <w:u w:val="single"/>
          <w:lang w:val="en"/>
        </w:rPr>
        <w:t>炳清线凉风坳 1 号 2 号隧道提质升级工程</w:t>
      </w:r>
      <w:r>
        <w:rPr>
          <w:rFonts w:hint="eastAsia" w:ascii="黑体" w:hAnsi="黑体" w:eastAsia="黑体" w:cs="宋体"/>
          <w:color w:val="323232"/>
          <w:kern w:val="0"/>
          <w:sz w:val="29"/>
          <w:szCs w:val="29"/>
          <w:lang w:val="en"/>
        </w:rPr>
        <w:t>（项目名称）</w:t>
      </w:r>
      <w:r>
        <w:rPr>
          <w:rFonts w:hint="eastAsia" w:ascii="黑体" w:hAnsi="黑体" w:eastAsia="黑体" w:cs="宋体"/>
          <w:color w:val="0000FF"/>
          <w:kern w:val="0"/>
          <w:sz w:val="29"/>
          <w:szCs w:val="29"/>
          <w:u w:val="single"/>
          <w:lang w:val="en"/>
        </w:rPr>
        <w:t>施工</w:t>
      </w:r>
      <w:r>
        <w:rPr>
          <w:rFonts w:hint="eastAsia" w:ascii="黑体" w:hAnsi="黑体" w:eastAsia="黑体" w:cs="宋体"/>
          <w:color w:val="323232"/>
          <w:kern w:val="0"/>
          <w:sz w:val="29"/>
          <w:szCs w:val="29"/>
          <w:lang w:val="en"/>
        </w:rPr>
        <w:t>标段施工招标公告</w:t>
      </w:r>
    </w:p>
    <w:p>
      <w:pPr>
        <w:widowControl/>
        <w:spacing w:line="360" w:lineRule="auto"/>
        <w:ind w:right="735"/>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1.招标条件</w:t>
      </w:r>
    </w:p>
    <w:p>
      <w:pPr>
        <w:widowControl/>
        <w:spacing w:line="360" w:lineRule="auto"/>
        <w:ind w:left="750" w:right="735"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本招标项目</w:t>
      </w:r>
      <w:r>
        <w:rPr>
          <w:rFonts w:hint="eastAsia" w:ascii="微软雅黑" w:hAnsi="微软雅黑" w:eastAsia="微软雅黑" w:cs="宋体"/>
          <w:color w:val="0000FF"/>
          <w:kern w:val="0"/>
          <w:szCs w:val="21"/>
          <w:u w:val="single"/>
          <w:lang w:val="en"/>
        </w:rPr>
        <w:t>炳清线凉风坳 1 号 2 号隧道提质升级工程</w:t>
      </w:r>
      <w:r>
        <w:rPr>
          <w:rFonts w:hint="eastAsia" w:ascii="微软雅黑" w:hAnsi="微软雅黑" w:eastAsia="微软雅黑" w:cs="宋体"/>
          <w:color w:val="323232"/>
          <w:kern w:val="0"/>
          <w:szCs w:val="21"/>
          <w:lang w:val="en"/>
        </w:rPr>
        <w:t>（项目名称）已由</w:t>
      </w:r>
      <w:r>
        <w:rPr>
          <w:rFonts w:hint="eastAsia" w:ascii="微软雅黑" w:hAnsi="微软雅黑" w:eastAsia="微软雅黑" w:cs="宋体"/>
          <w:color w:val="0000FF"/>
          <w:kern w:val="0"/>
          <w:szCs w:val="21"/>
          <w:u w:val="single"/>
          <w:lang w:val="en"/>
        </w:rPr>
        <w:t>攀枝花市交通运输局</w:t>
      </w:r>
      <w:r>
        <w:rPr>
          <w:rFonts w:hint="eastAsia" w:ascii="微软雅黑" w:hAnsi="微软雅黑" w:eastAsia="微软雅黑" w:cs="宋体"/>
          <w:color w:val="323232"/>
          <w:kern w:val="0"/>
          <w:szCs w:val="21"/>
          <w:lang w:val="en"/>
        </w:rPr>
        <w:t>（项目审批、核准或备案机关名称）以</w:t>
      </w:r>
      <w:r>
        <w:rPr>
          <w:rFonts w:hint="eastAsia" w:ascii="微软雅黑" w:hAnsi="微软雅黑" w:eastAsia="微软雅黑" w:cs="宋体"/>
          <w:color w:val="0000FF"/>
          <w:kern w:val="0"/>
          <w:szCs w:val="21"/>
          <w:u w:val="single"/>
          <w:lang w:val="en"/>
        </w:rPr>
        <w:t>攀交〔 2021〕 595 号</w:t>
      </w:r>
      <w:r>
        <w:rPr>
          <w:rFonts w:hint="eastAsia" w:ascii="微软雅黑" w:hAnsi="微软雅黑" w:eastAsia="微软雅黑" w:cs="宋体"/>
          <w:color w:val="323232"/>
          <w:kern w:val="0"/>
          <w:szCs w:val="21"/>
          <w:lang w:val="en"/>
        </w:rPr>
        <w:t>（批文名称及编号）批准建设，施工图设计已由</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（批准机关名称）以</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（批文名称及编号）批准，项目业主为</w:t>
      </w:r>
      <w:r>
        <w:rPr>
          <w:rFonts w:hint="eastAsia" w:ascii="微软雅黑" w:hAnsi="微软雅黑" w:eastAsia="微软雅黑" w:cs="宋体"/>
          <w:color w:val="0000FF"/>
          <w:kern w:val="0"/>
          <w:szCs w:val="21"/>
          <w:u w:val="single"/>
          <w:lang w:val="en"/>
        </w:rPr>
        <w:t>攀枝花市公路养护总段</w:t>
      </w:r>
      <w:r>
        <w:rPr>
          <w:rFonts w:hint="eastAsia" w:ascii="微软雅黑" w:hAnsi="微软雅黑" w:eastAsia="微软雅黑" w:cs="宋体"/>
          <w:color w:val="323232"/>
          <w:kern w:val="0"/>
          <w:szCs w:val="21"/>
          <w:lang w:val="en"/>
        </w:rPr>
        <w:t>，建设资金来自</w:t>
      </w:r>
      <w:r>
        <w:rPr>
          <w:rFonts w:hint="eastAsia" w:ascii="微软雅黑" w:hAnsi="微软雅黑" w:eastAsia="微软雅黑" w:cs="宋体"/>
          <w:color w:val="0000FF"/>
          <w:kern w:val="0"/>
          <w:szCs w:val="21"/>
          <w:u w:val="single"/>
          <w:lang w:val="en"/>
        </w:rPr>
        <w:t>上级补助资金和地方财政资金</w:t>
      </w:r>
      <w:r>
        <w:rPr>
          <w:rFonts w:hint="eastAsia" w:ascii="微软雅黑" w:hAnsi="微软雅黑" w:eastAsia="微软雅黑" w:cs="宋体"/>
          <w:color w:val="323232"/>
          <w:kern w:val="0"/>
          <w:szCs w:val="21"/>
          <w:lang w:val="en"/>
        </w:rPr>
        <w:t>（资金来源），出资比例为</w:t>
      </w:r>
      <w:r>
        <w:rPr>
          <w:rFonts w:hint="eastAsia" w:ascii="微软雅黑" w:hAnsi="微软雅黑" w:eastAsia="微软雅黑" w:cs="宋体"/>
          <w:color w:val="0000FF"/>
          <w:kern w:val="0"/>
          <w:szCs w:val="21"/>
          <w:u w:val="single"/>
          <w:lang w:val="en"/>
        </w:rPr>
        <w:t>100%</w:t>
      </w:r>
      <w:r>
        <w:rPr>
          <w:rFonts w:hint="eastAsia" w:ascii="微软雅黑" w:hAnsi="微软雅黑" w:eastAsia="微软雅黑" w:cs="宋体"/>
          <w:color w:val="323232"/>
          <w:kern w:val="0"/>
          <w:szCs w:val="21"/>
          <w:lang w:val="en"/>
        </w:rPr>
        <w:t>，招标人为</w:t>
      </w:r>
      <w:r>
        <w:rPr>
          <w:rFonts w:hint="eastAsia" w:ascii="微软雅黑" w:hAnsi="微软雅黑" w:eastAsia="微软雅黑" w:cs="宋体"/>
          <w:color w:val="0000FF"/>
          <w:kern w:val="0"/>
          <w:szCs w:val="21"/>
          <w:u w:val="single"/>
          <w:lang w:val="en"/>
        </w:rPr>
        <w:t>攀枝花市公路养护总段</w:t>
      </w:r>
      <w:r>
        <w:rPr>
          <w:rFonts w:hint="eastAsia" w:ascii="微软雅黑" w:hAnsi="微软雅黑" w:eastAsia="微软雅黑" w:cs="宋体"/>
          <w:color w:val="323232"/>
          <w:kern w:val="0"/>
          <w:szCs w:val="21"/>
          <w:lang w:val="en"/>
        </w:rPr>
        <w:t>。项目已具备招标条件，现对该项目的施工进行公开招标。</w:t>
      </w:r>
    </w:p>
    <w:p>
      <w:pPr>
        <w:widowControl/>
        <w:spacing w:line="360" w:lineRule="auto"/>
        <w:ind w:right="735"/>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2.项目概况与招标范围</w:t>
      </w:r>
    </w:p>
    <w:p>
      <w:pPr>
        <w:widowControl/>
        <w:spacing w:line="360" w:lineRule="auto"/>
        <w:ind w:left="750" w:right="825"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0000FF"/>
          <w:kern w:val="0"/>
          <w:szCs w:val="21"/>
          <w:u w:val="single"/>
          <w:lang w:val="en"/>
        </w:rPr>
        <w:t>2.1建设地点：攀枝花市西区弄弄坪境内 2.2建设内容：本次提质升级工程， 重点对隧道洞内、 洞外路面进行“白加黑”处治， 衬砌（ 拱顶段） 喷涂防火材料， 处治隧道洞门及人行道， 完善一期工程以外的其它机电工程。本次二期提质升级工程， 重点对隧道洞内、 洞外路面进行“白加黑”处治， 衬砌喷涂涂料， 处治隧道洞门及人行道， 完善一期工程以外的其它机电工程。1. 隧道内路面： 处治混凝土路面病害并铣刨 25px， 沥青灌缝， 粘贴防裂贴， 加铺 125px 厚 AC-16CSBS 沥青混凝土上面层，隧道进口铺筑彩色沥青。 隧道外路面： 处治混凝土路面病害并凿毛， 沥青灌缝， 粘贴防裂贴， 加铺 125px 厚 AC-20CSBS 沥青混凝土下面层+87.5px 厚 AC-13C SBS 沥青混凝土上面层。 恢复隧道内、 外标线。2. 修复隧道边墙脱落瓷砖并喷涂表面漆， 清除隧道衬砌表</w:t>
      </w:r>
      <w:r>
        <w:rPr>
          <w:rFonts w:hint="eastAsia" w:ascii="微软雅黑" w:hAnsi="微软雅黑" w:eastAsia="微软雅黑" w:cs="宋体"/>
          <w:color w:val="323232"/>
          <w:kern w:val="0"/>
          <w:szCs w:val="21"/>
          <w:u w:val="single"/>
          <w:lang w:val="en"/>
        </w:rPr>
        <w:t xml:space="preserve">  </w:t>
      </w:r>
      <w:r>
        <w:rPr>
          <w:rFonts w:hint="eastAsia" w:ascii="微软雅黑" w:hAnsi="微软雅黑" w:eastAsia="微软雅黑" w:cs="宋体"/>
          <w:color w:val="0000FF"/>
          <w:kern w:val="0"/>
          <w:szCs w:val="21"/>
          <w:u w:val="single"/>
          <w:lang w:val="en"/>
        </w:rPr>
        <w:t>面层， 涂刷防水腻子、 涂料， 处治洞口及洞口段人行道。3. 完成隧道机电箱、 监控器等机电设施</w:t>
      </w:r>
      <w:r>
        <w:rPr>
          <w:rFonts w:hint="eastAsia" w:ascii="微软雅黑" w:hAnsi="微软雅黑" w:eastAsia="微软雅黑" w:cs="宋体"/>
          <w:color w:val="323232"/>
          <w:kern w:val="0"/>
          <w:szCs w:val="21"/>
          <w:u w:val="single"/>
          <w:lang w:val="en"/>
        </w:rPr>
        <w:t xml:space="preserve">       </w:t>
      </w:r>
      <w:r>
        <w:rPr>
          <w:rFonts w:hint="eastAsia" w:ascii="微软雅黑" w:hAnsi="微软雅黑" w:eastAsia="微软雅黑" w:cs="宋体"/>
          <w:color w:val="0000FF"/>
          <w:kern w:val="0"/>
          <w:szCs w:val="21"/>
          <w:u w:val="single"/>
          <w:lang w:val="en"/>
        </w:rPr>
        <w:t>2.3建设工期：90 日历天。</w:t>
      </w:r>
      <w:r>
        <w:rPr>
          <w:rFonts w:hint="eastAsia" w:ascii="微软雅黑" w:hAnsi="微软雅黑" w:eastAsia="微软雅黑" w:cs="宋体"/>
          <w:color w:val="323232"/>
          <w:kern w:val="0"/>
          <w:szCs w:val="21"/>
          <w:u w:val="single"/>
          <w:lang w:val="en"/>
        </w:rPr>
        <w:t xml:space="preserve">     </w:t>
      </w:r>
      <w:r>
        <w:rPr>
          <w:rFonts w:hint="eastAsia" w:ascii="微软雅黑" w:hAnsi="微软雅黑" w:eastAsia="微软雅黑" w:cs="宋体"/>
          <w:color w:val="0000FF"/>
          <w:kern w:val="0"/>
          <w:szCs w:val="21"/>
          <w:u w:val="single"/>
          <w:lang w:val="en"/>
        </w:rPr>
        <w:t>2.4招标范围：施工图设计范围、经审批过的设计变更及工程量清单范围内的全部内容</w:t>
      </w:r>
      <w:r>
        <w:rPr>
          <w:rFonts w:hint="eastAsia" w:ascii="微软雅黑" w:hAnsi="微软雅黑" w:eastAsia="微软雅黑" w:cs="宋体"/>
          <w:color w:val="323232"/>
          <w:kern w:val="0"/>
          <w:szCs w:val="21"/>
          <w:u w:val="single"/>
          <w:lang w:val="en"/>
        </w:rPr>
        <w:t>                           </w:t>
      </w:r>
      <w:r>
        <w:rPr>
          <w:rFonts w:hint="eastAsia" w:ascii="微软雅黑" w:hAnsi="微软雅黑" w:eastAsia="微软雅黑" w:cs="宋体"/>
          <w:color w:val="0000FF"/>
          <w:kern w:val="0"/>
          <w:szCs w:val="21"/>
          <w:u w:val="single"/>
          <w:lang w:val="en"/>
        </w:rPr>
        <w:t>2.5 标段划分：施工一个标段</w:t>
      </w:r>
      <w:r>
        <w:rPr>
          <w:rFonts w:hint="eastAsia" w:ascii="微软雅黑" w:hAnsi="微软雅黑" w:eastAsia="微软雅黑" w:cs="宋体"/>
          <w:color w:val="323232"/>
          <w:kern w:val="0"/>
          <w:szCs w:val="21"/>
          <w:lang w:val="en"/>
        </w:rPr>
        <w:t>（说明本次招标项目的建设地点、规模、计划工期、招标范围、标段划分等）。</w:t>
      </w:r>
    </w:p>
    <w:p>
      <w:pPr>
        <w:widowControl/>
        <w:spacing w:line="360" w:lineRule="auto"/>
        <w:ind w:right="735"/>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3.投标人资格要求</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3.1本次招标要求投标人须具备</w:t>
      </w:r>
      <w:r>
        <w:rPr>
          <w:rFonts w:hint="eastAsia" w:ascii="微软雅黑" w:hAnsi="微软雅黑" w:eastAsia="微软雅黑" w:cs="宋体"/>
          <w:color w:val="0000FF"/>
          <w:kern w:val="0"/>
          <w:szCs w:val="21"/>
          <w:u w:val="single"/>
          <w:lang w:val="en"/>
        </w:rPr>
        <w:t>独立企业法人资格，具有国家建设行政主管部门颁发的公路工程施工总承包二级及以上</w:t>
      </w:r>
      <w:r>
        <w:rPr>
          <w:rFonts w:hint="eastAsia" w:ascii="微软雅黑" w:hAnsi="微软雅黑" w:eastAsia="微软雅黑" w:cs="宋体"/>
          <w:color w:val="323232"/>
          <w:kern w:val="0"/>
          <w:szCs w:val="21"/>
          <w:lang w:val="en"/>
        </w:rPr>
        <w:t>资质、</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业绩，并在人员、设备、资金等方面具有相应的施工能力。</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投标人应进入交通运输部“全国公路建设市场信用信息管理系统（http：//glxy.mot.gov.cn）”中的公路工程施工资质企业名录，且投标人名称和资质与该名录中的相应企业名称和资质完全一致。</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3.2本次招标(</w:t>
      </w:r>
      <w:r>
        <w:rPr>
          <w:rFonts w:hint="eastAsia" w:ascii="微软雅黑" w:hAnsi="微软雅黑" w:eastAsia="微软雅黑" w:cs="宋体"/>
          <w:color w:val="0000FF"/>
          <w:kern w:val="0"/>
          <w:szCs w:val="21"/>
          <w:lang w:val="en"/>
        </w:rPr>
        <w:t>□</w:t>
      </w:r>
      <w:r>
        <w:rPr>
          <w:rFonts w:hint="eastAsia" w:ascii="微软雅黑" w:hAnsi="微软雅黑" w:eastAsia="微软雅黑" w:cs="宋体"/>
          <w:color w:val="323232"/>
          <w:kern w:val="0"/>
          <w:szCs w:val="21"/>
          <w:lang w:val="en"/>
        </w:rPr>
        <w:t>接受；</w:t>
      </w:r>
      <w:r>
        <w:rPr>
          <w:rFonts w:hint="eastAsia" w:ascii="MS Gothic" w:hAnsi="MS Gothic" w:eastAsia="MS Gothic" w:cs="MS Gothic"/>
          <w:color w:val="0000FF"/>
          <w:kern w:val="0"/>
          <w:sz w:val="32"/>
          <w:szCs w:val="32"/>
          <w:lang w:val="en"/>
        </w:rPr>
        <w:t>☑</w:t>
      </w:r>
      <w:r>
        <w:rPr>
          <w:rFonts w:hint="eastAsia" w:ascii="微软雅黑" w:hAnsi="微软雅黑" w:eastAsia="微软雅黑" w:cs="宋体"/>
          <w:color w:val="323232"/>
          <w:kern w:val="0"/>
          <w:szCs w:val="21"/>
          <w:lang w:val="en"/>
        </w:rPr>
        <w:t>不接受）联合体投标。联合体投标的，应满足下列要求：</w:t>
      </w:r>
      <w:r>
        <w:rPr>
          <w:rFonts w:hint="eastAsia" w:ascii="微软雅黑" w:hAnsi="微软雅黑" w:eastAsia="微软雅黑" w:cs="宋体"/>
          <w:color w:val="323232"/>
          <w:kern w:val="0"/>
          <w:szCs w:val="21"/>
          <w:u w:val="single"/>
          <w:lang w:val="en"/>
        </w:rPr>
        <w:t xml:space="preserve">  </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u w:val="single"/>
          <w:lang w:val="en"/>
        </w:rPr>
        <w:t xml:space="preserve">  </w:t>
      </w:r>
      <w:r>
        <w:rPr>
          <w:rFonts w:hint="eastAsia" w:ascii="微软雅黑" w:hAnsi="微软雅黑" w:eastAsia="微软雅黑" w:cs="宋体"/>
          <w:color w:val="323232"/>
          <w:kern w:val="0"/>
          <w:szCs w:val="21"/>
          <w:lang w:val="en"/>
        </w:rPr>
        <w:t>。</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3.3每个投标人最多可对</w:t>
      </w:r>
      <w:r>
        <w:rPr>
          <w:rFonts w:hint="eastAsia" w:ascii="微软雅黑" w:hAnsi="微软雅黑" w:eastAsia="微软雅黑" w:cs="宋体"/>
          <w:color w:val="0000FF"/>
          <w:kern w:val="0"/>
          <w:szCs w:val="21"/>
          <w:u w:val="single"/>
          <w:lang w:val="en"/>
        </w:rPr>
        <w:t>1</w:t>
      </w:r>
      <w:r>
        <w:rPr>
          <w:rFonts w:hint="eastAsia" w:ascii="微软雅黑" w:hAnsi="微软雅黑" w:eastAsia="微软雅黑" w:cs="宋体"/>
          <w:color w:val="323232"/>
          <w:kern w:val="0"/>
          <w:szCs w:val="21"/>
          <w:lang w:val="en"/>
        </w:rPr>
        <w:t>（具体数量）个标段投标；被招标项目所在地省级交通运输主管部门评为</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信用等级的投标人，最多可对</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（具体数量）个标段投标。每个投标人允许中</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个标。</w:t>
      </w:r>
      <w:r>
        <w:rPr>
          <w:rFonts w:hint="eastAsia" w:ascii="微软雅黑" w:hAnsi="微软雅黑" w:eastAsia="微软雅黑" w:cs="宋体"/>
          <w:color w:val="323232"/>
          <w:kern w:val="0"/>
          <w:szCs w:val="21"/>
          <w:u w:val="single" w:color="000000"/>
          <w:lang w:val="en"/>
        </w:rPr>
        <w:t>对</w:t>
      </w:r>
      <w:r>
        <w:rPr>
          <w:rFonts w:hint="eastAsia" w:ascii="微软雅黑" w:hAnsi="微软雅黑" w:eastAsia="微软雅黑" w:cs="宋体"/>
          <w:color w:val="323232"/>
          <w:kern w:val="0"/>
          <w:szCs w:val="21"/>
          <w:lang w:val="en"/>
        </w:rPr>
        <w:t>投标人信用等级的认定条件为：</w:t>
      </w:r>
      <w:r>
        <w:rPr>
          <w:rFonts w:hint="eastAsia" w:ascii="微软雅黑" w:hAnsi="微软雅黑" w:eastAsia="微软雅黑" w:cs="宋体"/>
          <w:color w:val="0000FF"/>
          <w:kern w:val="0"/>
          <w:szCs w:val="21"/>
          <w:u w:val="single"/>
          <w:lang w:val="en"/>
        </w:rPr>
        <w:t>/</w:t>
      </w:r>
      <w:r>
        <w:rPr>
          <w:rFonts w:hint="eastAsia" w:ascii="微软雅黑" w:hAnsi="微软雅黑" w:eastAsia="微软雅黑" w:cs="宋体"/>
          <w:color w:val="323232"/>
          <w:kern w:val="0"/>
          <w:szCs w:val="21"/>
          <w:lang w:val="en"/>
        </w:rPr>
        <w:t>。</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3.4与招标人存在利害关系可能影响招标公正性的单位，不得参加投标。单位负责人为同一人或存在控股、管理关系的不同单位，不得参加同一标段投标，否则，相关投标均无效。</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3.5在“信用中国”网站（http://www.creditchina.gov.cn/）中被列入失信被执行人名单的投标人，不得参加投标。</w:t>
      </w:r>
    </w:p>
    <w:p>
      <w:pPr>
        <w:widowControl/>
        <w:spacing w:line="360" w:lineRule="auto"/>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4.招标文件的获取</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4.1凡有意参加投标者，请于</w:t>
      </w:r>
      <w:r>
        <w:rPr>
          <w:rFonts w:hint="eastAsia" w:ascii="微软雅黑" w:hAnsi="微软雅黑" w:eastAsia="微软雅黑" w:cs="宋体"/>
          <w:color w:val="0000FF"/>
          <w:kern w:val="0"/>
          <w:szCs w:val="21"/>
          <w:u w:val="single"/>
          <w:lang w:val="en"/>
        </w:rPr>
        <w:t>2022 年 03 月 05 日 00 时 00 分</w:t>
      </w:r>
      <w:r>
        <w:rPr>
          <w:rFonts w:hint="eastAsia" w:ascii="微软雅黑" w:hAnsi="微软雅黑" w:eastAsia="微软雅黑" w:cs="宋体"/>
          <w:color w:val="323232"/>
          <w:kern w:val="0"/>
          <w:szCs w:val="21"/>
          <w:lang w:val="en"/>
        </w:rPr>
        <w:t>至</w:t>
      </w:r>
      <w:r>
        <w:rPr>
          <w:rFonts w:hint="eastAsia" w:ascii="微软雅黑" w:hAnsi="微软雅黑" w:eastAsia="微软雅黑" w:cs="宋体"/>
          <w:color w:val="0000FF"/>
          <w:kern w:val="0"/>
          <w:szCs w:val="21"/>
          <w:u w:val="single"/>
          <w:lang w:val="en"/>
        </w:rPr>
        <w:t>2022 年 03 月 10 日 23 时 59 分</w:t>
      </w:r>
      <w:r>
        <w:rPr>
          <w:rFonts w:hint="eastAsia" w:ascii="微软雅黑" w:hAnsi="微软雅黑" w:eastAsia="微软雅黑" w:cs="宋体"/>
          <w:color w:val="323232"/>
          <w:kern w:val="0"/>
          <w:szCs w:val="21"/>
          <w:lang w:val="en"/>
        </w:rPr>
        <w:t>，(北京时间,下同）,通过互联网使用CA数字证书登录“攀枝花市工程建设交易系统”，明确所投标段,下载招标文件、图纸和参考资料。联合体投标的，由联合体牵头人完成网上支付、招标文件等资料下载。</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4.2本招标文件全部采用电子文档需使用编制工具或标书查看工具打开，如有疑问请联系技术支持电话：010-86483801。</w:t>
      </w:r>
    </w:p>
    <w:p>
      <w:pPr>
        <w:widowControl/>
        <w:spacing w:line="360" w:lineRule="auto"/>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5.投标文件的递交及相关事宜</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5.1招标人不召开投标预备会。</w:t>
      </w:r>
    </w:p>
    <w:p>
      <w:pPr>
        <w:widowControl/>
        <w:spacing w:line="360" w:lineRule="auto"/>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5.2投标文件应为加密的投标文件。投标文件递交的截止时间（投标截止时间，下同）为</w:t>
      </w:r>
      <w:r>
        <w:rPr>
          <w:rFonts w:hint="eastAsia" w:ascii="微软雅黑" w:hAnsi="微软雅黑" w:eastAsia="微软雅黑" w:cs="宋体"/>
          <w:color w:val="0000FF"/>
          <w:kern w:val="0"/>
          <w:szCs w:val="21"/>
          <w:u w:val="single"/>
          <w:lang w:val="en"/>
        </w:rPr>
        <w:t>2022 年 03 月 25 日 09 时 30 分</w:t>
      </w:r>
      <w:r>
        <w:rPr>
          <w:rFonts w:hint="eastAsia" w:ascii="微软雅黑" w:hAnsi="微软雅黑" w:eastAsia="微软雅黑" w:cs="宋体"/>
          <w:color w:val="323232"/>
          <w:kern w:val="0"/>
          <w:szCs w:val="21"/>
          <w:lang w:val="en"/>
        </w:rPr>
        <w:t>，投标人应在投标截止时间前，通过互联网使用CA数字证书登录“攀枝花市工程建设交易系统”，将加密的投标文件上传，并保存上传成功后系统自动生成的电子签收凭证，递交时间即为电子签收凭证时间。逾期未完成上传的或未按规定加密的投标文件，招标人予以拒收。</w:t>
      </w:r>
    </w:p>
    <w:p>
      <w:pPr>
        <w:widowControl/>
        <w:spacing w:line="15" w:lineRule="atLeast"/>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2"/>
          <w:szCs w:val="2"/>
          <w:lang w:val="en"/>
        </w:rPr>
        <w:t> </w:t>
      </w:r>
    </w:p>
    <w:p>
      <w:pPr>
        <w:widowControl/>
        <w:spacing w:line="360" w:lineRule="auto"/>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6.发布公告的媒介</w:t>
      </w:r>
    </w:p>
    <w:p>
      <w:pPr>
        <w:widowControl/>
        <w:spacing w:line="360" w:lineRule="auto"/>
        <w:ind w:left="1230"/>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本次招标公告同时在</w:t>
      </w:r>
      <w:r>
        <w:rPr>
          <w:rFonts w:hint="eastAsia" w:ascii="微软雅黑" w:hAnsi="微软雅黑" w:eastAsia="微软雅黑" w:cs="宋体"/>
          <w:color w:val="0000FF"/>
          <w:kern w:val="0"/>
          <w:szCs w:val="21"/>
          <w:u w:val="single"/>
          <w:lang w:val="en"/>
        </w:rPr>
        <w:t>《全国公共资源交易平台（四川省.攀枝花市）》、《全国公共资源交易平台（四川省）》</w:t>
      </w:r>
      <w:r>
        <w:rPr>
          <w:rFonts w:hint="eastAsia" w:ascii="微软雅黑" w:hAnsi="微软雅黑" w:eastAsia="微软雅黑" w:cs="宋体"/>
          <w:color w:val="323232"/>
          <w:kern w:val="0"/>
          <w:szCs w:val="21"/>
          <w:lang w:val="en"/>
        </w:rPr>
        <w:t>（发布公告的媒介名称）上发布。</w:t>
      </w:r>
    </w:p>
    <w:p>
      <w:pPr>
        <w:widowControl/>
        <w:spacing w:line="360" w:lineRule="auto"/>
        <w:jc w:val="left"/>
        <w:rPr>
          <w:rFonts w:hint="eastAsia" w:ascii="微软雅黑" w:hAnsi="微软雅黑" w:eastAsia="微软雅黑" w:cs="宋体"/>
          <w:color w:val="323232"/>
          <w:kern w:val="0"/>
          <w:szCs w:val="21"/>
          <w:lang w:val="en"/>
        </w:rPr>
      </w:pPr>
      <w:r>
        <w:rPr>
          <w:rFonts w:hint="eastAsia" w:ascii="宋体" w:hAnsi="宋体" w:eastAsia="宋体" w:cs="宋体"/>
          <w:b/>
          <w:bCs/>
          <w:color w:val="323232"/>
          <w:kern w:val="0"/>
          <w:sz w:val="29"/>
          <w:szCs w:val="29"/>
          <w:lang w:val="en"/>
        </w:rPr>
        <w:t>7.联系方式</w:t>
      </w:r>
    </w:p>
    <w:tbl>
      <w:tblPr>
        <w:tblStyle w:val="6"/>
        <w:tblW w:w="5000" w:type="pct"/>
        <w:tblInd w:w="0" w:type="dxa"/>
        <w:tblLayout w:type="autofit"/>
        <w:tblCellMar>
          <w:top w:w="0" w:type="dxa"/>
          <w:left w:w="0" w:type="dxa"/>
          <w:bottom w:w="0" w:type="dxa"/>
          <w:right w:w="0" w:type="dxa"/>
        </w:tblCellMar>
      </w:tblPr>
      <w:tblGrid>
        <w:gridCol w:w="1269"/>
        <w:gridCol w:w="2989"/>
        <w:gridCol w:w="1557"/>
        <w:gridCol w:w="2701"/>
      </w:tblGrid>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招标人：</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攀枝花市公路养护总段</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招标代理机构：</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四川天合源工程技术有限公司</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地址：</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攀枝花市仁和区嘉旺巷5号</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地址：</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成都市青羊区贝森南路37号附12、13号7栋2楼3号</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邮政编码：</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617000</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邮政编码：</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613000</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联系人：</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衡女士</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联系人：</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王先生</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电话：</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13037716555</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电话：</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028-87333601</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传真：</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传真：</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电子邮件：</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电子邮件：</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网址：</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网址：</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开户银行：</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开户银行：</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r>
        <w:tblPrEx>
          <w:tblCellMar>
            <w:top w:w="0" w:type="dxa"/>
            <w:left w:w="0" w:type="dxa"/>
            <w:bottom w:w="0" w:type="dxa"/>
            <w:right w:w="0" w:type="dxa"/>
          </w:tblCellMar>
        </w:tblPrEx>
        <w:trPr>
          <w:trHeight w:val="450" w:hRule="atLeast"/>
        </w:trPr>
        <w:tc>
          <w:tcPr>
            <w:tcW w:w="74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账号：</w:t>
            </w:r>
          </w:p>
        </w:tc>
        <w:tc>
          <w:tcPr>
            <w:tcW w:w="1755"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c>
          <w:tcPr>
            <w:tcW w:w="914"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right"/>
              <w:rPr>
                <w:rFonts w:ascii="微软雅黑" w:hAnsi="微软雅黑" w:eastAsia="微软雅黑" w:cs="宋体"/>
                <w:color w:val="323232"/>
                <w:kern w:val="0"/>
                <w:szCs w:val="21"/>
              </w:rPr>
            </w:pPr>
            <w:r>
              <w:rPr>
                <w:rFonts w:hint="eastAsia" w:ascii="宋体" w:hAnsi="宋体" w:eastAsia="宋体" w:cs="宋体"/>
                <w:color w:val="323232"/>
                <w:kern w:val="0"/>
                <w:szCs w:val="21"/>
              </w:rPr>
              <w:t>账号：</w:t>
            </w:r>
          </w:p>
        </w:tc>
        <w:tc>
          <w:tcPr>
            <w:tcW w:w="1586" w:type="pct"/>
            <w:tcBorders>
              <w:top w:val="nil"/>
              <w:left w:val="nil"/>
              <w:bottom w:val="nil"/>
              <w:right w:val="nil"/>
            </w:tcBorders>
            <w:shd w:val="clear" w:color="auto" w:fill="auto"/>
            <w:tcMar>
              <w:top w:w="0" w:type="dxa"/>
              <w:left w:w="105" w:type="dxa"/>
              <w:bottom w:w="0" w:type="dxa"/>
              <w:right w:w="105" w:type="dxa"/>
            </w:tcMar>
            <w:vAlign w:val="center"/>
          </w:tcPr>
          <w:p>
            <w:pPr>
              <w:widowControl/>
              <w:spacing w:line="360" w:lineRule="auto"/>
              <w:jc w:val="left"/>
              <w:rPr>
                <w:rFonts w:ascii="微软雅黑" w:hAnsi="微软雅黑" w:eastAsia="微软雅黑" w:cs="宋体"/>
                <w:color w:val="323232"/>
                <w:kern w:val="0"/>
                <w:szCs w:val="21"/>
              </w:rPr>
            </w:pPr>
            <w:r>
              <w:rPr>
                <w:rFonts w:hint="eastAsia" w:ascii="宋体" w:hAnsi="宋体" w:eastAsia="宋体" w:cs="宋体"/>
                <w:color w:val="0000FF"/>
                <w:kern w:val="0"/>
                <w:szCs w:val="21"/>
                <w:u w:val="single"/>
              </w:rPr>
              <w:t>/</w:t>
            </w:r>
          </w:p>
        </w:tc>
      </w:tr>
    </w:tbl>
    <w:p>
      <w:pPr>
        <w:widowControl/>
        <w:ind w:left="1710"/>
        <w:jc w:val="right"/>
        <w:rPr>
          <w:rFonts w:hint="eastAsia" w:ascii="微软雅黑" w:hAnsi="微软雅黑" w:eastAsia="微软雅黑" w:cs="宋体"/>
          <w:color w:val="323232"/>
          <w:kern w:val="0"/>
          <w:szCs w:val="21"/>
          <w:lang w:val="en"/>
        </w:rPr>
      </w:pPr>
      <w:r>
        <w:rPr>
          <w:rFonts w:hint="eastAsia" w:ascii="宋体" w:hAnsi="宋体" w:eastAsia="宋体" w:cs="宋体"/>
          <w:color w:val="0000FF"/>
          <w:kern w:val="0"/>
          <w:szCs w:val="21"/>
          <w:u w:val="single"/>
          <w:lang w:val="en"/>
        </w:rPr>
        <w:t>2022 年 03 月 04 日</w:t>
      </w:r>
    </w:p>
    <w:p>
      <w:pPr>
        <w:widowControl/>
        <w:ind w:firstLine="420"/>
        <w:jc w:val="left"/>
        <w:rPr>
          <w:rFonts w:hint="eastAsia" w:ascii="微软雅黑" w:hAnsi="微软雅黑" w:eastAsia="微软雅黑" w:cs="宋体"/>
          <w:color w:val="323232"/>
          <w:kern w:val="0"/>
          <w:szCs w:val="21"/>
          <w:lang w:val="en"/>
        </w:rPr>
      </w:pPr>
      <w:r>
        <w:rPr>
          <w:rFonts w:hint="eastAsia" w:ascii="微软雅黑" w:hAnsi="微软雅黑" w:eastAsia="微软雅黑" w:cs="宋体"/>
          <w:color w:val="323232"/>
          <w:kern w:val="0"/>
          <w:szCs w:val="21"/>
          <w:lang w:val="en"/>
        </w:rPr>
        <w:t> </w:t>
      </w:r>
    </w:p>
    <w:p>
      <w:pPr>
        <w:widowControl/>
        <w:jc w:val="left"/>
        <w:rPr>
          <w:rFonts w:hint="eastAsia" w:ascii="宋体" w:hAnsi="宋体" w:eastAsia="宋体" w:cs="宋体"/>
          <w:color w:val="323232"/>
          <w:kern w:val="0"/>
          <w:szCs w:val="21"/>
          <w:lang w:val="en"/>
        </w:rPr>
      </w:pPr>
      <w:r>
        <w:rPr>
          <w:rFonts w:hint="eastAsia" w:ascii="微软雅黑" w:hAnsi="微软雅黑" w:eastAsia="微软雅黑" w:cs="宋体"/>
          <w:color w:val="323232"/>
          <w:kern w:val="0"/>
          <w:szCs w:val="21"/>
          <w:lang w:val="en"/>
        </w:rPr>
        <w:br w:type="textWrapping" w:clear="all"/>
      </w:r>
    </w:p>
    <w:p>
      <w:pPr>
        <w:widowControl/>
        <w:jc w:val="left"/>
        <w:rPr>
          <w:rFonts w:hint="eastAsia" w:ascii="宋体" w:hAnsi="宋体" w:eastAsia="宋体" w:cs="宋体"/>
          <w:color w:val="323232"/>
          <w:kern w:val="0"/>
          <w:szCs w:val="21"/>
          <w:lang w:val="en"/>
        </w:rPr>
      </w:pPr>
      <w:r>
        <w:rPr>
          <w:rFonts w:hint="eastAsia" w:ascii="宋体" w:hAnsi="宋体" w:eastAsia="宋体" w:cs="宋体"/>
          <w:color w:val="323232"/>
          <w:kern w:val="0"/>
          <w:szCs w:val="21"/>
          <w:lang w:val="en"/>
        </w:rPr>
        <w:pict>
          <v:rect id="_x0000_i1025" o:spt="1" style="height:0.75pt;width:137.05pt;" fillcolor="#A0A0A0" filled="t" stroked="f" coordsize="21600,21600" o:hr="t" o:hrstd="t" o:hrpct="330" o:hralign="center">
            <v:path/>
            <v:fill on="t" focussize="0,0"/>
            <v:stroke on="f"/>
            <v:imagedata o:title=""/>
            <o:lock v:ext="edit"/>
            <w10:wrap type="none"/>
            <w10:anchorlock/>
          </v:rect>
        </w:pict>
      </w:r>
    </w:p>
    <w:p>
      <w:pPr>
        <w:widowControl/>
        <w:spacing w:line="302" w:lineRule="auto"/>
        <w:ind w:right="795"/>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招标人可根据项目具体特点和实际需要对本章内容进行补充、细化，但应遵守《中华人民共和国招标投标法》第十六条和《招标公告和公示信息发布管理办法》等有关法律法规的规定。</w:t>
      </w:r>
    </w:p>
    <w:p>
      <w:pPr>
        <w:widowControl/>
        <w:spacing w:line="324" w:lineRule="auto"/>
        <w:ind w:right="825"/>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招标人应自招标文件开始发售之日起，将招标文件的关键内容上传至具有招标监督职责的交通运输主管部门政府网站或其指定的其他网站上进行公开，公开内容包括项目概况、对投标人的全部资格条件要求、评标办法全文、招标人联系方式等。招标人可将招标文件的关键内容全部载明在招标公告正文中，或作为招标公告的附件进行公开，或作为独立文件在网站上进行公开。</w:t>
      </w:r>
    </w:p>
    <w:p>
      <w:pPr>
        <w:widowControl/>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本段规定仅适用于根据《关于发布公路工程从业企业资质名录的通知》（厅公路字〔</w:t>
      </w:r>
      <w:r>
        <w:rPr>
          <w:rFonts w:hint="eastAsia" w:ascii="微软雅黑" w:hAnsi="微软雅黑" w:eastAsia="微软雅黑" w:cs="宋体"/>
          <w:color w:val="323232"/>
          <w:kern w:val="0"/>
          <w:sz w:val="18"/>
          <w:szCs w:val="18"/>
          <w:lang w:val="en"/>
        </w:rPr>
        <w:t>2011</w:t>
      </w:r>
      <w:r>
        <w:rPr>
          <w:rFonts w:hint="eastAsia" w:ascii="宋体" w:hAnsi="宋体" w:eastAsia="宋体" w:cs="宋体"/>
          <w:color w:val="323232"/>
          <w:kern w:val="0"/>
          <w:sz w:val="18"/>
          <w:szCs w:val="18"/>
          <w:lang w:val="en"/>
        </w:rPr>
        <w:t>〕</w:t>
      </w:r>
      <w:r>
        <w:rPr>
          <w:rFonts w:hint="eastAsia" w:ascii="微软雅黑" w:hAnsi="微软雅黑" w:eastAsia="微软雅黑" w:cs="宋体"/>
          <w:color w:val="323232"/>
          <w:kern w:val="0"/>
          <w:sz w:val="18"/>
          <w:szCs w:val="18"/>
          <w:lang w:val="en"/>
        </w:rPr>
        <w:t>114</w:t>
      </w:r>
      <w:r>
        <w:rPr>
          <w:rFonts w:hint="eastAsia" w:ascii="宋体" w:hAnsi="宋体" w:eastAsia="宋体" w:cs="宋体"/>
          <w:color w:val="323232"/>
          <w:kern w:val="0"/>
          <w:sz w:val="18"/>
          <w:szCs w:val="18"/>
          <w:lang w:val="en"/>
        </w:rPr>
        <w:t>号）要求，招标人应通过名录对投标人资质条件进行审核的公路施工企业。</w:t>
      </w:r>
    </w:p>
    <w:p>
      <w:pPr>
        <w:widowControl/>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招标人可根据招标项目所在地省级交通运输主管部门的有关规定，对信用等级高的投标人，给予增加参与投标标段数量的优惠。</w:t>
      </w:r>
    </w:p>
    <w:p>
      <w:pPr>
        <w:widowControl/>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招标文件（未进行资格预审）的发售时间不得少于5日。</w:t>
      </w:r>
    </w:p>
    <w:p>
      <w:pPr>
        <w:widowControl/>
        <w:jc w:val="left"/>
        <w:rPr>
          <w:rFonts w:hint="eastAsia" w:ascii="微软雅黑" w:hAnsi="微软雅黑" w:eastAsia="微软雅黑" w:cs="宋体"/>
          <w:color w:val="323232"/>
          <w:kern w:val="0"/>
          <w:szCs w:val="21"/>
          <w:lang w:val="en"/>
        </w:rPr>
      </w:pPr>
      <w:r>
        <w:rPr>
          <w:rFonts w:hint="eastAsia" w:ascii="宋体" w:hAnsi="宋体" w:eastAsia="宋体" w:cs="宋体"/>
          <w:color w:val="323232"/>
          <w:kern w:val="0"/>
          <w:sz w:val="18"/>
          <w:szCs w:val="18"/>
          <w:lang w:val="en"/>
        </w:rPr>
        <w:t>依法必须进行招标的公路工程，自招标文件开始发售之日起至投标人递交投标文件截止之日止，不得少于20日。</w:t>
      </w:r>
    </w:p>
    <w:p>
      <w:pPr>
        <w:widowControl/>
        <w:spacing w:before="100" w:beforeAutospacing="1" w:after="100" w:afterAutospacing="1"/>
        <w:jc w:val="left"/>
        <w:outlineLvl w:val="2"/>
        <w:rPr>
          <w:rFonts w:hint="eastAsia" w:ascii="微软雅黑" w:hAnsi="微软雅黑" w:eastAsia="微软雅黑" w:cs="宋体"/>
          <w:b/>
          <w:bCs/>
          <w:color w:val="323232"/>
          <w:kern w:val="0"/>
          <w:sz w:val="27"/>
          <w:szCs w:val="27"/>
          <w:lang w:val="en"/>
        </w:rPr>
      </w:pPr>
      <w:r>
        <w:rPr>
          <w:rFonts w:hint="eastAsia" w:ascii="微软雅黑" w:hAnsi="微软雅黑" w:eastAsia="微软雅黑" w:cs="宋体"/>
          <w:b/>
          <w:bCs/>
          <w:color w:val="323232"/>
          <w:kern w:val="0"/>
          <w:sz w:val="27"/>
          <w:szCs w:val="27"/>
          <w:lang w:val="en"/>
        </w:rPr>
        <w:t>附件信息</w:t>
      </w:r>
    </w:p>
    <w:tbl>
      <w:tblPr>
        <w:tblStyle w:val="6"/>
        <w:tblW w:w="5000" w:type="pct"/>
        <w:tblInd w:w="0" w:type="dxa"/>
        <w:tblLayout w:type="autofit"/>
        <w:tblCellMar>
          <w:top w:w="0" w:type="dxa"/>
          <w:left w:w="0" w:type="dxa"/>
          <w:bottom w:w="0" w:type="dxa"/>
          <w:right w:w="0" w:type="dxa"/>
        </w:tblCellMar>
      </w:tblPr>
      <w:tblGrid>
        <w:gridCol w:w="1250"/>
        <w:gridCol w:w="7086"/>
      </w:tblGrid>
      <w:tr>
        <w:tblPrEx>
          <w:tblCellMar>
            <w:top w:w="0" w:type="dxa"/>
            <w:left w:w="0" w:type="dxa"/>
            <w:bottom w:w="0" w:type="dxa"/>
            <w:right w:w="0" w:type="dxa"/>
          </w:tblCellMar>
        </w:tblPrEx>
        <w:trPr>
          <w:trHeight w:val="675" w:hRule="atLeast"/>
        </w:trPr>
        <w:tc>
          <w:tcPr>
            <w:tcW w:w="750" w:type="pct"/>
            <w:tcMar>
              <w:top w:w="15" w:type="dxa"/>
              <w:left w:w="15" w:type="dxa"/>
              <w:bottom w:w="15" w:type="dxa"/>
              <w:right w:w="15" w:type="dxa"/>
            </w:tcMar>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招标公告附件：</w:t>
            </w:r>
          </w:p>
        </w:tc>
        <w:tc>
          <w:tcPr>
            <w:tcW w:w="0" w:type="auto"/>
            <w:tcMar>
              <w:top w:w="15" w:type="dxa"/>
              <w:left w:w="15" w:type="dxa"/>
              <w:bottom w:w="15" w:type="dxa"/>
              <w:right w:w="15" w:type="dxa"/>
            </w:tcMar>
            <w:vAlign w:val="center"/>
          </w:tcPr>
          <w:tbl>
            <w:tblPr>
              <w:tblStyle w:val="6"/>
              <w:tblW w:w="5000" w:type="pct"/>
              <w:tblInd w:w="0" w:type="dxa"/>
              <w:tblLayout w:type="autofit"/>
              <w:tblCellMar>
                <w:top w:w="15" w:type="dxa"/>
                <w:left w:w="15" w:type="dxa"/>
                <w:bottom w:w="15" w:type="dxa"/>
                <w:right w:w="15" w:type="dxa"/>
              </w:tblCellMar>
            </w:tblPr>
            <w:tblGrid>
              <w:gridCol w:w="1058"/>
              <w:gridCol w:w="3528"/>
              <w:gridCol w:w="2470"/>
            </w:tblGrid>
            <w:tr>
              <w:tblPrEx>
                <w:tblCellMar>
                  <w:top w:w="15" w:type="dxa"/>
                  <w:left w:w="15" w:type="dxa"/>
                  <w:bottom w:w="15" w:type="dxa"/>
                  <w:right w:w="15" w:type="dxa"/>
                </w:tblCellMar>
              </w:tblPrEx>
              <w:trPr>
                <w:trHeight w:val="675" w:hRule="atLeast"/>
              </w:trPr>
              <w:tc>
                <w:tcPr>
                  <w:tcW w:w="75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序号</w:t>
                  </w:r>
                </w:p>
              </w:tc>
              <w:tc>
                <w:tcPr>
                  <w:tcW w:w="250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文件名</w:t>
                  </w:r>
                </w:p>
              </w:tc>
              <w:tc>
                <w:tcPr>
                  <w:tcW w:w="1750" w:type="pct"/>
                  <w:vAlign w:val="center"/>
                </w:tcPr>
                <w:p>
                  <w:pPr>
                    <w:widowControl/>
                    <w:jc w:val="center"/>
                    <w:rPr>
                      <w:rFonts w:ascii="微软雅黑" w:hAnsi="微软雅黑" w:eastAsia="微软雅黑" w:cs="宋体"/>
                      <w:b/>
                      <w:bCs/>
                      <w:color w:val="323232"/>
                      <w:kern w:val="0"/>
                      <w:szCs w:val="21"/>
                    </w:rPr>
                  </w:pPr>
                  <w:r>
                    <w:rPr>
                      <w:rFonts w:hint="eastAsia" w:ascii="微软雅黑" w:hAnsi="微软雅黑" w:eastAsia="微软雅黑" w:cs="宋体"/>
                      <w:b/>
                      <w:bCs/>
                      <w:color w:val="323232"/>
                      <w:kern w:val="0"/>
                      <w:szCs w:val="21"/>
                    </w:rPr>
                    <w:t>创建时间</w:t>
                  </w:r>
                </w:p>
              </w:tc>
            </w:tr>
            <w:tr>
              <w:tblPrEx>
                <w:tblCellMar>
                  <w:top w:w="15" w:type="dxa"/>
                  <w:left w:w="15" w:type="dxa"/>
                  <w:bottom w:w="15" w:type="dxa"/>
                  <w:right w:w="15" w:type="dxa"/>
                </w:tblCellMar>
              </w:tblPrEx>
              <w:trPr>
                <w:trHeight w:val="675" w:hRule="atLeast"/>
              </w:trPr>
              <w:tc>
                <w:tcPr>
                  <w:tcW w:w="0" w:type="auto"/>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1</w:t>
                  </w:r>
                </w:p>
              </w:tc>
              <w:tc>
                <w:tcPr>
                  <w:tcW w:w="0" w:type="auto"/>
                  <w:vAlign w:val="center"/>
                </w:tcPr>
                <w:p>
                  <w:pPr>
                    <w:widowControl/>
                    <w:jc w:val="left"/>
                    <w:rPr>
                      <w:rFonts w:ascii="微软雅黑" w:hAnsi="微软雅黑" w:eastAsia="微软雅黑" w:cs="宋体"/>
                      <w:color w:val="323232"/>
                      <w:kern w:val="0"/>
                      <w:szCs w:val="21"/>
                    </w:rPr>
                  </w:pPr>
                  <w:r>
                    <w:fldChar w:fldCharType="begin"/>
                  </w:r>
                  <w:r>
                    <w:instrText xml:space="preserve"> HYPERLINK "http://ggzy.panzhihua.gov.cn/pzh-jsgc-file/downloadFile?fileId=27501025-d25f-48b9-b0c0-a0d7590391b5" </w:instrText>
                  </w:r>
                  <w:r>
                    <w:fldChar w:fldCharType="separate"/>
                  </w:r>
                  <w:r>
                    <w:rPr>
                      <w:rFonts w:ascii="微软雅黑" w:hAnsi="微软雅黑" w:eastAsia="微软雅黑" w:cs="宋体"/>
                      <w:color w:val="323232"/>
                      <w:kern w:val="0"/>
                      <w:szCs w:val="21"/>
                    </w:rPr>
                    <w:t>招标公告.pdf</w:t>
                  </w:r>
                  <w:r>
                    <w:rPr>
                      <w:rFonts w:ascii="微软雅黑" w:hAnsi="微软雅黑" w:eastAsia="微软雅黑" w:cs="宋体"/>
                      <w:color w:val="323232"/>
                      <w:kern w:val="0"/>
                      <w:szCs w:val="21"/>
                    </w:rPr>
                    <w:fldChar w:fldCharType="end"/>
                  </w:r>
                </w:p>
              </w:tc>
              <w:tc>
                <w:tcPr>
                  <w:tcW w:w="0" w:type="auto"/>
                  <w:vAlign w:val="center"/>
                </w:tcPr>
                <w:p>
                  <w:pPr>
                    <w:widowControl/>
                    <w:jc w:val="left"/>
                    <w:rPr>
                      <w:rFonts w:ascii="微软雅黑" w:hAnsi="微软雅黑" w:eastAsia="微软雅黑" w:cs="宋体"/>
                      <w:color w:val="323232"/>
                      <w:kern w:val="0"/>
                      <w:szCs w:val="21"/>
                    </w:rPr>
                  </w:pPr>
                  <w:r>
                    <w:rPr>
                      <w:rFonts w:hint="eastAsia" w:ascii="微软雅黑" w:hAnsi="微软雅黑" w:eastAsia="微软雅黑" w:cs="宋体"/>
                      <w:color w:val="323232"/>
                      <w:kern w:val="0"/>
                      <w:szCs w:val="21"/>
                    </w:rPr>
                    <w:t>2022-03-04 14:30:30</w:t>
                  </w:r>
                </w:p>
              </w:tc>
            </w:tr>
          </w:tbl>
          <w:p>
            <w:pPr>
              <w:widowControl/>
              <w:jc w:val="left"/>
              <w:rPr>
                <w:rFonts w:ascii="微软雅黑" w:hAnsi="微软雅黑" w:eastAsia="微软雅黑" w:cs="宋体"/>
                <w:color w:val="323232"/>
                <w:kern w:val="0"/>
                <w:szCs w:val="21"/>
              </w:rPr>
            </w:pPr>
          </w:p>
        </w:tc>
      </w:tr>
    </w:tbl>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inline distT="0" distB="0" distL="0" distR="0">
            <wp:extent cx="5274310" cy="46126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4613190"/>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inline distT="0" distB="0" distL="0" distR="0">
            <wp:extent cx="5274310" cy="22682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268442"/>
                    </a:xfrm>
                    <a:prstGeom prst="rect">
                      <a:avLst/>
                    </a:prstGeom>
                  </pic:spPr>
                </pic:pic>
              </a:graphicData>
            </a:graphic>
          </wp:inline>
        </w:drawing>
      </w:r>
      <w:r>
        <w:drawing>
          <wp:inline distT="0" distB="0" distL="0" distR="0">
            <wp:extent cx="5274310" cy="27508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2751310"/>
                    </a:xfrm>
                    <a:prstGeom prst="rect">
                      <a:avLst/>
                    </a:prstGeom>
                  </pic:spPr>
                </pic:pic>
              </a:graphicData>
            </a:graphic>
          </wp:inline>
        </w:drawing>
      </w:r>
      <w:r>
        <w:drawing>
          <wp:inline distT="0" distB="0" distL="0" distR="0">
            <wp:extent cx="5274310" cy="80797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8079794"/>
                    </a:xfrm>
                    <a:prstGeom prst="rect">
                      <a:avLst/>
                    </a:prstGeom>
                  </pic:spPr>
                </pic:pic>
              </a:graphicData>
            </a:graphic>
          </wp:inline>
        </w:drawing>
      </w:r>
      <w:r>
        <w:drawing>
          <wp:inline distT="0" distB="0" distL="0" distR="0">
            <wp:extent cx="4056380" cy="82296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056380" cy="8229600"/>
                    </a:xfrm>
                    <a:prstGeom prst="rect">
                      <a:avLst/>
                    </a:prstGeom>
                  </pic:spPr>
                </pic:pic>
              </a:graphicData>
            </a:graphic>
          </wp:inline>
        </w:drawing>
      </w:r>
      <w:r>
        <w:drawing>
          <wp:inline distT="0" distB="0" distL="0" distR="0">
            <wp:extent cx="4161155" cy="8229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4161155" cy="8229600"/>
                    </a:xfrm>
                    <a:prstGeom prst="rect">
                      <a:avLst/>
                    </a:prstGeom>
                  </pic:spPr>
                </pic:pic>
              </a:graphicData>
            </a:graphic>
          </wp:inline>
        </w:drawing>
      </w:r>
      <w:r>
        <w:drawing>
          <wp:inline distT="0" distB="0" distL="0" distR="0">
            <wp:extent cx="5274310" cy="698817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6988461"/>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drawing>
          <wp:inline distT="0" distB="0" distL="0" distR="0">
            <wp:extent cx="5274310" cy="514096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5141231"/>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A25"/>
    <w:rsid w:val="00367956"/>
    <w:rsid w:val="00420722"/>
    <w:rsid w:val="00A96A25"/>
    <w:rsid w:val="04547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3"/>
    <w:basedOn w:val="1"/>
    <w:next w:val="1"/>
    <w:link w:val="12"/>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0"/>
    <w:semiHidden/>
    <w:unhideWhenUsed/>
    <w:qFormat/>
    <w:uiPriority w:val="99"/>
    <w:rPr>
      <w:sz w:val="18"/>
      <w:szCs w:val="18"/>
    </w:rPr>
  </w:style>
  <w:style w:type="paragraph" w:styleId="5">
    <w:name w:val="Normal (Web)"/>
    <w:basedOn w:val="1"/>
    <w:unhideWhenUsed/>
    <w:qFormat/>
    <w:uiPriority w:val="99"/>
    <w:pPr>
      <w:widowControl/>
      <w:jc w:val="left"/>
    </w:pPr>
    <w:rPr>
      <w:rFonts w:ascii="微软雅黑" w:hAnsi="微软雅黑" w:eastAsia="微软雅黑" w:cs="宋体"/>
      <w:color w:val="323232"/>
      <w:kern w:val="0"/>
      <w:szCs w:val="21"/>
    </w:rPr>
  </w:style>
  <w:style w:type="character" w:styleId="8">
    <w:name w:val="Strong"/>
    <w:basedOn w:val="7"/>
    <w:qFormat/>
    <w:uiPriority w:val="22"/>
    <w:rPr>
      <w:b/>
      <w:bCs/>
    </w:rPr>
  </w:style>
  <w:style w:type="character" w:styleId="9">
    <w:name w:val="Hyperlink"/>
    <w:basedOn w:val="7"/>
    <w:semiHidden/>
    <w:unhideWhenUsed/>
    <w:qFormat/>
    <w:uiPriority w:val="99"/>
    <w:rPr>
      <w:rFonts w:hint="eastAsia" w:ascii="微软雅黑" w:hAnsi="微软雅黑" w:eastAsia="微软雅黑"/>
      <w:color w:val="323232"/>
      <w:sz w:val="21"/>
      <w:szCs w:val="21"/>
      <w:u w:val="none"/>
    </w:rPr>
  </w:style>
  <w:style w:type="character" w:customStyle="1" w:styleId="10">
    <w:name w:val="批注框文本 Char"/>
    <w:basedOn w:val="7"/>
    <w:link w:val="4"/>
    <w:semiHidden/>
    <w:qFormat/>
    <w:uiPriority w:val="99"/>
    <w:rPr>
      <w:sz w:val="18"/>
      <w:szCs w:val="18"/>
    </w:rPr>
  </w:style>
  <w:style w:type="character" w:customStyle="1" w:styleId="11">
    <w:name w:val="标题 1 Char"/>
    <w:basedOn w:val="7"/>
    <w:link w:val="2"/>
    <w:qFormat/>
    <w:uiPriority w:val="9"/>
    <w:rPr>
      <w:rFonts w:ascii="宋体" w:hAnsi="宋体" w:eastAsia="宋体" w:cs="宋体"/>
      <w:b/>
      <w:bCs/>
      <w:kern w:val="36"/>
      <w:sz w:val="48"/>
      <w:szCs w:val="48"/>
    </w:rPr>
  </w:style>
  <w:style w:type="character" w:customStyle="1" w:styleId="12">
    <w:name w:val="标题 3 Char"/>
    <w:basedOn w:val="7"/>
    <w:link w:val="3"/>
    <w:qFormat/>
    <w:uiPriority w:val="9"/>
    <w:rPr>
      <w:rFonts w:ascii="宋体" w:hAnsi="宋体" w:eastAsia="宋体" w:cs="宋体"/>
      <w:b/>
      <w:bCs/>
      <w:kern w:val="0"/>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428</Words>
  <Characters>2445</Characters>
  <Lines>20</Lines>
  <Paragraphs>5</Paragraphs>
  <TotalTime>6</TotalTime>
  <ScaleCrop>false</ScaleCrop>
  <LinksUpToDate>false</LinksUpToDate>
  <CharactersWithSpaces>2868</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2022-04-08T03:13:00Z</dcterms:created>
  <dc:creator>xb21cn</dc:creator>
  <cp:lastModifiedBy>认真的雪</cp:lastModifiedBy>
  <dcterms:modified xsi:type="dcterms:W3CDTF">2022-04-11T09:22:28Z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2045D78F057E4CAFBA7A07A3FC6A68AE</vt:lpwstr>
  </property>
</Properties>
</file>