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rPr>
      </w:pPr>
      <w:bookmarkStart w:id="0" w:name="_GoBack"/>
      <w:bookmarkEnd w:id="0"/>
      <w:r>
        <w:rPr>
          <w:rFonts w:hint="eastAsia"/>
          <w:sz w:val="30"/>
          <w:szCs w:val="30"/>
        </w:rPr>
        <w:t>G227 线盐边县桐子林镇（湾滩社至安宁桥）段公路中修工程</w:t>
      </w:r>
    </w:p>
    <w:p>
      <w:pPr>
        <w:jc w:val="center"/>
        <w:rPr>
          <w:rFonts w:hint="eastAsia"/>
          <w:sz w:val="30"/>
          <w:szCs w:val="30"/>
        </w:rPr>
      </w:pPr>
      <w:r>
        <w:drawing>
          <wp:inline distT="0" distB="0" distL="0" distR="0">
            <wp:extent cx="5274310" cy="7419340"/>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74310" cy="7419440"/>
                    </a:xfrm>
                    <a:prstGeom prst="rect">
                      <a:avLst/>
                    </a:prstGeom>
                  </pic:spPr>
                </pic:pic>
              </a:graphicData>
            </a:graphic>
          </wp:inline>
        </w:drawing>
      </w:r>
      <w:r>
        <w:drawing>
          <wp:inline distT="0" distB="0" distL="0" distR="0">
            <wp:extent cx="4088130" cy="8229600"/>
            <wp:effectExtent l="0" t="0" r="762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4088130" cy="8229600"/>
                    </a:xfrm>
                    <a:prstGeom prst="rect">
                      <a:avLst/>
                    </a:prstGeom>
                  </pic:spPr>
                </pic:pic>
              </a:graphicData>
            </a:graphic>
          </wp:inline>
        </w:drawing>
      </w:r>
    </w:p>
    <w:p>
      <w:pPr>
        <w:jc w:val="center"/>
        <w:rPr>
          <w:rFonts w:hint="eastAsia"/>
          <w:sz w:val="30"/>
          <w:szCs w:val="30"/>
        </w:rPr>
      </w:pPr>
    </w:p>
    <w:p>
      <w:pPr>
        <w:pStyle w:val="2"/>
        <w:spacing w:before="0" w:beforeAutospacing="0" w:after="0" w:afterAutospacing="0"/>
        <w:ind w:left="60"/>
        <w:jc w:val="center"/>
        <w:rPr>
          <w:rFonts w:ascii="微软雅黑" w:hAnsi="微软雅黑" w:eastAsia="微软雅黑"/>
          <w:color w:val="323232"/>
          <w:lang w:val="en"/>
        </w:rPr>
      </w:pPr>
      <w:r>
        <w:drawing>
          <wp:inline distT="0" distB="0" distL="0" distR="0">
            <wp:extent cx="5274310" cy="2933700"/>
            <wp:effectExtent l="0" t="0" r="254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5274310" cy="2933835"/>
                    </a:xfrm>
                    <a:prstGeom prst="rect">
                      <a:avLst/>
                    </a:prstGeom>
                  </pic:spPr>
                </pic:pic>
              </a:graphicData>
            </a:graphic>
          </wp:inline>
        </w:drawing>
      </w:r>
      <w:r>
        <w:rPr>
          <w:rFonts w:hint="eastAsia" w:ascii="微软雅黑" w:hAnsi="微软雅黑" w:eastAsia="微软雅黑"/>
          <w:color w:val="323232"/>
          <w:sz w:val="72"/>
          <w:szCs w:val="72"/>
          <w:lang w:val="en"/>
        </w:rPr>
        <w:t>第一卷</w:t>
      </w:r>
    </w:p>
    <w:p>
      <w:pPr>
        <w:widowControl/>
        <w:spacing w:line="705" w:lineRule="atLeast"/>
        <w:ind w:left="1170"/>
        <w:jc w:val="center"/>
        <w:rPr>
          <w:rFonts w:hint="eastAsia" w:ascii="微软雅黑" w:hAnsi="微软雅黑" w:eastAsia="微软雅黑" w:cs="宋体"/>
          <w:color w:val="323232"/>
          <w:kern w:val="0"/>
          <w:szCs w:val="21"/>
          <w:lang w:val="en"/>
        </w:rPr>
      </w:pPr>
      <w:r>
        <w:rPr>
          <w:rFonts w:hint="eastAsia" w:ascii="黑体" w:hAnsi="黑体" w:eastAsia="黑体" w:cs="宋体"/>
          <w:color w:val="323232"/>
          <w:kern w:val="0"/>
          <w:sz w:val="56"/>
          <w:szCs w:val="56"/>
          <w:lang w:val="en"/>
        </w:rPr>
        <w:t>第一章招标公告/投标邀请书</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20"/>
          <w:szCs w:val="20"/>
          <w:lang w:val="en"/>
        </w:rPr>
        <w:t> </w:t>
      </w:r>
    </w:p>
    <w:p>
      <w:pPr>
        <w:widowControl/>
        <w:ind w:left="750" w:right="735" w:firstLine="1170"/>
        <w:jc w:val="left"/>
        <w:rPr>
          <w:rFonts w:hint="eastAsia" w:ascii="微软雅黑" w:hAnsi="微软雅黑" w:eastAsia="微软雅黑" w:cs="宋体"/>
          <w:color w:val="323232"/>
          <w:kern w:val="0"/>
          <w:szCs w:val="21"/>
          <w:lang w:val="en"/>
        </w:rPr>
      </w:pPr>
      <w:r>
        <w:rPr>
          <w:rFonts w:hint="eastAsia" w:ascii="黑体" w:hAnsi="黑体" w:eastAsia="黑体" w:cs="宋体"/>
          <w:color w:val="0000FF"/>
          <w:kern w:val="0"/>
          <w:sz w:val="29"/>
          <w:szCs w:val="29"/>
          <w:u w:val="single"/>
          <w:lang w:val="en"/>
        </w:rPr>
        <w:t> G227 线盐边县桐子林镇（湾滩社至安宁桥）段公路中修工程</w:t>
      </w:r>
      <w:r>
        <w:rPr>
          <w:rFonts w:hint="eastAsia" w:ascii="黑体" w:hAnsi="黑体" w:eastAsia="黑体" w:cs="宋体"/>
          <w:color w:val="323232"/>
          <w:kern w:val="0"/>
          <w:sz w:val="29"/>
          <w:szCs w:val="29"/>
          <w:lang w:val="en"/>
        </w:rPr>
        <w:t>（项目名称）</w:t>
      </w:r>
      <w:r>
        <w:rPr>
          <w:rFonts w:hint="eastAsia" w:ascii="黑体" w:hAnsi="黑体" w:eastAsia="黑体" w:cs="宋体"/>
          <w:color w:val="0000FF"/>
          <w:kern w:val="0"/>
          <w:sz w:val="29"/>
          <w:szCs w:val="29"/>
          <w:u w:val="single"/>
          <w:lang w:val="en"/>
        </w:rPr>
        <w:t>施工</w:t>
      </w:r>
      <w:r>
        <w:rPr>
          <w:rFonts w:hint="eastAsia" w:ascii="黑体" w:hAnsi="黑体" w:eastAsia="黑体" w:cs="宋体"/>
          <w:color w:val="323232"/>
          <w:kern w:val="0"/>
          <w:sz w:val="29"/>
          <w:szCs w:val="29"/>
          <w:lang w:val="en"/>
        </w:rPr>
        <w:t>标段施工招标公告</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1.招标条件</w:t>
      </w:r>
    </w:p>
    <w:p>
      <w:pPr>
        <w:widowControl/>
        <w:spacing w:line="360" w:lineRule="auto"/>
        <w:ind w:left="750" w:right="73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本招标项目</w:t>
      </w:r>
      <w:r>
        <w:rPr>
          <w:rFonts w:hint="eastAsia" w:ascii="微软雅黑" w:hAnsi="微软雅黑" w:eastAsia="微软雅黑" w:cs="宋体"/>
          <w:color w:val="0000FF"/>
          <w:kern w:val="0"/>
          <w:szCs w:val="21"/>
          <w:u w:val="single"/>
          <w:lang w:val="en"/>
        </w:rPr>
        <w:t> G227 线盐边县桐子林镇（湾滩社至安宁桥）段公路中修工程</w:t>
      </w:r>
      <w:r>
        <w:rPr>
          <w:rFonts w:hint="eastAsia" w:ascii="微软雅黑" w:hAnsi="微软雅黑" w:eastAsia="微软雅黑" w:cs="宋体"/>
          <w:color w:val="323232"/>
          <w:kern w:val="0"/>
          <w:szCs w:val="21"/>
          <w:lang w:val="en"/>
        </w:rPr>
        <w:t>（项目名称）已由</w:t>
      </w:r>
      <w:r>
        <w:rPr>
          <w:rFonts w:hint="eastAsia" w:ascii="微软雅黑" w:hAnsi="微软雅黑" w:eastAsia="微软雅黑" w:cs="宋体"/>
          <w:color w:val="0000FF"/>
          <w:kern w:val="0"/>
          <w:szCs w:val="21"/>
          <w:u w:val="single"/>
          <w:lang w:val="en"/>
        </w:rPr>
        <w:t xml:space="preserve">  攀枝花市交通运输局 </w:t>
      </w:r>
      <w:r>
        <w:rPr>
          <w:rFonts w:hint="eastAsia" w:ascii="微软雅黑" w:hAnsi="微软雅黑" w:eastAsia="微软雅黑" w:cs="宋体"/>
          <w:color w:val="323232"/>
          <w:kern w:val="0"/>
          <w:szCs w:val="21"/>
          <w:lang w:val="en"/>
        </w:rPr>
        <w:t>（项目审批、核准或备案机关名称）以</w:t>
      </w:r>
      <w:r>
        <w:rPr>
          <w:rFonts w:hint="eastAsia" w:ascii="微软雅黑" w:hAnsi="微软雅黑" w:eastAsia="微软雅黑" w:cs="宋体"/>
          <w:color w:val="0000FF"/>
          <w:kern w:val="0"/>
          <w:szCs w:val="21"/>
          <w:u w:val="single"/>
          <w:lang w:val="en"/>
        </w:rPr>
        <w:t>攀交〔2021〕262 号</w:t>
      </w:r>
      <w:r>
        <w:rPr>
          <w:rFonts w:hint="eastAsia" w:ascii="微软雅黑" w:hAnsi="微软雅黑" w:eastAsia="微软雅黑" w:cs="宋体"/>
          <w:color w:val="323232"/>
          <w:kern w:val="0"/>
          <w:szCs w:val="21"/>
          <w:lang w:val="en"/>
        </w:rPr>
        <w:t>（批文名称及编号）批准建设，施工图设计已由</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（批准机关名称）以</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（批文名称及编号）批准，项目业主为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，建设资金来自</w:t>
      </w:r>
      <w:r>
        <w:rPr>
          <w:rFonts w:hint="eastAsia" w:ascii="微软雅黑" w:hAnsi="微软雅黑" w:eastAsia="微软雅黑" w:cs="宋体"/>
          <w:color w:val="0000FF"/>
          <w:kern w:val="0"/>
          <w:szCs w:val="21"/>
          <w:u w:val="single"/>
          <w:lang w:val="en"/>
        </w:rPr>
        <w:t>上级补助资金和市级财政资金</w:t>
      </w:r>
      <w:r>
        <w:rPr>
          <w:rFonts w:hint="eastAsia" w:ascii="微软雅黑" w:hAnsi="微软雅黑" w:eastAsia="微软雅黑" w:cs="宋体"/>
          <w:color w:val="323232"/>
          <w:kern w:val="0"/>
          <w:szCs w:val="21"/>
          <w:lang w:val="en"/>
        </w:rPr>
        <w:t>（资金来源），出资比例为</w:t>
      </w:r>
      <w:r>
        <w:rPr>
          <w:rFonts w:hint="eastAsia" w:ascii="微软雅黑" w:hAnsi="微软雅黑" w:eastAsia="微软雅黑" w:cs="宋体"/>
          <w:color w:val="0000FF"/>
          <w:kern w:val="0"/>
          <w:szCs w:val="21"/>
          <w:u w:val="single"/>
          <w:lang w:val="en"/>
        </w:rPr>
        <w:t>100%</w:t>
      </w:r>
      <w:r>
        <w:rPr>
          <w:rFonts w:hint="eastAsia" w:ascii="微软雅黑" w:hAnsi="微软雅黑" w:eastAsia="微软雅黑" w:cs="宋体"/>
          <w:color w:val="323232"/>
          <w:kern w:val="0"/>
          <w:szCs w:val="21"/>
          <w:lang w:val="en"/>
        </w:rPr>
        <w:t>，招标人为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。项目已具备招标条件，现对该项目的施工进行公开招标。</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2.项目概况与招标范围</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2.1建设地点：攀枝花市盐边县桐子林镇</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2.2建设内容及规模：项目起点于 G227 线 K2571+356（桐子林镇湾滩社对箐沟桥头），止点于 G227 线 K2575+000（桐子林镇安宁桥），路线全长 3.644Km，三级公路，沥青砼路面。路面，对路面病害（裂缝、网裂、龟裂、坑槽、涌包、车辙、沉陷、块裂等）处置后，加铺改性沥青混凝土表路面。桥梁及排水，对沿线病害桥梁进行养护维修加固处治；涵洞清淤疏通；恢复受损公路边沟。平面交叉，加铺路面过渡段；增设道口桩。安防及交安设施，更换沿线波形梁护栏及钢筋混凝土防撞护墙；补充完善损坏（缺失）的交安设施，恢复路面标线等。</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u w:val="single"/>
          <w:lang w:val="en"/>
        </w:rPr>
        <w:t> </w:t>
      </w:r>
      <w:r>
        <w:rPr>
          <w:rFonts w:hint="eastAsia" w:ascii="宋体" w:hAnsi="宋体" w:eastAsia="宋体" w:cs="宋体"/>
          <w:color w:val="0000FF"/>
          <w:kern w:val="0"/>
          <w:szCs w:val="21"/>
          <w:u w:val="single"/>
          <w:lang w:val="en"/>
        </w:rPr>
        <w:t>2.3建设工期：60 日历天。 2.4招标范围：施工图设计范围、经审批过的设计变更及工程量清单范围内的全部内容。</w:t>
      </w:r>
      <w:r>
        <w:rPr>
          <w:rFonts w:hint="eastAsia" w:ascii="微软雅黑" w:hAnsi="微软雅黑" w:eastAsia="微软雅黑" w:cs="宋体"/>
          <w:color w:val="323232"/>
          <w:kern w:val="0"/>
          <w:szCs w:val="21"/>
          <w:u w:val="single"/>
          <w:lang w:val="en"/>
        </w:rPr>
        <w:t xml:space="preserve">      </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0000FF"/>
          <w:kern w:val="0"/>
          <w:szCs w:val="21"/>
          <w:u w:val="single"/>
          <w:lang w:val="en"/>
        </w:rPr>
        <w:t>2.5 标段划分：施工一个标段（说明本次招标项目的建设地点、规模、计划工期、招标范围、标段划分等）。</w:t>
      </w:r>
      <w:r>
        <w:rPr>
          <w:rFonts w:hint="eastAsia" w:ascii="微软雅黑" w:hAnsi="微软雅黑" w:eastAsia="微软雅黑" w:cs="宋体"/>
          <w:color w:val="323232"/>
          <w:kern w:val="0"/>
          <w:szCs w:val="21"/>
          <w:lang w:val="en"/>
        </w:rPr>
        <w:t>（说明本次招标项目的建设地点、规模、计划工期、招标范围、标段划分等）。</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3.投标人资格要求</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3.1本次招标要求投标人须具备</w:t>
      </w:r>
      <w:r>
        <w:rPr>
          <w:rFonts w:hint="eastAsia" w:ascii="微软雅黑" w:hAnsi="微软雅黑" w:eastAsia="微软雅黑" w:cs="宋体"/>
          <w:color w:val="0000FF"/>
          <w:kern w:val="0"/>
          <w:szCs w:val="21"/>
          <w:u w:val="single"/>
          <w:lang w:val="en"/>
        </w:rPr>
        <w:t>独立企业法人资格，具有国家建设行政主管部门颁发的公路工程施工总承包三级及以上资质并同时具备公路交通工程公路安全设施专业承包二级及以上（公路安全设施分项）</w:t>
      </w:r>
      <w:r>
        <w:rPr>
          <w:rFonts w:hint="eastAsia" w:ascii="微软雅黑" w:hAnsi="微软雅黑" w:eastAsia="微软雅黑" w:cs="宋体"/>
          <w:color w:val="323232"/>
          <w:kern w:val="0"/>
          <w:szCs w:val="21"/>
          <w:lang w:val="en"/>
        </w:rPr>
        <w:t>资质、</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业绩，并在人员、设备、资金等方面具有相应的施工能力。</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投标人应进入交通运输部“全国公路建设市场信用信息管理系统（http：//glxy.mot.gov.cn）”中的公路工程施工资质企业名录，且投标人名称和资质与该名录中的相应企业名称和资质完全一致。</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3.2本次招标(</w:t>
      </w:r>
      <w:r>
        <w:rPr>
          <w:rFonts w:hint="eastAsia" w:ascii="微软雅黑" w:hAnsi="微软雅黑" w:eastAsia="微软雅黑" w:cs="宋体"/>
          <w:color w:val="0000FF"/>
          <w:kern w:val="0"/>
          <w:szCs w:val="21"/>
          <w:lang w:val="en"/>
        </w:rPr>
        <w:t>□</w:t>
      </w:r>
      <w:r>
        <w:rPr>
          <w:rFonts w:hint="eastAsia" w:ascii="微软雅黑" w:hAnsi="微软雅黑" w:eastAsia="微软雅黑" w:cs="宋体"/>
          <w:color w:val="323232"/>
          <w:kern w:val="0"/>
          <w:szCs w:val="21"/>
          <w:lang w:val="en"/>
        </w:rPr>
        <w:t>接受；</w:t>
      </w:r>
      <w:r>
        <w:rPr>
          <w:rFonts w:hint="eastAsia" w:ascii="MS Gothic" w:hAnsi="MS Gothic" w:eastAsia="MS Gothic" w:cs="MS Gothic"/>
          <w:color w:val="0000FF"/>
          <w:kern w:val="0"/>
          <w:sz w:val="32"/>
          <w:szCs w:val="32"/>
          <w:lang w:val="en"/>
        </w:rPr>
        <w:t>☑</w:t>
      </w:r>
      <w:r>
        <w:rPr>
          <w:rFonts w:hint="eastAsia" w:ascii="微软雅黑" w:hAnsi="微软雅黑" w:eastAsia="微软雅黑" w:cs="宋体"/>
          <w:color w:val="323232"/>
          <w:kern w:val="0"/>
          <w:szCs w:val="21"/>
          <w:lang w:val="en"/>
        </w:rPr>
        <w:t>不接受）联合体投标。联合体投标的，应满足下列要求：</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3.3每个投标人最多可对</w:t>
      </w:r>
      <w:r>
        <w:rPr>
          <w:rFonts w:hint="eastAsia" w:ascii="微软雅黑" w:hAnsi="微软雅黑" w:eastAsia="微软雅黑" w:cs="宋体"/>
          <w:color w:val="0000FF"/>
          <w:kern w:val="0"/>
          <w:szCs w:val="21"/>
          <w:u w:val="single"/>
          <w:lang w:val="en"/>
        </w:rPr>
        <w:t>1</w:t>
      </w:r>
      <w:r>
        <w:rPr>
          <w:rFonts w:hint="eastAsia" w:ascii="微软雅黑" w:hAnsi="微软雅黑" w:eastAsia="微软雅黑" w:cs="宋体"/>
          <w:color w:val="323232"/>
          <w:kern w:val="0"/>
          <w:szCs w:val="21"/>
          <w:lang w:val="en"/>
        </w:rPr>
        <w:t>（具体数量）个标段投标；被招标项目所在地省级交通运输主管部门评为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信用等级的投标人，最多可对</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（具体数量）个标段投标。每个投标人允许中</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个标。</w:t>
      </w:r>
      <w:r>
        <w:rPr>
          <w:rFonts w:hint="eastAsia" w:ascii="微软雅黑" w:hAnsi="微软雅黑" w:eastAsia="微软雅黑" w:cs="宋体"/>
          <w:color w:val="323232"/>
          <w:kern w:val="0"/>
          <w:szCs w:val="21"/>
          <w:u w:val="single" w:color="000000"/>
          <w:lang w:val="en"/>
        </w:rPr>
        <w:t>对</w:t>
      </w:r>
      <w:r>
        <w:rPr>
          <w:rFonts w:hint="eastAsia" w:ascii="微软雅黑" w:hAnsi="微软雅黑" w:eastAsia="微软雅黑" w:cs="宋体"/>
          <w:color w:val="323232"/>
          <w:kern w:val="0"/>
          <w:szCs w:val="21"/>
          <w:lang w:val="en"/>
        </w:rPr>
        <w:t>投标人信用等级的认定条件为：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3.4与招标人存在利害关系可能影响招标公正性的单位，不得参加投标。单位负责人为同一人或存在控股、管理关系的不同单位，不得参加同一标段投标，否则，相关投标均无效。</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3.5在“信用中国”网站（http://www.creditchina.gov.cn/）中被列入失信被执行人名单的投标人，不得参加投标。</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4.招标文件的获取</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4.1凡有意参加投标者，请于</w:t>
      </w:r>
      <w:r>
        <w:rPr>
          <w:rFonts w:hint="eastAsia" w:ascii="微软雅黑" w:hAnsi="微软雅黑" w:eastAsia="微软雅黑" w:cs="宋体"/>
          <w:color w:val="0000FF"/>
          <w:kern w:val="0"/>
          <w:szCs w:val="21"/>
          <w:u w:val="single"/>
          <w:lang w:val="en"/>
        </w:rPr>
        <w:t>2021 年 11 月 06 日 23 时 59 分</w:t>
      </w:r>
      <w:r>
        <w:rPr>
          <w:rFonts w:hint="eastAsia" w:ascii="微软雅黑" w:hAnsi="微软雅黑" w:eastAsia="微软雅黑" w:cs="宋体"/>
          <w:color w:val="323232"/>
          <w:kern w:val="0"/>
          <w:szCs w:val="21"/>
          <w:lang w:val="en"/>
        </w:rPr>
        <w:t>至</w:t>
      </w:r>
      <w:r>
        <w:rPr>
          <w:rFonts w:hint="eastAsia" w:ascii="微软雅黑" w:hAnsi="微软雅黑" w:eastAsia="微软雅黑" w:cs="宋体"/>
          <w:color w:val="0000FF"/>
          <w:kern w:val="0"/>
          <w:szCs w:val="21"/>
          <w:u w:val="single"/>
          <w:lang w:val="en"/>
        </w:rPr>
        <w:t>2021 年 11 月 10 日 23 时 59 分</w:t>
      </w:r>
      <w:r>
        <w:rPr>
          <w:rFonts w:hint="eastAsia" w:ascii="微软雅黑" w:hAnsi="微软雅黑" w:eastAsia="微软雅黑" w:cs="宋体"/>
          <w:color w:val="323232"/>
          <w:kern w:val="0"/>
          <w:szCs w:val="21"/>
          <w:lang w:val="en"/>
        </w:rPr>
        <w:t>，(北京时间,下同）,通过互联网使用CA数字证书登录“攀枝花市工程建设交易系统”，明确所投标段,下载招标文件、图纸和参考资料。联合体投标的，由联合体牵头人完成网上支付、招标文件等资料下载。</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4.2本招标文件全部采用电子文档需使用编制工具或标书查看工具打开，如有疑问请联系技术支持电话：010-86483801。</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5.投标文件的递交及相关事宜</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5.1招标人不召开投标预备会。</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5.2投标文件应为加密的投标文件。投标文件递交的截止时间（投标截止时间，下同）为</w:t>
      </w:r>
      <w:r>
        <w:rPr>
          <w:rFonts w:hint="eastAsia" w:ascii="微软雅黑" w:hAnsi="微软雅黑" w:eastAsia="微软雅黑" w:cs="宋体"/>
          <w:color w:val="0000FF"/>
          <w:kern w:val="0"/>
          <w:szCs w:val="21"/>
          <w:u w:val="single"/>
          <w:lang w:val="en"/>
        </w:rPr>
        <w:t>2021 年 11 月 26 日 09 时 30 分</w:t>
      </w:r>
      <w:r>
        <w:rPr>
          <w:rFonts w:hint="eastAsia" w:ascii="微软雅黑" w:hAnsi="微软雅黑" w:eastAsia="微软雅黑" w:cs="宋体"/>
          <w:color w:val="323232"/>
          <w:kern w:val="0"/>
          <w:szCs w:val="21"/>
          <w:lang w:val="en"/>
        </w:rPr>
        <w:t>，投标人应在投标截止时间前，通过互联网使用CA数字证书登录“攀枝花市工程建设交易系统”，将加密的投标文件上传，并保存上传成功后系统自动生成的电子签收凭证，递交时间即为电子签收凭证时间。逾期未完成上传的或未按规定加密的投标文件，招标人予以拒收。</w:t>
      </w:r>
    </w:p>
    <w:p>
      <w:pPr>
        <w:widowControl/>
        <w:spacing w:line="15" w:lineRule="atLeast"/>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2"/>
          <w:szCs w:val="2"/>
          <w:lang w:val="en"/>
        </w:rPr>
        <w:t> </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6.发布公告的媒介</w:t>
      </w:r>
    </w:p>
    <w:p>
      <w:pPr>
        <w:widowControl/>
        <w:spacing w:line="360" w:lineRule="auto"/>
        <w:ind w:left="1230"/>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本次招标公告同时在</w:t>
      </w:r>
      <w:r>
        <w:rPr>
          <w:rFonts w:hint="eastAsia" w:ascii="微软雅黑" w:hAnsi="微软雅黑" w:eastAsia="微软雅黑" w:cs="宋体"/>
          <w:color w:val="0000FF"/>
          <w:kern w:val="0"/>
          <w:szCs w:val="21"/>
          <w:u w:val="single"/>
          <w:lang w:val="en"/>
        </w:rPr>
        <w:t>《全国公共资源交易平台（四川省.攀枝花市）》、《全国公共资源交易平台（四川省）》</w:t>
      </w:r>
      <w:r>
        <w:rPr>
          <w:rFonts w:hint="eastAsia" w:ascii="微软雅黑" w:hAnsi="微软雅黑" w:eastAsia="微软雅黑" w:cs="宋体"/>
          <w:color w:val="323232"/>
          <w:kern w:val="0"/>
          <w:szCs w:val="21"/>
          <w:lang w:val="en"/>
        </w:rPr>
        <w:t>（发布公告的媒介名称）上发布。</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7.联系方式</w:t>
      </w:r>
    </w:p>
    <w:tbl>
      <w:tblPr>
        <w:tblStyle w:val="8"/>
        <w:tblW w:w="5000" w:type="pct"/>
        <w:tblInd w:w="0" w:type="dxa"/>
        <w:tblLayout w:type="autofit"/>
        <w:tblCellMar>
          <w:top w:w="0" w:type="dxa"/>
          <w:left w:w="0" w:type="dxa"/>
          <w:bottom w:w="0" w:type="dxa"/>
          <w:right w:w="0" w:type="dxa"/>
        </w:tblCellMar>
      </w:tblPr>
      <w:tblGrid>
        <w:gridCol w:w="1269"/>
        <w:gridCol w:w="2989"/>
        <w:gridCol w:w="1557"/>
        <w:gridCol w:w="2701"/>
      </w:tblGrid>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攀枝花市公路养护总段</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招标代理机构：</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四川天合源工程技术有限公司</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攀枝花市仁和区嘉旺巷5号</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成都市青羊区贝森南路37号附12、13号7栋2楼3号</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617000</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613000</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u w:val="single"/>
              </w:rPr>
              <w:t> </w:t>
            </w:r>
            <w:r>
              <w:rPr>
                <w:rFonts w:hint="eastAsia" w:ascii="宋体" w:hAnsi="宋体" w:eastAsia="宋体" w:cs="宋体"/>
                <w:color w:val="0000FF"/>
                <w:kern w:val="0"/>
                <w:szCs w:val="21"/>
                <w:u w:val="single"/>
              </w:rPr>
              <w:t xml:space="preserve">衡春梅 </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王先生</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13037716555</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028-87333601</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bl>
    <w:p>
      <w:pPr>
        <w:widowControl/>
        <w:ind w:left="1710"/>
        <w:jc w:val="righ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2021 年 11 月 05 日</w:t>
      </w:r>
    </w:p>
    <w:p>
      <w:pPr>
        <w:widowControl/>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br w:type="page"/>
      </w:r>
      <w:r>
        <w:rPr>
          <w:rFonts w:hint="eastAsia" w:ascii="微软雅黑" w:hAnsi="微软雅黑" w:eastAsia="微软雅黑" w:cs="宋体"/>
          <w:color w:val="323232"/>
          <w:kern w:val="0"/>
          <w:szCs w:val="21"/>
          <w:lang w:val="en"/>
        </w:rPr>
        <w:t> </w:t>
      </w:r>
    </w:p>
    <w:p>
      <w:pPr>
        <w:widowControl/>
        <w:jc w:val="left"/>
        <w:rPr>
          <w:rFonts w:hint="eastAsia" w:ascii="宋体" w:hAnsi="宋体" w:eastAsia="宋体" w:cs="宋体"/>
          <w:color w:val="323232"/>
          <w:kern w:val="0"/>
          <w:szCs w:val="21"/>
          <w:lang w:val="en"/>
        </w:rPr>
      </w:pPr>
      <w:r>
        <w:rPr>
          <w:rFonts w:hint="eastAsia" w:ascii="微软雅黑" w:hAnsi="微软雅黑" w:eastAsia="微软雅黑" w:cs="宋体"/>
          <w:color w:val="323232"/>
          <w:kern w:val="0"/>
          <w:szCs w:val="21"/>
          <w:lang w:val="en"/>
        </w:rPr>
        <w:br w:type="textWrapping" w:clear="all"/>
      </w:r>
    </w:p>
    <w:p>
      <w:pPr>
        <w:widowControl/>
        <w:jc w:val="left"/>
        <w:rPr>
          <w:rFonts w:hint="eastAsia" w:ascii="宋体" w:hAnsi="宋体" w:eastAsia="宋体" w:cs="宋体"/>
          <w:color w:val="323232"/>
          <w:kern w:val="0"/>
          <w:szCs w:val="21"/>
          <w:lang w:val="en"/>
        </w:rPr>
      </w:pPr>
      <w:r>
        <w:rPr>
          <w:rFonts w:hint="eastAsia" w:ascii="宋体" w:hAnsi="宋体" w:eastAsia="宋体" w:cs="宋体"/>
          <w:color w:val="323232"/>
          <w:kern w:val="0"/>
          <w:szCs w:val="21"/>
          <w:lang w:val="en"/>
        </w:rPr>
        <w:pict>
          <v:rect id="_x0000_i1025" o:spt="1" style="height:0.75pt;width:137.05pt;" fillcolor="#A0A0A0" filled="t" stroked="f" coordsize="21600,21600" o:hr="t" o:hrstd="t" o:hrpct="330" o:hralign="center">
            <v:path/>
            <v:fill on="t" focussize="0,0"/>
            <v:stroke on="f"/>
            <v:imagedata o:title=""/>
            <o:lock v:ext="edit"/>
            <w10:wrap type="none"/>
            <w10:anchorlock/>
          </v:rect>
        </w:pict>
      </w:r>
    </w:p>
    <w:p>
      <w:pPr>
        <w:widowControl/>
        <w:spacing w:line="302" w:lineRule="auto"/>
        <w:ind w:right="79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招标人可根据项目具体特点和实际需要对本章内容进行补充、细化，但应遵守《中华人民共和国招标投标法》第十六条和《招标公告和公示信息发布管理办法》等有关法律法规的规定。</w:t>
      </w:r>
    </w:p>
    <w:p>
      <w:pPr>
        <w:widowControl/>
        <w:spacing w:line="324" w:lineRule="auto"/>
        <w:ind w:right="82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应自招标文件开始发售之日起，将招标文件的关键内容上传至具有招标监督职责的交通运输主管部门政府网站或其指定的其他网站上进行公开，公开内容包括项目概况、对投标人的全部资格条件要求、评标办法全文、招标人联系方式等。招标人可将招标文件的关键内容全部载明在招标公告正文中，或作为招标公告的附件进行公开，或作为独立文件在网站上进行公开。</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本段规定仅适用于根据《关于发布公路工程从业企业资质名录的通知》（厅公路字〔</w:t>
      </w:r>
      <w:r>
        <w:rPr>
          <w:rFonts w:hint="eastAsia" w:ascii="微软雅黑" w:hAnsi="微软雅黑" w:eastAsia="微软雅黑" w:cs="宋体"/>
          <w:color w:val="323232"/>
          <w:kern w:val="0"/>
          <w:sz w:val="18"/>
          <w:szCs w:val="18"/>
          <w:lang w:val="en"/>
        </w:rPr>
        <w:t>2011</w:t>
      </w:r>
      <w:r>
        <w:rPr>
          <w:rFonts w:hint="eastAsia" w:ascii="宋体" w:hAnsi="宋体" w:eastAsia="宋体" w:cs="宋体"/>
          <w:color w:val="323232"/>
          <w:kern w:val="0"/>
          <w:sz w:val="18"/>
          <w:szCs w:val="18"/>
          <w:lang w:val="en"/>
        </w:rPr>
        <w:t>〕</w:t>
      </w:r>
      <w:r>
        <w:rPr>
          <w:rFonts w:hint="eastAsia" w:ascii="微软雅黑" w:hAnsi="微软雅黑" w:eastAsia="微软雅黑" w:cs="宋体"/>
          <w:color w:val="323232"/>
          <w:kern w:val="0"/>
          <w:sz w:val="18"/>
          <w:szCs w:val="18"/>
          <w:lang w:val="en"/>
        </w:rPr>
        <w:t>114</w:t>
      </w:r>
      <w:r>
        <w:rPr>
          <w:rFonts w:hint="eastAsia" w:ascii="宋体" w:hAnsi="宋体" w:eastAsia="宋体" w:cs="宋体"/>
          <w:color w:val="323232"/>
          <w:kern w:val="0"/>
          <w:sz w:val="18"/>
          <w:szCs w:val="18"/>
          <w:lang w:val="en"/>
        </w:rPr>
        <w:t>号）要求，招标人应通过名录对投标人资质条件进行审核的公路施工企业。</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招标人可根据招标项目所在地省级交通运输主管部门的有关规定，对信用等级高的投标人，给予增加参与投标标段数量的优惠。</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招标文件（未进行资格预审）的发售时间不得少于5日。</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依法必须进行招标的公路工程，自招标文件开始发售之日起至投标人递交投标文件截止之日止，不得少于20日。</w:t>
      </w:r>
    </w:p>
    <w:p>
      <w:pPr>
        <w:widowControl/>
        <w:spacing w:before="100" w:beforeAutospacing="1" w:after="100" w:afterAutospacing="1"/>
        <w:jc w:val="left"/>
        <w:outlineLvl w:val="2"/>
        <w:rPr>
          <w:rFonts w:hint="eastAsia" w:ascii="微软雅黑" w:hAnsi="微软雅黑" w:eastAsia="微软雅黑" w:cs="宋体"/>
          <w:b/>
          <w:bCs/>
          <w:color w:val="323232"/>
          <w:kern w:val="0"/>
          <w:sz w:val="27"/>
          <w:szCs w:val="27"/>
          <w:lang w:val="en"/>
        </w:rPr>
      </w:pPr>
      <w:r>
        <w:rPr>
          <w:rFonts w:hint="eastAsia" w:ascii="微软雅黑" w:hAnsi="微软雅黑" w:eastAsia="微软雅黑" w:cs="宋体"/>
          <w:b/>
          <w:bCs/>
          <w:color w:val="323232"/>
          <w:kern w:val="0"/>
          <w:sz w:val="27"/>
          <w:szCs w:val="27"/>
          <w:lang w:val="en"/>
        </w:rPr>
        <w:t>附件信息</w:t>
      </w:r>
    </w:p>
    <w:tbl>
      <w:tblPr>
        <w:tblStyle w:val="8"/>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招标公告附件：</w:t>
            </w:r>
          </w:p>
        </w:tc>
        <w:tc>
          <w:tcPr>
            <w:tcW w:w="0" w:type="auto"/>
            <w:tcMar>
              <w:top w:w="15" w:type="dxa"/>
              <w:left w:w="15" w:type="dxa"/>
              <w:bottom w:w="15" w:type="dxa"/>
              <w:right w:w="15" w:type="dxa"/>
            </w:tcMar>
            <w:vAlign w:val="center"/>
          </w:tcPr>
          <w:tbl>
            <w:tblPr>
              <w:tblStyle w:val="8"/>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"http://ggzy.panzhihua.gov.cn/pzh-jsgc-file/downloadFile?fileId=9b8c8b90-7ec0-43c9-9cb1-da547e0a538d" </w:instrText>
                  </w:r>
                  <w:r>
                    <w:fldChar w:fldCharType="separate"/>
                  </w:r>
                  <w:r>
                    <w:rPr>
                      <w:rFonts w:ascii="微软雅黑" w:hAnsi="微软雅黑" w:eastAsia="微软雅黑" w:cs="宋体"/>
                      <w:color w:val="323232"/>
                      <w:kern w:val="0"/>
                      <w:szCs w:val="21"/>
                    </w:rPr>
                    <w:t>G227中修盐边县招标公告.pdf</w:t>
                  </w:r>
                  <w:r>
                    <w:rPr>
                      <w:rFonts w:ascii="微软雅黑" w:hAnsi="微软雅黑" w:eastAsia="微软雅黑" w:cs="宋体"/>
                      <w:color w:val="323232"/>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2021-11-05 14:30:57</w:t>
                  </w:r>
                </w:p>
              </w:tc>
            </w:tr>
          </w:tbl>
          <w:p>
            <w:pPr>
              <w:widowControl/>
              <w:jc w:val="left"/>
              <w:rPr>
                <w:rFonts w:ascii="微软雅黑" w:hAnsi="微软雅黑" w:eastAsia="微软雅黑" w:cs="宋体"/>
                <w:color w:val="323232"/>
                <w:kern w:val="0"/>
                <w:szCs w:val="21"/>
              </w:rPr>
            </w:pPr>
          </w:p>
        </w:tc>
      </w:tr>
    </w:tbl>
    <w:p>
      <w:pPr>
        <w:rPr>
          <w:rFonts w:ascii="微软雅黑" w:hAnsi="微软雅黑" w:eastAsia="微软雅黑" w:cs="宋体"/>
          <w:color w:val="323232"/>
          <w:kern w:val="0"/>
          <w:szCs w:val="21"/>
          <w:lang w:val="en"/>
        </w:rPr>
      </w:pPr>
      <w:r>
        <w:drawing>
          <wp:inline distT="0" distB="0" distL="0" distR="0">
            <wp:extent cx="5274310" cy="3124835"/>
            <wp:effectExtent l="0" t="0" r="254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7"/>
                    <a:stretch>
                      <a:fillRect/>
                    </a:stretch>
                  </pic:blipFill>
                  <pic:spPr>
                    <a:xfrm>
                      <a:off x="0" y="0"/>
                      <a:ext cx="5274310" cy="3124907"/>
                    </a:xfrm>
                    <a:prstGeom prst="rect">
                      <a:avLst/>
                    </a:prstGeom>
                  </pic:spPr>
                </pic:pic>
              </a:graphicData>
            </a:graphic>
          </wp:inline>
        </w:drawing>
      </w:r>
    </w:p>
    <w:p>
      <w:pPr>
        <w:widowControl/>
        <w:spacing w:line="360" w:lineRule="auto"/>
        <w:ind w:firstLine="555"/>
        <w:jc w:val="center"/>
        <w:rPr>
          <w:rFonts w:hint="eastAsia" w:ascii="微软雅黑" w:hAnsi="微软雅黑" w:eastAsia="微软雅黑" w:cs="宋体"/>
          <w:color w:val="323232"/>
          <w:kern w:val="0"/>
          <w:szCs w:val="21"/>
          <w:lang w:val="en"/>
        </w:rPr>
      </w:pPr>
      <w:r>
        <w:rPr>
          <w:rFonts w:hint="eastAsia" w:ascii="微软雅黑" w:hAnsi="微软雅黑" w:eastAsia="微软雅黑" w:cs="宋体"/>
          <w:b/>
          <w:bCs/>
          <w:color w:val="323232"/>
          <w:kern w:val="0"/>
          <w:sz w:val="29"/>
          <w:szCs w:val="29"/>
          <w:lang w:val="en"/>
        </w:rPr>
        <w:t>G227 线盐边县桐子林镇（湾滩社至安宁桥）段公路中修工程补遗</w:t>
      </w:r>
      <w:r>
        <w:rPr>
          <w:rFonts w:hint="eastAsia" w:ascii="微软雅黑" w:hAnsi="微软雅黑" w:eastAsia="微软雅黑" w:cs="宋体"/>
          <w:b/>
          <w:bCs/>
          <w:color w:val="323232"/>
          <w:kern w:val="0"/>
          <w:szCs w:val="21"/>
          <w:lang w:val="en"/>
        </w:rPr>
        <w:t>01</w:t>
      </w:r>
      <w:r>
        <w:rPr>
          <w:rFonts w:hint="eastAsia" w:ascii="微软雅黑" w:hAnsi="微软雅黑" w:eastAsia="微软雅黑" w:cs="宋体"/>
          <w:b/>
          <w:bCs/>
          <w:color w:val="323232"/>
          <w:kern w:val="0"/>
          <w:sz w:val="29"/>
          <w:szCs w:val="29"/>
          <w:lang w:val="en"/>
        </w:rPr>
        <w:t>号</w:t>
      </w:r>
    </w:p>
    <w:p>
      <w:pPr>
        <w:widowControl/>
        <w:spacing w:line="360" w:lineRule="auto"/>
        <w:ind w:firstLine="48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致本项目各潜在投标人：</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1.本项目资格条件原文为：3.1本次招标要求投标人须具备</w:t>
      </w:r>
      <w:r>
        <w:rPr>
          <w:rFonts w:hint="eastAsia" w:ascii="微软雅黑" w:hAnsi="微软雅黑" w:eastAsia="微软雅黑" w:cs="宋体"/>
          <w:color w:val="323232"/>
          <w:kern w:val="0"/>
          <w:szCs w:val="21"/>
          <w:u w:val="single"/>
          <w:lang w:val="en"/>
        </w:rPr>
        <w:t>独立企业法人资格，具有国家建设行政主管部门颁发的公路工程施工总承包三级及以上资质并同时具备公路交通工程公路安全设施专业承包二级及以上（公路安全设施分项）</w:t>
      </w:r>
      <w:r>
        <w:rPr>
          <w:rFonts w:hint="eastAsia" w:ascii="微软雅黑" w:hAnsi="微软雅黑" w:eastAsia="微软雅黑" w:cs="宋体"/>
          <w:color w:val="323232"/>
          <w:kern w:val="0"/>
          <w:szCs w:val="21"/>
          <w:lang w:val="en"/>
        </w:rPr>
        <w:t>资质、</w:t>
      </w:r>
      <w:r>
        <w:rPr>
          <w:rFonts w:hint="eastAsia" w:ascii="微软雅黑" w:hAnsi="微软雅黑" w:eastAsia="微软雅黑" w:cs="宋体"/>
          <w:color w:val="323232"/>
          <w:kern w:val="0"/>
          <w:szCs w:val="21"/>
          <w:u w:val="single"/>
          <w:lang w:val="en"/>
        </w:rPr>
        <w:t>\</w:t>
      </w:r>
      <w:r>
        <w:rPr>
          <w:rFonts w:hint="eastAsia" w:ascii="微软雅黑" w:hAnsi="微软雅黑" w:eastAsia="微软雅黑" w:cs="宋体"/>
          <w:color w:val="323232"/>
          <w:kern w:val="0"/>
          <w:szCs w:val="21"/>
          <w:lang w:val="en"/>
        </w:rPr>
        <w:t>业绩，并在人员、设备、资金等方面具有相应的施工能力。投标人应进入交通运输部“全国公路建设市场信用信息管理系统（http：//glxy.mot.gov.cn）”中的公路工程施工资质企业名录，且投标人名称和资质与该名录中的相应企业名称和资质完全一致。</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修改为：3.1本次招标要求投标人须具备</w:t>
      </w:r>
      <w:r>
        <w:rPr>
          <w:rFonts w:hint="eastAsia" w:ascii="微软雅黑" w:hAnsi="微软雅黑" w:eastAsia="微软雅黑" w:cs="宋体"/>
          <w:color w:val="323232"/>
          <w:kern w:val="0"/>
          <w:szCs w:val="21"/>
          <w:u w:val="single"/>
          <w:lang w:val="en"/>
        </w:rPr>
        <w:t>独立企业法人资格，具有国家建设行政主管部门颁发的公路工程施工总承包二级及以上资质并同时具备公路交通工程公路安全设施专业承包二级及以上（公路安全设施分项）</w:t>
      </w:r>
      <w:r>
        <w:rPr>
          <w:rFonts w:hint="eastAsia" w:ascii="微软雅黑" w:hAnsi="微软雅黑" w:eastAsia="微软雅黑" w:cs="宋体"/>
          <w:color w:val="323232"/>
          <w:kern w:val="0"/>
          <w:szCs w:val="21"/>
          <w:lang w:val="en"/>
        </w:rPr>
        <w:t>资质、</w:t>
      </w:r>
      <w:r>
        <w:rPr>
          <w:rFonts w:hint="eastAsia" w:ascii="微软雅黑" w:hAnsi="微软雅黑" w:eastAsia="微软雅黑" w:cs="宋体"/>
          <w:color w:val="323232"/>
          <w:kern w:val="0"/>
          <w:szCs w:val="21"/>
          <w:u w:val="single"/>
          <w:lang w:val="en"/>
        </w:rPr>
        <w:t>\</w:t>
      </w:r>
      <w:r>
        <w:rPr>
          <w:rFonts w:hint="eastAsia" w:ascii="微软雅黑" w:hAnsi="微软雅黑" w:eastAsia="微软雅黑" w:cs="宋体"/>
          <w:color w:val="323232"/>
          <w:kern w:val="0"/>
          <w:szCs w:val="21"/>
          <w:lang w:val="en"/>
        </w:rPr>
        <w:t>业绩，并在人员、设备、资金等方面具有相应的施工能力。投标人应进入交通运输部“全国公路建设市场信用信息管理系统（http：//glxy.mot.gov.cn）”中的公路工程施工资质企业名录，且投标人名称和资质与该名录中的相应企业名称和资质完全一致。本项目招标文件中所涉及资格条件要求处均以本补遗资格要求为准。</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2.投标保证金截止时间以招标文件中为准，招标文件其余内容均不作调整，给各投标人带来不便敬请谅解。</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招标人：攀枝花市公路养护总段</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日期：2021年11月8日</w:t>
      </w:r>
    </w:p>
    <w:tbl>
      <w:tblPr>
        <w:tblStyle w:val="8"/>
        <w:tblW w:w="987" w:type="pct"/>
        <w:tblInd w:w="0" w:type="dxa"/>
        <w:tblLayout w:type="autofit"/>
        <w:tblCellMar>
          <w:top w:w="0" w:type="dxa"/>
          <w:left w:w="0" w:type="dxa"/>
          <w:bottom w:w="0" w:type="dxa"/>
          <w:right w:w="0" w:type="dxa"/>
        </w:tblCellMar>
      </w:tblPr>
      <w:tblGrid>
        <w:gridCol w:w="2100"/>
      </w:tblGrid>
      <w:tr>
        <w:tblPrEx>
          <w:tblCellMar>
            <w:top w:w="0" w:type="dxa"/>
            <w:left w:w="0" w:type="dxa"/>
            <w:bottom w:w="0" w:type="dxa"/>
            <w:right w:w="0" w:type="dxa"/>
          </w:tblCellMar>
        </w:tblPrEx>
        <w:trPr>
          <w:trHeight w:val="675" w:hRule="atLeast"/>
        </w:trPr>
        <w:tc>
          <w:tcPr>
            <w:tcW w:w="5000" w:type="pct"/>
            <w:tcMar>
              <w:top w:w="15" w:type="dxa"/>
              <w:left w:w="15" w:type="dxa"/>
              <w:bottom w:w="15" w:type="dxa"/>
              <w:right w:w="15" w:type="dxa"/>
            </w:tcMar>
            <w:vAlign w:val="center"/>
          </w:tcPr>
          <w:tbl>
            <w:tblPr>
              <w:tblStyle w:val="8"/>
              <w:tblW w:w="5000" w:type="pct"/>
              <w:tblInd w:w="0" w:type="dxa"/>
              <w:tblLayout w:type="autofit"/>
              <w:tblCellMar>
                <w:top w:w="15" w:type="dxa"/>
                <w:left w:w="15" w:type="dxa"/>
                <w:bottom w:w="15" w:type="dxa"/>
                <w:right w:w="15" w:type="dxa"/>
              </w:tblCellMar>
            </w:tblPr>
            <w:tblGrid>
              <w:gridCol w:w="241"/>
              <w:gridCol w:w="632"/>
              <w:gridCol w:w="1197"/>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"http://ggzy.panzhihua.gov.cn/pzh-jsgc-file/downloadFile?fileId=20e53719-7a7b-45bc-9b46-fd58a056f167" \o "点击下载" </w:instrText>
                  </w:r>
                  <w:r>
                    <w:fldChar w:fldCharType="separate"/>
                  </w:r>
                  <w:r>
                    <w:rPr>
                      <w:rFonts w:ascii="微软雅黑" w:hAnsi="微软雅黑" w:eastAsia="微软雅黑" w:cs="宋体"/>
                      <w:color w:val="0000FF"/>
                      <w:kern w:val="0"/>
                      <w:szCs w:val="21"/>
                    </w:rPr>
                    <w:t>G227 线盐边县桐子林镇补遗.pdf</w:t>
                  </w:r>
                  <w:r>
                    <w:rPr>
                      <w:rFonts w:ascii="微软雅黑" w:hAnsi="微软雅黑" w:eastAsia="微软雅黑" w:cs="宋体"/>
                      <w:color w:val="0000FF"/>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2021-11-08 12:23:05</w:t>
                  </w:r>
                </w:p>
              </w:tc>
            </w:tr>
          </w:tbl>
          <w:p>
            <w:pPr>
              <w:widowControl/>
              <w:jc w:val="left"/>
              <w:rPr>
                <w:rFonts w:ascii="微软雅黑" w:hAnsi="微软雅黑" w:eastAsia="微软雅黑" w:cs="宋体"/>
                <w:color w:val="323232"/>
                <w:kern w:val="0"/>
                <w:szCs w:val="21"/>
              </w:rPr>
            </w:pPr>
          </w:p>
        </w:tc>
      </w:tr>
      <w:tr>
        <w:tblPrEx>
          <w:tblCellMar>
            <w:top w:w="0" w:type="dxa"/>
            <w:left w:w="0" w:type="dxa"/>
            <w:bottom w:w="0" w:type="dxa"/>
            <w:right w:w="0" w:type="dxa"/>
          </w:tblCellMar>
        </w:tblPrEx>
        <w:trPr>
          <w:trHeight w:val="675" w:hRule="atLeast"/>
        </w:trPr>
        <w:tc>
          <w:tcPr>
            <w:tcW w:w="5000" w:type="pct"/>
            <w:tcMar>
              <w:top w:w="15" w:type="dxa"/>
              <w:left w:w="15" w:type="dxa"/>
              <w:bottom w:w="15" w:type="dxa"/>
              <w:right w:w="15" w:type="dxa"/>
            </w:tcMar>
            <w:vAlign w:val="center"/>
          </w:tcPr>
          <w:p>
            <w:pPr>
              <w:widowControl/>
              <w:jc w:val="center"/>
              <w:rPr>
                <w:rFonts w:hint="eastAsia" w:ascii="微软雅黑" w:hAnsi="微软雅黑" w:eastAsia="微软雅黑" w:cs="宋体"/>
                <w:b/>
                <w:bCs/>
                <w:color w:val="323232"/>
                <w:kern w:val="0"/>
                <w:szCs w:val="21"/>
              </w:rPr>
            </w:pPr>
          </w:p>
        </w:tc>
      </w:tr>
    </w:tbl>
    <w:p>
      <w:pPr>
        <w:jc w:val="center"/>
        <w:rPr>
          <w:rFonts w:hint="eastAsia"/>
          <w:sz w:val="30"/>
          <w:szCs w:val="30"/>
        </w:rPr>
      </w:pPr>
      <w:r>
        <w:drawing>
          <wp:inline distT="0" distB="0" distL="0" distR="0">
            <wp:extent cx="5274310" cy="3063240"/>
            <wp:effectExtent l="0" t="0" r="2540" b="381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8"/>
                    <a:stretch>
                      <a:fillRect/>
                    </a:stretch>
                  </pic:blipFill>
                  <pic:spPr>
                    <a:xfrm>
                      <a:off x="0" y="0"/>
                      <a:ext cx="5274310" cy="3063861"/>
                    </a:xfrm>
                    <a:prstGeom prst="rect">
                      <a:avLst/>
                    </a:prstGeom>
                  </pic:spPr>
                </pic:pic>
              </a:graphicData>
            </a:graphic>
          </wp:inline>
        </w:drawing>
      </w:r>
    </w:p>
    <w:p>
      <w:pPr>
        <w:jc w:val="center"/>
        <w:rPr>
          <w:rFonts w:hint="eastAsia"/>
          <w:sz w:val="30"/>
          <w:szCs w:val="30"/>
        </w:rPr>
      </w:pPr>
      <w:r>
        <w:drawing>
          <wp:inline distT="0" distB="0" distL="0" distR="0">
            <wp:extent cx="6028690" cy="730567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9"/>
                    <a:stretch>
                      <a:fillRect/>
                    </a:stretch>
                  </pic:blipFill>
                  <pic:spPr>
                    <a:xfrm>
                      <a:off x="0" y="0"/>
                      <a:ext cx="6028905" cy="7305861"/>
                    </a:xfrm>
                    <a:prstGeom prst="rect">
                      <a:avLst/>
                    </a:prstGeom>
                  </pic:spPr>
                </pic:pic>
              </a:graphicData>
            </a:graphic>
          </wp:inline>
        </w:drawing>
      </w:r>
    </w:p>
    <w:p>
      <w:pPr>
        <w:jc w:val="center"/>
        <w:rPr>
          <w:rFonts w:hint="eastAsia"/>
          <w:sz w:val="30"/>
          <w:szCs w:val="30"/>
        </w:rPr>
      </w:pPr>
    </w:p>
    <w:p>
      <w:pPr>
        <w:jc w:val="center"/>
        <w:rPr>
          <w:rFonts w:hint="eastAsia"/>
          <w:sz w:val="30"/>
          <w:szCs w:val="30"/>
        </w:rPr>
      </w:pPr>
      <w:r>
        <w:drawing>
          <wp:inline distT="0" distB="0" distL="0" distR="0">
            <wp:extent cx="6438900" cy="771906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0"/>
                    <a:stretch>
                      <a:fillRect/>
                    </a:stretch>
                  </pic:blipFill>
                  <pic:spPr>
                    <a:xfrm>
                      <a:off x="0" y="0"/>
                      <a:ext cx="6438905" cy="7719555"/>
                    </a:xfrm>
                    <a:prstGeom prst="rect">
                      <a:avLst/>
                    </a:prstGeom>
                  </pic:spPr>
                </pic:pic>
              </a:graphicData>
            </a:graphic>
          </wp:inline>
        </w:drawing>
      </w:r>
    </w:p>
    <w:p>
      <w:pPr>
        <w:jc w:val="center"/>
        <w:rPr>
          <w:rFonts w:hint="eastAsia"/>
          <w:sz w:val="30"/>
          <w:szCs w:val="30"/>
        </w:rPr>
      </w:pPr>
    </w:p>
    <w:p>
      <w:pPr>
        <w:jc w:val="center"/>
        <w:rPr>
          <w:rFonts w:hint="eastAsia"/>
          <w:sz w:val="30"/>
          <w:szCs w:val="30"/>
        </w:rPr>
      </w:pPr>
    </w:p>
    <w:p>
      <w:pPr>
        <w:jc w:val="center"/>
        <w:rPr>
          <w:rFonts w:hint="eastAsia"/>
          <w:sz w:val="30"/>
          <w:szCs w:val="30"/>
        </w:rPr>
      </w:pPr>
      <w:r>
        <w:drawing>
          <wp:inline distT="0" distB="0" distL="0" distR="0">
            <wp:extent cx="6407785" cy="8143875"/>
            <wp:effectExtent l="0" t="0" r="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6405590" cy="8140437"/>
                    </a:xfrm>
                    <a:prstGeom prst="rect">
                      <a:avLst/>
                    </a:prstGeom>
                  </pic:spPr>
                </pic:pic>
              </a:graphicData>
            </a:graphic>
          </wp:inline>
        </w:drawing>
      </w:r>
    </w:p>
    <w:p>
      <w:pPr>
        <w:jc w:val="center"/>
        <w:rPr>
          <w:rFonts w:hint="eastAsia"/>
          <w:sz w:val="30"/>
          <w:szCs w:val="30"/>
        </w:rPr>
      </w:pPr>
    </w:p>
    <w:p>
      <w:pPr>
        <w:jc w:val="center"/>
        <w:rPr>
          <w:rFonts w:hint="eastAsia"/>
          <w:sz w:val="30"/>
          <w:szCs w:val="30"/>
        </w:rPr>
      </w:pPr>
      <w:r>
        <w:drawing>
          <wp:anchor distT="0" distB="0" distL="114300" distR="114300" simplePos="0" relativeHeight="251659264" behindDoc="0" locked="0" layoutInCell="1" allowOverlap="1">
            <wp:simplePos x="0" y="0"/>
            <wp:positionH relativeFrom="margin">
              <wp:posOffset>-781050</wp:posOffset>
            </wp:positionH>
            <wp:positionV relativeFrom="margin">
              <wp:posOffset>257175</wp:posOffset>
            </wp:positionV>
            <wp:extent cx="6382385" cy="6210300"/>
            <wp:effectExtent l="0" t="0" r="0" b="0"/>
            <wp:wrapSquare wrapText="bothSides"/>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2">
                      <a:extLst>
                        <a:ext uri="{28A0092B-C50C-407E-A947-70E740481C1C}">
                          <a14:useLocalDpi xmlns:a14="http://schemas.microsoft.com/office/drawing/2010/main" val="false"/>
                        </a:ext>
                      </a:extLst>
                    </a:blip>
                    <a:stretch>
                      <a:fillRect/>
                    </a:stretch>
                  </pic:blipFill>
                  <pic:spPr>
                    <a:xfrm>
                      <a:off x="0" y="0"/>
                      <a:ext cx="6382385" cy="6210300"/>
                    </a:xfrm>
                    <a:prstGeom prst="rect">
                      <a:avLst/>
                    </a:prstGeom>
                  </pic:spPr>
                </pic:pic>
              </a:graphicData>
            </a:graphic>
          </wp:anchor>
        </w:drawing>
      </w:r>
    </w:p>
    <w:p>
      <w:pPr>
        <w:jc w:val="center"/>
        <w:rPr>
          <w:rFonts w:hint="eastAsia"/>
          <w:sz w:val="30"/>
          <w:szCs w:val="30"/>
        </w:rPr>
      </w:pPr>
    </w:p>
    <w:p>
      <w:pPr>
        <w:jc w:val="center"/>
        <w:rPr>
          <w:rFonts w:hint="eastAsia"/>
          <w:sz w:val="30"/>
          <w:szCs w:val="30"/>
        </w:rPr>
      </w:pPr>
    </w:p>
    <w:p>
      <w:pPr>
        <w:jc w:val="center"/>
        <w:rPr>
          <w:rFonts w:hint="eastAsia"/>
          <w:sz w:val="30"/>
          <w:szCs w:val="30"/>
        </w:rPr>
      </w:pPr>
    </w:p>
    <w:p>
      <w:pPr>
        <w:jc w:val="center"/>
        <w:rPr>
          <w:rFonts w:hint="eastAsia"/>
          <w:sz w:val="30"/>
          <w:szCs w:val="30"/>
        </w:rPr>
      </w:pPr>
    </w:p>
    <w:p>
      <w:pPr>
        <w:jc w:val="center"/>
        <w:rPr>
          <w:rFonts w:hint="eastAsia"/>
          <w:sz w:val="30"/>
          <w:szCs w:val="30"/>
        </w:rPr>
      </w:pPr>
    </w:p>
    <w:p>
      <w:pPr>
        <w:jc w:val="center"/>
        <w:rPr>
          <w:rFonts w:hint="eastAsia"/>
          <w:sz w:val="30"/>
          <w:szCs w:val="30"/>
        </w:rPr>
      </w:pPr>
      <w:r>
        <w:drawing>
          <wp:inline distT="0" distB="0" distL="0" distR="0">
            <wp:extent cx="5274310" cy="2721610"/>
            <wp:effectExtent l="0" t="0" r="2540" b="254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3"/>
                    <a:stretch>
                      <a:fillRect/>
                    </a:stretch>
                  </pic:blipFill>
                  <pic:spPr>
                    <a:xfrm>
                      <a:off x="0" y="0"/>
                      <a:ext cx="5274310" cy="2722008"/>
                    </a:xfrm>
                    <a:prstGeom prst="rect">
                      <a:avLst/>
                    </a:prstGeom>
                  </pic:spPr>
                </pic:pic>
              </a:graphicData>
            </a:graphic>
          </wp:inline>
        </w:drawing>
      </w:r>
    </w:p>
    <w:p>
      <w:pPr>
        <w:pStyle w:val="3"/>
        <w:spacing w:line="750" w:lineRule="atLeast"/>
        <w:rPr>
          <w:rFonts w:ascii="微软雅黑" w:hAnsi="微软雅黑" w:eastAsia="微软雅黑"/>
          <w:color w:val="323232"/>
          <w:lang w:val="en"/>
        </w:rPr>
      </w:pPr>
      <w:r>
        <w:rPr>
          <w:rFonts w:hint="eastAsia" w:ascii="微软雅黑" w:hAnsi="微软雅黑" w:eastAsia="微软雅黑"/>
          <w:color w:val="323232"/>
          <w:lang w:val="en"/>
        </w:rPr>
        <w:t>中标结果公告</w:t>
      </w:r>
    </w:p>
    <w:tbl>
      <w:tblPr>
        <w:tblStyle w:val="8"/>
        <w:tblW w:w="4800" w:type="pct"/>
        <w:tblInd w:w="0" w:type="dxa"/>
        <w:tblLayout w:type="autofit"/>
        <w:tblCellMar>
          <w:top w:w="0" w:type="dxa"/>
          <w:left w:w="0" w:type="dxa"/>
          <w:bottom w:w="0" w:type="dxa"/>
          <w:right w:w="0" w:type="dxa"/>
        </w:tblCellMar>
      </w:tblPr>
      <w:tblGrid>
        <w:gridCol w:w="2001"/>
        <w:gridCol w:w="6002"/>
      </w:tblGrid>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标段编号：</w:t>
            </w:r>
          </w:p>
        </w:tc>
        <w:tc>
          <w:tcPr>
            <w:tcW w:w="37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GC510400202100067001001</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标段名称：</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G227 线盐边县桐子林镇（湾滩社至安宁桥）段公路中修工程-</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工程类型：</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施工</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发布时间：</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 xml:space="preserve">2021-12-03 17:00:00 </w:t>
            </w:r>
          </w:p>
        </w:tc>
      </w:tr>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中标人：</w:t>
            </w:r>
          </w:p>
        </w:tc>
        <w:tc>
          <w:tcPr>
            <w:tcW w:w="37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b/>
                <w:bCs/>
                <w:color w:val="323232"/>
                <w:szCs w:val="21"/>
              </w:rPr>
              <w:t>四川华友建筑实业有限责任公司</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中标价：</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b/>
                <w:bCs/>
                <w:color w:val="323232"/>
                <w:szCs w:val="21"/>
              </w:rPr>
              <w:t>490.3672万元</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中标工期：</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60天</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项目经理：</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姜霖</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备注说明：</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p>
        </w:tc>
      </w:tr>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spacing w:line="600" w:lineRule="atLeast"/>
              <w:rPr>
                <w:rFonts w:ascii="微软雅黑" w:hAnsi="微软雅黑" w:eastAsia="微软雅黑" w:cs="宋体"/>
                <w:color w:val="000000"/>
                <w:szCs w:val="21"/>
              </w:rPr>
            </w:pPr>
            <w:r>
              <w:rPr>
                <w:rFonts w:hint="eastAsia" w:ascii="微软雅黑" w:hAnsi="微软雅黑" w:eastAsia="微软雅黑"/>
                <w:color w:val="000000"/>
                <w:szCs w:val="21"/>
              </w:rPr>
              <w:t>附件：</w:t>
            </w:r>
          </w:p>
        </w:tc>
        <w:tc>
          <w:tcPr>
            <w:tcW w:w="4250" w:type="pct"/>
            <w:tcMar>
              <w:top w:w="15" w:type="dxa"/>
              <w:left w:w="15" w:type="dxa"/>
              <w:bottom w:w="15" w:type="dxa"/>
              <w:right w:w="15" w:type="dxa"/>
            </w:tcMar>
            <w:vAlign w:val="center"/>
          </w:tcPr>
          <w:tbl>
            <w:tblPr>
              <w:tblStyle w:val="8"/>
              <w:tblW w:w="5000" w:type="pct"/>
              <w:tblInd w:w="0" w:type="dxa"/>
              <w:tblLayout w:type="autofit"/>
              <w:tblCellMar>
                <w:top w:w="15" w:type="dxa"/>
                <w:left w:w="15" w:type="dxa"/>
                <w:bottom w:w="15" w:type="dxa"/>
                <w:right w:w="15" w:type="dxa"/>
              </w:tblCellMar>
            </w:tblPr>
            <w:tblGrid>
              <w:gridCol w:w="896"/>
              <w:gridCol w:w="2986"/>
              <w:gridCol w:w="2090"/>
            </w:tblGrid>
            <w:tr>
              <w:tblPrEx>
                <w:tblCellMar>
                  <w:top w:w="15" w:type="dxa"/>
                  <w:left w:w="15" w:type="dxa"/>
                  <w:bottom w:w="15" w:type="dxa"/>
                  <w:right w:w="15" w:type="dxa"/>
                </w:tblCellMar>
              </w:tblPrEx>
              <w:trPr>
                <w:trHeight w:val="675" w:hRule="atLeast"/>
              </w:trPr>
              <w:tc>
                <w:tcPr>
                  <w:tcW w:w="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序号</w:t>
                  </w:r>
                </w:p>
              </w:tc>
              <w:tc>
                <w:tcPr>
                  <w:tcW w:w="250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文件名</w:t>
                  </w:r>
                </w:p>
              </w:tc>
              <w:tc>
                <w:tcPr>
                  <w:tcW w:w="1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1</w:t>
                  </w:r>
                </w:p>
              </w:tc>
              <w:tc>
                <w:tcPr>
                  <w:tcW w:w="0" w:type="auto"/>
                  <w:vAlign w:val="center"/>
                </w:tcPr>
                <w:p>
                  <w:pPr>
                    <w:rPr>
                      <w:rFonts w:ascii="微软雅黑" w:hAnsi="微软雅黑" w:eastAsia="微软雅黑" w:cs="宋体"/>
                      <w:color w:val="323232"/>
                      <w:szCs w:val="21"/>
                    </w:rPr>
                  </w:pPr>
                  <w:r>
                    <w:fldChar w:fldCharType="begin"/>
                  </w:r>
                  <w:r>
                    <w:instrText xml:space="preserve"> HYPERLINK "http://ggzy.panzhihua.gov.cn/pzh-jsgc-file/downloadFile?fileId=c4b8fd17-b5af-403e-96d3-5f16d39abc66" \o "点击下载" </w:instrText>
                  </w:r>
                  <w:r>
                    <w:fldChar w:fldCharType="separate"/>
                  </w:r>
                  <w:r>
                    <w:rPr>
                      <w:rStyle w:val="11"/>
                      <w:rFonts w:hint="default"/>
                      <w:color w:val="0000FF"/>
                    </w:rPr>
                    <w:t>华友中标通知书.jpg</w:t>
                  </w:r>
                  <w:r>
                    <w:rPr>
                      <w:rStyle w:val="11"/>
                      <w:rFonts w:hint="default"/>
                      <w:color w:val="0000FF"/>
                    </w:rPr>
                    <w:fldChar w:fldCharType="end"/>
                  </w:r>
                </w:p>
              </w:tc>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2021-12-03 16:42:29</w:t>
                  </w:r>
                </w:p>
              </w:tc>
            </w:tr>
          </w:tbl>
          <w:p>
            <w:pPr>
              <w:rPr>
                <w:rFonts w:ascii="微软雅黑" w:hAnsi="微软雅黑" w:eastAsia="微软雅黑" w:cs="宋体"/>
                <w:color w:val="323232"/>
                <w:szCs w:val="21"/>
              </w:rPr>
            </w:pPr>
          </w:p>
        </w:tc>
      </w:tr>
    </w:tbl>
    <w:p>
      <w:pPr>
        <w:jc w:val="center"/>
        <w:rPr>
          <w:rFonts w:hint="eastAsia"/>
          <w:sz w:val="30"/>
          <w:szCs w:val="30"/>
        </w:rPr>
      </w:pPr>
    </w:p>
    <w:p>
      <w:pPr>
        <w:jc w:val="center"/>
        <w:rPr>
          <w:sz w:val="30"/>
          <w:szCs w:val="30"/>
        </w:rPr>
      </w:pPr>
      <w: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695440" cy="7600950"/>
            <wp:effectExtent l="0" t="0" r="0" b="0"/>
            <wp:wrapSquare wrapText="bothSides"/>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6695440" cy="760095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MS Gothic">
    <w:panose1 w:val="020B0609070205080204"/>
    <w:charset w:val="80"/>
    <w:family w:val="modern"/>
    <w:pitch w:val="default"/>
    <w:sig w:usb0="A00002BF" w:usb1="68C7FCFB" w:usb2="00000010" w:usb3="00000000" w:csb0="4002009F" w:csb1="DFD70000"/>
  </w:font>
  <w:font w:name="Cambria Math">
    <w:panose1 w:val="02040503050406030204"/>
    <w:charset w:val="00"/>
    <w:family w:val="auto"/>
    <w:pitch w:val="default"/>
    <w:sig w:usb0="A00002EF" w:usb1="420020E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0D"/>
    <w:rsid w:val="00761E03"/>
    <w:rsid w:val="0094490D"/>
    <w:rsid w:val="00B91290"/>
    <w:rsid w:val="00E60B12"/>
    <w:rsid w:val="7FDD7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1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2"/>
    <w:semiHidden/>
    <w:unhideWhenUsed/>
    <w:qFormat/>
    <w:uiPriority w:val="99"/>
    <w:rPr>
      <w:sz w:val="18"/>
      <w:szCs w:val="18"/>
    </w:rPr>
  </w:style>
  <w:style w:type="paragraph" w:styleId="7">
    <w:name w:val="Normal (Web)"/>
    <w:basedOn w:val="1"/>
    <w:unhideWhenUsed/>
    <w:qFormat/>
    <w:uiPriority w:val="99"/>
    <w:pPr>
      <w:widowControl/>
      <w:jc w:val="left"/>
    </w:pPr>
    <w:rPr>
      <w:rFonts w:ascii="微软雅黑" w:hAnsi="微软雅黑" w:eastAsia="微软雅黑" w:cs="宋体"/>
      <w:color w:val="323232"/>
      <w:kern w:val="0"/>
      <w:szCs w:val="21"/>
    </w:rPr>
  </w:style>
  <w:style w:type="character" w:styleId="10">
    <w:name w:val="Strong"/>
    <w:basedOn w:val="9"/>
    <w:qFormat/>
    <w:uiPriority w:val="22"/>
    <w:rPr>
      <w:b/>
      <w:bCs/>
    </w:rPr>
  </w:style>
  <w:style w:type="character" w:styleId="11">
    <w:name w:val="Hyperlink"/>
    <w:basedOn w:val="9"/>
    <w:semiHidden/>
    <w:unhideWhenUsed/>
    <w:qFormat/>
    <w:uiPriority w:val="99"/>
    <w:rPr>
      <w:rFonts w:hint="eastAsia" w:ascii="微软雅黑" w:hAnsi="微软雅黑" w:eastAsia="微软雅黑"/>
      <w:color w:val="323232"/>
      <w:sz w:val="21"/>
      <w:szCs w:val="21"/>
      <w:u w:val="none"/>
    </w:rPr>
  </w:style>
  <w:style w:type="character" w:customStyle="1" w:styleId="12">
    <w:name w:val="批注框文本 Char"/>
    <w:basedOn w:val="9"/>
    <w:link w:val="6"/>
    <w:semiHidden/>
    <w:qFormat/>
    <w:uiPriority w:val="99"/>
    <w:rPr>
      <w:sz w:val="18"/>
      <w:szCs w:val="18"/>
    </w:rPr>
  </w:style>
  <w:style w:type="character" w:customStyle="1" w:styleId="13">
    <w:name w:val="标题 1 Char"/>
    <w:basedOn w:val="9"/>
    <w:link w:val="2"/>
    <w:qFormat/>
    <w:uiPriority w:val="9"/>
    <w:rPr>
      <w:rFonts w:ascii="宋体" w:hAnsi="宋体" w:eastAsia="宋体" w:cs="宋体"/>
      <w:b/>
      <w:bCs/>
      <w:kern w:val="36"/>
      <w:sz w:val="48"/>
      <w:szCs w:val="48"/>
    </w:rPr>
  </w:style>
  <w:style w:type="character" w:customStyle="1" w:styleId="14">
    <w:name w:val="标题 3 Char"/>
    <w:basedOn w:val="9"/>
    <w:link w:val="4"/>
    <w:qFormat/>
    <w:uiPriority w:val="9"/>
    <w:rPr>
      <w:rFonts w:ascii="宋体" w:hAnsi="宋体" w:eastAsia="宋体" w:cs="宋体"/>
      <w:b/>
      <w:bCs/>
      <w:kern w:val="0"/>
      <w:sz w:val="27"/>
      <w:szCs w:val="27"/>
    </w:rPr>
  </w:style>
  <w:style w:type="character" w:customStyle="1" w:styleId="15">
    <w:name w:val="标题 4 Char"/>
    <w:basedOn w:val="9"/>
    <w:link w:val="5"/>
    <w:semiHidden/>
    <w:qFormat/>
    <w:uiPriority w:val="9"/>
    <w:rPr>
      <w:rFonts w:asciiTheme="majorHAnsi" w:hAnsiTheme="majorHAnsi" w:eastAsiaTheme="majorEastAsia" w:cstheme="majorBidi"/>
      <w:b/>
      <w:bCs/>
      <w:sz w:val="28"/>
      <w:szCs w:val="28"/>
    </w:rPr>
  </w:style>
  <w:style w:type="character" w:customStyle="1" w:styleId="16">
    <w:name w:val="标题 2 Char"/>
    <w:basedOn w:val="9"/>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588</Words>
  <Characters>3353</Characters>
  <Lines>27</Lines>
  <Paragraphs>7</Paragraphs>
  <TotalTime>11</TotalTime>
  <ScaleCrop>false</ScaleCrop>
  <LinksUpToDate>false</LinksUpToDate>
  <CharactersWithSpaces>3934</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2021-12-22T08:29:00Z</dcterms:created>
  <dc:creator>xb21cn</dc:creator>
  <cp:lastModifiedBy>user</cp:lastModifiedBy>
  <dcterms:modified xsi:type="dcterms:W3CDTF">2021-12-30T09:42:53Z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