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bookmarkStart w:id="0" w:name="_GoBack"/>
      <w:r>
        <w:rPr>
          <w:rFonts w:hint="eastAsia" w:asciiTheme="majorEastAsia" w:hAnsiTheme="majorEastAsia" w:eastAsiaTheme="majorEastAsia"/>
          <w:b/>
          <w:sz w:val="52"/>
          <w:szCs w:val="52"/>
        </w:rPr>
        <w:t>G227线安宁河1桥拆除重建工程</w:t>
      </w:r>
    </w:p>
    <w:bookmarkEnd w:id="0"/>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p>
    <w:p/>
    <w:p>
      <w:r>
        <w:drawing>
          <wp:inline distT="0" distB="0" distL="0" distR="0">
            <wp:extent cx="5271135" cy="6696075"/>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5274310" cy="6699319"/>
                    </a:xfrm>
                    <a:prstGeom prst="rect">
                      <a:avLst/>
                    </a:prstGeom>
                    <a:noFill/>
                    <a:ln w="9525">
                      <a:noFill/>
                      <a:miter lim="800000"/>
                      <a:headEnd/>
                      <a:tailEnd/>
                    </a:ln>
                  </pic:spPr>
                </pic:pic>
              </a:graphicData>
            </a:graphic>
          </wp:inline>
        </w:drawing>
      </w:r>
    </w:p>
    <w:p>
      <w:r>
        <w:drawing>
          <wp:inline distT="0" distB="0" distL="0" distR="0">
            <wp:extent cx="5274310" cy="7151370"/>
            <wp:effectExtent l="0" t="0" r="254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5274310" cy="7151755"/>
                    </a:xfrm>
                    <a:prstGeom prst="rect">
                      <a:avLst/>
                    </a:prstGeom>
                    <a:noFill/>
                    <a:ln w="9525">
                      <a:noFill/>
                      <a:miter lim="800000"/>
                      <a:headEnd/>
                      <a:tailEnd/>
                    </a:ln>
                  </pic:spPr>
                </pic:pic>
              </a:graphicData>
            </a:graphic>
          </wp:inline>
        </w:drawing>
      </w:r>
    </w:p>
    <w:p/>
    <w:p/>
    <w:p/>
    <w:p>
      <w:r>
        <w:drawing>
          <wp:inline distT="0" distB="0" distL="0" distR="0">
            <wp:extent cx="5274310" cy="2398395"/>
            <wp:effectExtent l="0" t="0" r="254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cstate="print"/>
                    <a:srcRect/>
                    <a:stretch>
                      <a:fillRect/>
                    </a:stretch>
                  </pic:blipFill>
                  <pic:spPr>
                    <a:xfrm>
                      <a:off x="0" y="0"/>
                      <a:ext cx="5274310" cy="2398653"/>
                    </a:xfrm>
                    <a:prstGeom prst="rect">
                      <a:avLst/>
                    </a:prstGeom>
                    <a:noFill/>
                    <a:ln w="9525">
                      <a:noFill/>
                      <a:miter lim="800000"/>
                      <a:headEnd/>
                      <a:tailEnd/>
                    </a:ln>
                  </pic:spPr>
                </pic:pic>
              </a:graphicData>
            </a:graphic>
          </wp:inline>
        </w:drawing>
      </w:r>
    </w:p>
    <w:p/>
    <w:p>
      <w:pPr>
        <w:pStyle w:val="3"/>
        <w:spacing w:line="410" w:lineRule="atLeast"/>
        <w:jc w:val="center"/>
      </w:pPr>
      <w:r>
        <w:rPr>
          <w:rStyle w:val="6"/>
          <w:rFonts w:hint="eastAsia" w:ascii="宋体" w:hAnsi="宋体" w:eastAsia="宋体"/>
        </w:rPr>
        <w:t>第一章</w:t>
      </w:r>
      <w:r>
        <w:rPr>
          <w:rStyle w:val="6"/>
          <w:rFonts w:hint="eastAsia" w:ascii="宋体" w:hAnsi="宋体" w:eastAsia="宋体"/>
          <w:sz w:val="28"/>
          <w:szCs w:val="28"/>
        </w:rPr>
        <w:t> </w:t>
      </w:r>
      <w:r>
        <w:rPr>
          <w:rStyle w:val="6"/>
          <w:rFonts w:hint="eastAsia" w:ascii="宋体" w:hAnsi="宋体" w:eastAsia="宋体"/>
        </w:rPr>
        <w:t>招标公告（未进行资格预审）</w:t>
      </w:r>
      <w:r>
        <w:rPr>
          <w:rStyle w:val="6"/>
          <w:rFonts w:hint="eastAsia" w:ascii="宋体" w:hAnsi="宋体" w:eastAsia="宋体"/>
          <w:sz w:val="28"/>
          <w:szCs w:val="28"/>
        </w:rPr>
        <w:t>①</w:t>
      </w:r>
    </w:p>
    <w:p>
      <w:pPr>
        <w:pStyle w:val="3"/>
        <w:spacing w:line="410" w:lineRule="atLeast"/>
        <w:jc w:val="both"/>
      </w:pPr>
      <w:r>
        <w:rPr>
          <w:rFonts w:hint="eastAsia" w:ascii="宋体" w:hAnsi="宋体" w:eastAsia="宋体"/>
          <w:sz w:val="10"/>
          <w:szCs w:val="10"/>
        </w:rPr>
        <w:t> </w:t>
      </w:r>
    </w:p>
    <w:p>
      <w:pPr>
        <w:pStyle w:val="3"/>
        <w:spacing w:line="410" w:lineRule="atLeast"/>
        <w:ind w:firstLine="600"/>
        <w:jc w:val="center"/>
      </w:pPr>
      <w:r>
        <w:rPr>
          <w:rFonts w:hint="eastAsia" w:ascii="宋体" w:hAnsi="宋体" w:eastAsia="宋体"/>
          <w:color w:val="0000FF"/>
          <w:sz w:val="19"/>
          <w:szCs w:val="19"/>
          <w:u w:val="single"/>
        </w:rPr>
        <w:t> G227线安宁河1桥拆除重建工程勘察设计</w:t>
      </w:r>
      <w:r>
        <w:rPr>
          <w:rFonts w:hint="eastAsia" w:ascii="宋体" w:hAnsi="宋体" w:eastAsia="宋体"/>
        </w:rPr>
        <w:t>（项目名称）</w:t>
      </w:r>
      <w:r>
        <w:rPr>
          <w:rFonts w:hint="eastAsia" w:ascii="宋体" w:hAnsi="宋体" w:eastAsia="宋体"/>
          <w:color w:val="0000FF"/>
          <w:sz w:val="19"/>
          <w:szCs w:val="19"/>
          <w:u w:val="single"/>
        </w:rPr>
        <w:t>/</w:t>
      </w:r>
      <w:r>
        <w:rPr>
          <w:rFonts w:hint="eastAsia" w:ascii="宋体" w:hAnsi="宋体" w:eastAsia="宋体"/>
        </w:rPr>
        <w:t>标段勘察设计招标公告②</w:t>
      </w:r>
    </w:p>
    <w:p>
      <w:pPr>
        <w:pStyle w:val="3"/>
        <w:spacing w:line="410" w:lineRule="atLeast"/>
      </w:pPr>
      <w:r>
        <w:rPr>
          <w:rFonts w:hint="eastAsia" w:ascii="宋体" w:hAnsi="宋体" w:eastAsia="宋体"/>
          <w:sz w:val="15"/>
          <w:szCs w:val="15"/>
        </w:rPr>
        <w:t> </w:t>
      </w:r>
    </w:p>
    <w:p>
      <w:pPr>
        <w:pStyle w:val="3"/>
        <w:spacing w:line="410" w:lineRule="atLeast"/>
      </w:pPr>
      <w:r>
        <w:rPr>
          <w:rStyle w:val="6"/>
          <w:rFonts w:hint="eastAsia" w:ascii="宋体" w:hAnsi="宋体" w:eastAsia="宋体"/>
        </w:rPr>
        <w:t>1.招标条件</w:t>
      </w:r>
    </w:p>
    <w:p>
      <w:pPr>
        <w:pStyle w:val="3"/>
        <w:spacing w:line="410" w:lineRule="atLeast"/>
        <w:ind w:firstLine="280"/>
      </w:pPr>
      <w:r>
        <w:rPr>
          <w:rFonts w:hint="eastAsia" w:ascii="宋体" w:hAnsi="宋体" w:eastAsia="宋体"/>
        </w:rPr>
        <w:t>本招标项目</w:t>
      </w:r>
      <w:r>
        <w:rPr>
          <w:rFonts w:hint="eastAsia" w:ascii="宋体" w:hAnsi="宋体" w:eastAsia="宋体"/>
          <w:color w:val="0000FF"/>
          <w:u w:val="single"/>
        </w:rPr>
        <w:t> G227线安宁河1桥拆除重建工程勘察设计</w:t>
      </w:r>
      <w:r>
        <w:rPr>
          <w:rFonts w:hint="eastAsia" w:ascii="宋体" w:hAnsi="宋体" w:eastAsia="宋体"/>
        </w:rPr>
        <w:t>（项目名称）已由</w:t>
      </w:r>
      <w:r>
        <w:rPr>
          <w:rFonts w:hint="eastAsia" w:ascii="宋体" w:hAnsi="宋体" w:eastAsia="宋体"/>
          <w:color w:val="0000FF"/>
          <w:u w:val="single"/>
        </w:rPr>
        <w:t>米易县发展和改革局</w:t>
      </w:r>
      <w:r>
        <w:rPr>
          <w:rFonts w:hint="eastAsia" w:ascii="宋体" w:hAnsi="宋体" w:eastAsia="宋体"/>
        </w:rPr>
        <w:t>（项目审批、核准或备案机关名称）以</w:t>
      </w:r>
      <w:r>
        <w:rPr>
          <w:rFonts w:hint="eastAsia" w:ascii="宋体" w:hAnsi="宋体" w:eastAsia="宋体"/>
          <w:u w:val="single"/>
        </w:rPr>
        <w:t>米发改</w:t>
      </w:r>
      <w:r>
        <w:rPr>
          <w:rFonts w:hint="eastAsia" w:ascii="宋体" w:hAnsi="宋体" w:eastAsia="宋体"/>
          <w:color w:val="0000FF"/>
          <w:u w:val="single"/>
        </w:rPr>
        <w:t>&lt;2021&gt;60号</w:t>
      </w:r>
      <w:r>
        <w:rPr>
          <w:rFonts w:hint="eastAsia" w:ascii="宋体" w:hAnsi="宋体" w:eastAsia="宋体"/>
        </w:rPr>
        <w:t>（批文名称及编号）批准建设，项目业主为</w:t>
      </w:r>
      <w:r>
        <w:rPr>
          <w:rFonts w:hint="eastAsia" w:ascii="宋体" w:hAnsi="宋体" w:eastAsia="宋体"/>
          <w:color w:val="0000FF"/>
          <w:u w:val="single"/>
        </w:rPr>
        <w:t>米易县交通建设事务中心</w:t>
      </w:r>
      <w:r>
        <w:rPr>
          <w:rFonts w:hint="eastAsia" w:ascii="宋体" w:hAnsi="宋体" w:eastAsia="宋体"/>
        </w:rPr>
        <w:t>，建设资金来自</w:t>
      </w:r>
      <w:r>
        <w:rPr>
          <w:rFonts w:hint="eastAsia" w:ascii="宋体" w:hAnsi="宋体" w:eastAsia="宋体"/>
          <w:color w:val="0000FF"/>
          <w:u w:val="single"/>
        </w:rPr>
        <w:t>上级补助资金和县级财政配套</w:t>
      </w:r>
      <w:r>
        <w:rPr>
          <w:rFonts w:hint="eastAsia" w:ascii="宋体" w:hAnsi="宋体" w:eastAsia="宋体"/>
        </w:rPr>
        <w:t>（资金来源），出资比例为</w:t>
      </w:r>
      <w:r>
        <w:rPr>
          <w:rFonts w:hint="eastAsia" w:ascii="宋体" w:hAnsi="宋体" w:eastAsia="宋体"/>
          <w:color w:val="0000FF"/>
          <w:u w:val="single"/>
        </w:rPr>
        <w:t>100%</w:t>
      </w:r>
      <w:r>
        <w:rPr>
          <w:rFonts w:hint="eastAsia" w:ascii="宋体" w:hAnsi="宋体" w:eastAsia="宋体"/>
        </w:rPr>
        <w:t>，招标人为</w:t>
      </w:r>
      <w:r>
        <w:rPr>
          <w:rFonts w:hint="eastAsia" w:ascii="宋体" w:hAnsi="宋体" w:eastAsia="宋体"/>
          <w:color w:val="0000FF"/>
          <w:u w:val="single"/>
        </w:rPr>
        <w:t>米易县交通建设事务中心</w:t>
      </w:r>
      <w:r>
        <w:rPr>
          <w:rFonts w:hint="eastAsia" w:ascii="宋体" w:hAnsi="宋体" w:eastAsia="宋体"/>
        </w:rPr>
        <w:t>。项目已具备招标条件，现对该项目的勘察设计进行公开招标。</w:t>
      </w:r>
    </w:p>
    <w:p>
      <w:pPr>
        <w:pStyle w:val="3"/>
        <w:spacing w:line="410" w:lineRule="atLeast"/>
      </w:pPr>
      <w:r>
        <w:rPr>
          <w:rStyle w:val="6"/>
          <w:rFonts w:hint="eastAsia" w:ascii="宋体" w:hAnsi="宋体" w:eastAsia="宋体"/>
        </w:rPr>
        <w:t>2.项目概况与招标范围</w:t>
      </w:r>
    </w:p>
    <w:p>
      <w:pPr>
        <w:pStyle w:val="3"/>
        <w:spacing w:line="410" w:lineRule="atLeast"/>
        <w:ind w:firstLine="280"/>
      </w:pPr>
      <w:r>
        <w:rPr>
          <w:rFonts w:hint="eastAsia" w:ascii="宋体" w:hAnsi="宋体" w:eastAsia="宋体"/>
          <w:u w:val="single"/>
        </w:rPr>
        <w:t>本项目分一标段实施，将原安宁河</w:t>
      </w:r>
      <w:r>
        <w:rPr>
          <w:rFonts w:hint="eastAsia" w:ascii="宋体" w:hAnsi="宋体" w:eastAsia="宋体"/>
          <w:color w:val="0000FF"/>
          <w:u w:val="single"/>
        </w:rPr>
        <w:t>1号桥拆除后重建，按二级公路加市政配套标准，采用双向两车道+非机动车道+人行道，桥梁总宽22.5米，两岸采用平面交叉及引道顺接既有道路。桥梁总长207米，上部结构采用预应力混凝土简支带翼小箱梁+现浇箱梁，下部结构采用三柱式钢筋混凝土圆墩，桥台采用桩柱式桥台。本次招标范围为：工程初勘、初测、初步设计（含概算）、详勘、详测、施工图设计（含预算），后期服务。勘察设计服务期：60日历天。</w:t>
      </w:r>
      <w:r>
        <w:rPr>
          <w:rFonts w:hint="eastAsia" w:ascii="宋体" w:hAnsi="宋体" w:eastAsia="宋体"/>
        </w:rPr>
        <w:t>（说明本次招标项目的建设地点、规模、勘察设计服务期限、招标范围、标段划分等）。</w:t>
      </w:r>
    </w:p>
    <w:p>
      <w:pPr>
        <w:pStyle w:val="3"/>
        <w:spacing w:line="410" w:lineRule="atLeast"/>
      </w:pPr>
      <w:r>
        <w:rPr>
          <w:rStyle w:val="6"/>
          <w:rFonts w:hint="eastAsia" w:ascii="宋体" w:hAnsi="宋体" w:eastAsia="宋体"/>
        </w:rPr>
        <w:t>3.投标人资格要求</w:t>
      </w:r>
    </w:p>
    <w:p>
      <w:pPr>
        <w:pStyle w:val="3"/>
        <w:spacing w:line="410" w:lineRule="atLeast"/>
        <w:ind w:firstLine="420"/>
      </w:pPr>
      <w:r>
        <w:rPr>
          <w:rFonts w:hint="eastAsia" w:ascii="宋体" w:hAnsi="宋体" w:eastAsia="宋体"/>
        </w:rPr>
        <w:t>3.1本次招标要求投标人须具备</w:t>
      </w:r>
      <w:r>
        <w:rPr>
          <w:rFonts w:hint="eastAsia" w:ascii="宋体" w:hAnsi="宋体" w:eastAsia="宋体"/>
          <w:color w:val="0000FF"/>
          <w:u w:val="single"/>
        </w:rPr>
        <w:t>行政主管部门颁发的公路行业（公路）专业乙级及以上资质，同时具备工程勘察（岩土工程）专业乙级及以上  </w:t>
      </w:r>
      <w:r>
        <w:rPr>
          <w:rFonts w:hint="eastAsia" w:ascii="宋体" w:hAnsi="宋体" w:eastAsia="宋体"/>
        </w:rPr>
        <w:t>资质、</w:t>
      </w:r>
      <w:r>
        <w:rPr>
          <w:rFonts w:hint="eastAsia" w:ascii="宋体" w:hAnsi="宋体" w:eastAsia="宋体"/>
          <w:u w:val="single"/>
        </w:rPr>
        <w:t>近</w:t>
      </w:r>
      <w:r>
        <w:rPr>
          <w:rFonts w:hint="eastAsia" w:ascii="宋体" w:hAnsi="宋体" w:eastAsia="宋体"/>
          <w:color w:val="0000FF"/>
          <w:u w:val="single"/>
        </w:rPr>
        <w:t>3年2018年1月1日至2020年12月30日以来已完成1个及以上的类似项目（以施工图批复时间为准）</w:t>
      </w:r>
      <w:r>
        <w:rPr>
          <w:rFonts w:hint="eastAsia" w:ascii="宋体" w:hAnsi="宋体" w:eastAsia="宋体"/>
        </w:rPr>
        <w:t>业绩，并在人员等方面具有相应的勘察设计能力。</w:t>
      </w:r>
    </w:p>
    <w:p>
      <w:pPr>
        <w:pStyle w:val="3"/>
        <w:spacing w:line="410" w:lineRule="atLeast"/>
        <w:ind w:firstLine="280"/>
      </w:pPr>
      <w:r>
        <w:rPr>
          <w:rFonts w:hint="eastAsia" w:ascii="宋体" w:hAnsi="宋体" w:eastAsia="宋体"/>
        </w:rPr>
        <w:t>投标人应进入交通运输部“全国公路建设市场信用信息管理系统（http：//glxy.mot.gov.cn）”中的公路工程设计资质企业名录，且投标人名称和资质与该名录中的相应企业名称和资质完全一致。③</w:t>
      </w:r>
    </w:p>
    <w:p>
      <w:pPr>
        <w:pStyle w:val="3"/>
        <w:spacing w:line="410" w:lineRule="atLeast"/>
        <w:ind w:firstLine="280"/>
      </w:pPr>
      <w:r>
        <w:rPr>
          <w:rFonts w:hint="eastAsia" w:ascii="宋体" w:hAnsi="宋体" w:eastAsia="宋体"/>
        </w:rPr>
        <w:t>3.2本次招标（</w:t>
      </w:r>
      <w:r>
        <w:rPr>
          <w:rFonts w:hint="eastAsia" w:ascii="宋体" w:hAnsi="宋体" w:eastAsia="宋体"/>
          <w:color w:val="0000FF"/>
        </w:rPr>
        <w:t>□</w:t>
      </w:r>
      <w:r>
        <w:rPr>
          <w:rFonts w:hint="eastAsia" w:ascii="宋体" w:hAnsi="宋体" w:eastAsia="宋体"/>
        </w:rPr>
        <w:t>接受；</w:t>
      </w:r>
      <w:r>
        <w:rPr>
          <w:rFonts w:hint="eastAsia" w:ascii="MS Mincho" w:hAnsi="MS Mincho" w:eastAsia="MS Mincho" w:cs="MS Mincho"/>
          <w:color w:val="0000FF"/>
        </w:rPr>
        <w:t>☑</w:t>
      </w:r>
      <w:r>
        <w:rPr>
          <w:rFonts w:hint="eastAsia" w:ascii="宋体" w:hAnsi="宋体" w:eastAsia="宋体"/>
        </w:rPr>
        <w:t>不接受）联合体投标。联合体投标的，应满足下列要求：</w:t>
      </w:r>
      <w:r>
        <w:rPr>
          <w:rFonts w:hint="eastAsia" w:ascii="宋体" w:hAnsi="宋体" w:eastAsia="宋体"/>
          <w:color w:val="0000FF"/>
          <w:u w:val="single"/>
        </w:rPr>
        <w:t>     </w:t>
      </w:r>
      <w:r>
        <w:rPr>
          <w:rFonts w:hint="eastAsia" w:ascii="宋体" w:hAnsi="宋体" w:eastAsia="宋体"/>
        </w:rPr>
        <w:t>。</w:t>
      </w:r>
    </w:p>
    <w:p>
      <w:pPr>
        <w:pStyle w:val="3"/>
        <w:spacing w:line="410" w:lineRule="atLeast"/>
        <w:ind w:firstLine="280"/>
      </w:pPr>
      <w:r>
        <w:rPr>
          <w:rFonts w:hint="eastAsia" w:ascii="宋体" w:hAnsi="宋体" w:eastAsia="宋体"/>
        </w:rPr>
        <w:t>3.3每个投标人最多可对</w:t>
      </w:r>
      <w:r>
        <w:rPr>
          <w:rFonts w:hint="eastAsia" w:ascii="宋体" w:hAnsi="宋体" w:eastAsia="宋体"/>
          <w:color w:val="0000FF"/>
          <w:u w:val="single"/>
        </w:rPr>
        <w:t>     </w:t>
      </w:r>
      <w:r>
        <w:rPr>
          <w:rFonts w:hint="eastAsia" w:ascii="宋体" w:hAnsi="宋体" w:eastAsia="宋体"/>
        </w:rPr>
        <w:t>（具体数量）个标段投标；被</w:t>
      </w:r>
      <w:r>
        <w:rPr>
          <w:rFonts w:hint="eastAsia" w:ascii="宋体" w:hAnsi="宋体" w:eastAsia="宋体"/>
          <w:color w:val="0000FF"/>
          <w:u w:val="single"/>
        </w:rPr>
        <w:t>     </w:t>
      </w:r>
      <w:r>
        <w:rPr>
          <w:rFonts w:hint="eastAsia" w:ascii="宋体" w:hAnsi="宋体" w:eastAsia="宋体"/>
        </w:rPr>
        <w:t>交通运输主管部门评为</w:t>
      </w:r>
      <w:r>
        <w:rPr>
          <w:rFonts w:hint="eastAsia" w:ascii="宋体" w:hAnsi="宋体" w:eastAsia="宋体"/>
          <w:color w:val="0000FF"/>
          <w:u w:val="single"/>
        </w:rPr>
        <w:t>     </w:t>
      </w:r>
      <w:r>
        <w:rPr>
          <w:rFonts w:hint="eastAsia" w:ascii="宋体" w:hAnsi="宋体" w:eastAsia="宋体"/>
        </w:rPr>
        <w:t>信用等级的投标人，最多可对</w:t>
      </w:r>
      <w:r>
        <w:rPr>
          <w:rFonts w:hint="eastAsia" w:ascii="宋体" w:hAnsi="宋体" w:eastAsia="宋体"/>
          <w:color w:val="0000FF"/>
          <w:u w:val="single"/>
        </w:rPr>
        <w:t>     </w:t>
      </w:r>
      <w:r>
        <w:rPr>
          <w:rFonts w:hint="eastAsia" w:ascii="宋体" w:hAnsi="宋体" w:eastAsia="宋体"/>
        </w:rPr>
        <w:t>（具体数量）个标段投标。④每个投标人允许中</w:t>
      </w:r>
      <w:r>
        <w:rPr>
          <w:rFonts w:hint="eastAsia" w:ascii="宋体" w:hAnsi="宋体" w:eastAsia="宋体"/>
          <w:color w:val="0000FF"/>
          <w:u w:val="single"/>
        </w:rPr>
        <w:t>     </w:t>
      </w:r>
      <w:r>
        <w:rPr>
          <w:rFonts w:hint="eastAsia" w:ascii="宋体" w:hAnsi="宋体" w:eastAsia="宋体"/>
        </w:rPr>
        <w:t>个标。对投标人信用等级的认定条件为：</w:t>
      </w:r>
      <w:r>
        <w:rPr>
          <w:rFonts w:hint="eastAsia" w:ascii="宋体" w:hAnsi="宋体" w:eastAsia="宋体"/>
          <w:color w:val="0000FF"/>
          <w:u w:val="single"/>
        </w:rPr>
        <w:t>     </w:t>
      </w:r>
      <w:r>
        <w:rPr>
          <w:rFonts w:hint="eastAsia" w:ascii="宋体" w:hAnsi="宋体" w:eastAsia="宋体"/>
        </w:rPr>
        <w:t>。</w:t>
      </w:r>
    </w:p>
    <w:p>
      <w:pPr>
        <w:pStyle w:val="3"/>
        <w:spacing w:line="410" w:lineRule="atLeast"/>
      </w:pPr>
      <w:r>
        <w:rPr>
          <w:rFonts w:hint="eastAsia" w:ascii="宋体" w:hAnsi="宋体" w:eastAsia="宋体"/>
        </w:rPr>
        <w:t>备注：</w:t>
      </w:r>
    </w:p>
    <w:p>
      <w:pPr>
        <w:pStyle w:val="3"/>
        <w:spacing w:line="410" w:lineRule="atLeast"/>
      </w:pPr>
      <w:r>
        <w:rPr>
          <w:rFonts w:hint="eastAsia" w:ascii="宋体" w:hAnsi="宋体" w:eastAsia="宋体"/>
          <w:sz w:val="12"/>
          <w:szCs w:val="12"/>
        </w:rPr>
        <w:t>①招标人可根据项目具体特点和实际需要对本章内容进行补充、细化，但应遵守《中华人民共和国招标投标法》第十六条和《招标公告和公示信息发布管理办法》等有关法律法规的规定。</w:t>
      </w:r>
    </w:p>
    <w:p>
      <w:pPr>
        <w:pStyle w:val="3"/>
        <w:spacing w:line="410" w:lineRule="atLeast"/>
        <w:ind w:right="120"/>
        <w:jc w:val="both"/>
      </w:pPr>
      <w:r>
        <w:rPr>
          <w:rFonts w:hint="eastAsia" w:ascii="宋体" w:hAnsi="宋体" w:eastAsia="宋体"/>
        </w:rPr>
        <w:t>②招标人应自招标文件开始发售之日起，将招标文件的关键内容上传至具有招标监督职责的交通运输主管部门政府网站或其指定的其他网站上进行公开，公开内容包括项目概况、对投标人的全部资格条件要求、评标办法全文、招标人联系方式等。招标人可将招标文件的关键内容全部载明在招标公告正文中，或作为招标公告的附件进行公开，或作为独立文件在网站上进行公开。</w:t>
      </w:r>
    </w:p>
    <w:p>
      <w:pPr>
        <w:pStyle w:val="3"/>
        <w:spacing w:line="410" w:lineRule="atLeast"/>
        <w:ind w:right="120"/>
        <w:jc w:val="both"/>
      </w:pPr>
      <w:r>
        <w:rPr>
          <w:rFonts w:hint="eastAsia" w:ascii="宋体" w:hAnsi="宋体" w:eastAsia="宋体"/>
        </w:rPr>
        <w:t>③本段规定仅适用于根据《关于发布公路工程从业企业资质名录的通知》（厅公路字〔</w:t>
      </w:r>
      <w:r>
        <w:rPr>
          <w:rFonts w:hint="eastAsia" w:ascii="宋体" w:hAnsi="宋体" w:eastAsia="宋体"/>
          <w:sz w:val="12"/>
          <w:szCs w:val="12"/>
        </w:rPr>
        <w:t>2011〕114号）要求，招标人应通过名录对投标人资质条件进行审核的公路工程设计企业。</w:t>
      </w:r>
    </w:p>
    <w:p>
      <w:pPr>
        <w:pStyle w:val="3"/>
        <w:spacing w:line="410" w:lineRule="atLeast"/>
        <w:ind w:right="120"/>
        <w:jc w:val="both"/>
      </w:pPr>
      <w:r>
        <w:rPr>
          <w:rFonts w:hint="eastAsia" w:ascii="宋体" w:hAnsi="宋体" w:eastAsia="宋体"/>
        </w:rPr>
        <w:t>④招标人可根据招标项目所在地省级交通运输主管部门的有关规定，对信用等级高的投标人，给予增加参与投标标段数量的优惠</w:t>
      </w:r>
    </w:p>
    <w:p>
      <w:pPr>
        <w:pStyle w:val="3"/>
      </w:pPr>
      <w:r>
        <w:rPr>
          <w:rFonts w:ascii="Calibri" w:hAnsi="Calibri"/>
        </w:rPr>
        <w:br w:type="page"/>
      </w:r>
    </w:p>
    <w:p>
      <w:pPr>
        <w:pStyle w:val="3"/>
        <w:spacing w:line="250" w:lineRule="atLeast"/>
        <w:ind w:firstLine="280"/>
      </w:pPr>
      <w:r>
        <w:rPr>
          <w:rFonts w:ascii="Calibri" w:hAnsi="Calibri"/>
        </w:rPr>
        <w:t>3.4与招标人存在利害关系可能影响招标公正性的单位，不得参加投标。单位负责人为同一人或存在控股、管理关系的不同单位，不得参加同一标段投标，否则，相关投标均无效。</w:t>
      </w:r>
    </w:p>
    <w:p>
      <w:pPr>
        <w:pStyle w:val="3"/>
        <w:spacing w:line="250" w:lineRule="atLeast"/>
        <w:ind w:firstLine="280"/>
      </w:pPr>
      <w:r>
        <w:rPr>
          <w:rFonts w:hint="eastAsia" w:ascii="宋体" w:hAnsi="宋体" w:eastAsia="宋体"/>
        </w:rPr>
        <w:t>3.5在“信用中国”网站（http://www.creditchina.gov.cn/）中被列入失信被执行人名单的投标人，不得参加投标。</w:t>
      </w:r>
    </w:p>
    <w:p>
      <w:pPr>
        <w:pStyle w:val="3"/>
        <w:spacing w:line="250" w:lineRule="atLeast"/>
        <w:ind w:firstLine="280"/>
      </w:pPr>
      <w:r>
        <w:rPr>
          <w:rStyle w:val="6"/>
          <w:rFonts w:hint="eastAsia" w:ascii="宋体" w:hAnsi="宋体" w:eastAsia="宋体"/>
        </w:rPr>
        <w:t>4.技术成果经济补偿①</w:t>
      </w:r>
    </w:p>
    <w:p>
      <w:pPr>
        <w:pStyle w:val="3"/>
        <w:spacing w:line="250" w:lineRule="atLeast"/>
        <w:ind w:firstLine="280"/>
      </w:pPr>
      <w:r>
        <w:rPr>
          <w:rFonts w:hint="eastAsia" w:ascii="宋体" w:hAnsi="宋体" w:eastAsia="宋体"/>
        </w:rPr>
        <w:t>本次招标对未中标人投标文件中的技术成果（</w:t>
      </w:r>
      <w:r>
        <w:rPr>
          <w:rFonts w:hint="eastAsia" w:ascii="宋体" w:hAnsi="宋体" w:eastAsia="宋体"/>
          <w:color w:val="0000FF"/>
        </w:rPr>
        <w:t>□</w:t>
      </w:r>
      <w:r>
        <w:rPr>
          <w:rFonts w:hint="eastAsia" w:ascii="宋体" w:hAnsi="宋体" w:eastAsia="宋体"/>
        </w:rPr>
        <w:t>给予；</w:t>
      </w:r>
      <w:r>
        <w:rPr>
          <w:rFonts w:hint="eastAsia" w:ascii="MS Mincho" w:hAnsi="MS Mincho" w:eastAsia="MS Mincho" w:cs="MS Mincho"/>
          <w:color w:val="0000FF"/>
        </w:rPr>
        <w:t>☑</w:t>
      </w:r>
      <w:r>
        <w:rPr>
          <w:rFonts w:hint="eastAsia" w:ascii="宋体" w:hAnsi="宋体" w:eastAsia="宋体"/>
        </w:rPr>
        <w:t>不给予）经济补偿。</w:t>
      </w:r>
    </w:p>
    <w:p>
      <w:pPr>
        <w:pStyle w:val="3"/>
        <w:spacing w:line="250" w:lineRule="atLeast"/>
        <w:ind w:firstLine="280"/>
      </w:pPr>
      <w:r>
        <w:rPr>
          <w:rFonts w:hint="eastAsia" w:ascii="宋体" w:hAnsi="宋体" w:eastAsia="宋体"/>
        </w:rPr>
        <w:t>给予经济补偿的，</w:t>
      </w:r>
      <w:r>
        <w:rPr>
          <w:rFonts w:hint="eastAsia" w:ascii="宋体" w:hAnsi="宋体" w:eastAsia="宋体"/>
          <w:u w:val="single"/>
        </w:rPr>
        <w:t>招</w:t>
      </w:r>
      <w:r>
        <w:rPr>
          <w:rFonts w:hint="eastAsia" w:ascii="宋体" w:hAnsi="宋体" w:eastAsia="宋体"/>
        </w:rPr>
        <w:t>标人将按如下标准支付经济补偿费：</w:t>
      </w:r>
      <w:r>
        <w:rPr>
          <w:rFonts w:hint="eastAsia" w:ascii="宋体" w:hAnsi="宋体" w:eastAsia="宋体"/>
          <w:color w:val="0000FF"/>
          <w:u w:val="single"/>
        </w:rPr>
        <w:t>     </w:t>
      </w:r>
      <w:r>
        <w:rPr>
          <w:rFonts w:hint="eastAsia" w:ascii="宋体" w:hAnsi="宋体" w:eastAsia="宋体"/>
        </w:rPr>
        <w:t>。</w:t>
      </w:r>
    </w:p>
    <w:p>
      <w:pPr>
        <w:pStyle w:val="3"/>
        <w:spacing w:line="250" w:lineRule="atLeast"/>
        <w:ind w:firstLine="280"/>
      </w:pPr>
      <w:r>
        <w:rPr>
          <w:rStyle w:val="6"/>
          <w:rFonts w:hint="eastAsia" w:ascii="宋体" w:hAnsi="宋体" w:eastAsia="宋体"/>
        </w:rPr>
        <w:t>5.招标文件的获取</w:t>
      </w:r>
    </w:p>
    <w:p>
      <w:pPr>
        <w:pStyle w:val="3"/>
        <w:spacing w:line="250" w:lineRule="atLeast"/>
        <w:ind w:firstLine="280"/>
      </w:pPr>
      <w:r>
        <w:rPr>
          <w:rFonts w:hint="eastAsia" w:ascii="宋体" w:hAnsi="宋体" w:eastAsia="宋体"/>
        </w:rPr>
        <w:t>5.1凡有意参加投标者，请于</w:t>
      </w:r>
      <w:r>
        <w:rPr>
          <w:rFonts w:hint="eastAsia" w:ascii="宋体" w:hAnsi="宋体" w:eastAsia="宋体"/>
          <w:color w:val="0000FF"/>
          <w:u w:val="single"/>
        </w:rPr>
        <w:t>  2021年7月30日00：00分 </w:t>
      </w:r>
      <w:r>
        <w:rPr>
          <w:rFonts w:hint="eastAsia" w:ascii="宋体" w:hAnsi="宋体" w:eastAsia="宋体"/>
        </w:rPr>
        <w:t>至</w:t>
      </w:r>
      <w:r>
        <w:rPr>
          <w:rFonts w:hint="eastAsia" w:ascii="宋体" w:hAnsi="宋体" w:eastAsia="宋体"/>
          <w:color w:val="0000FF"/>
          <w:u w:val="single"/>
        </w:rPr>
        <w:t> 2021年8月5日23:59分</w:t>
      </w:r>
      <w:r>
        <w:rPr>
          <w:rFonts w:hint="eastAsia" w:ascii="宋体" w:hAnsi="宋体" w:eastAsia="宋体"/>
        </w:rPr>
        <w:t>，(北京时间,下同）,通过互联网使用CA数字证书登录“攀枝花市工程建设交易系统”，明确所投标段,下载招标文件、图纸和参考资料。联合体投标的，由联合体牵头人完成网上支付、招标文件等资料下载。</w:t>
      </w:r>
    </w:p>
    <w:p>
      <w:pPr>
        <w:pStyle w:val="3"/>
        <w:spacing w:line="250" w:lineRule="atLeast"/>
        <w:ind w:firstLine="280"/>
      </w:pPr>
      <w:r>
        <w:rPr>
          <w:rFonts w:hint="eastAsia" w:ascii="宋体" w:hAnsi="宋体" w:eastAsia="宋体"/>
        </w:rPr>
        <w:t>5.2本招标文件全部采用电子文档需使用编制工具或标书查看工具打开，如有疑问请联系技术支持电话：010-86483801。</w:t>
      </w:r>
    </w:p>
    <w:p>
      <w:pPr>
        <w:pStyle w:val="3"/>
        <w:spacing w:line="250" w:lineRule="atLeast"/>
        <w:ind w:firstLine="280"/>
      </w:pPr>
      <w:r>
        <w:rPr>
          <w:rStyle w:val="6"/>
          <w:rFonts w:hint="eastAsia" w:ascii="宋体" w:hAnsi="宋体" w:eastAsia="宋体"/>
        </w:rPr>
        <w:t>6.投标文件的递交及相关事宜</w:t>
      </w:r>
    </w:p>
    <w:p>
      <w:pPr>
        <w:pStyle w:val="3"/>
        <w:spacing w:line="250" w:lineRule="atLeast"/>
        <w:ind w:firstLine="280"/>
      </w:pPr>
      <w:r>
        <w:rPr>
          <w:rFonts w:hint="eastAsia" w:ascii="宋体" w:hAnsi="宋体" w:eastAsia="宋体"/>
        </w:rPr>
        <w:t>6.1投标文件应为加密的投标文件。投标文件递交的截止时间（投标截止时间，下同）为</w:t>
      </w:r>
      <w:r>
        <w:rPr>
          <w:rFonts w:hint="eastAsia" w:ascii="宋体" w:hAnsi="宋体" w:eastAsia="宋体"/>
          <w:color w:val="0000FF"/>
          <w:u w:val="single"/>
        </w:rPr>
        <w:t> 2021年8月19日09:30分 </w:t>
      </w:r>
      <w:r>
        <w:rPr>
          <w:rFonts w:hint="eastAsia" w:ascii="宋体" w:hAnsi="宋体" w:eastAsia="宋体"/>
        </w:rPr>
        <w:t>②，投标人应在投标截止时间前，通过互联网使用CA数字证书登录“攀枝花市工程建设交易系统”，将加密的投标文件上传，并保存上传成功后系统自动生成的电子签收凭证，递交时间即为电子签收凭证时间。逾期未完成上传的或未按规定加密的投标文件，招标人予以拒收。</w:t>
      </w:r>
    </w:p>
    <w:p>
      <w:pPr>
        <w:pStyle w:val="3"/>
        <w:spacing w:line="250" w:lineRule="atLeast"/>
      </w:pPr>
      <w:r>
        <w:rPr>
          <w:rStyle w:val="6"/>
          <w:rFonts w:hint="eastAsia" w:ascii="宋体" w:hAnsi="宋体" w:eastAsia="宋体"/>
        </w:rPr>
        <w:t> </w:t>
      </w:r>
    </w:p>
    <w:p>
      <w:pPr>
        <w:pStyle w:val="3"/>
        <w:spacing w:line="250" w:lineRule="atLeast"/>
      </w:pPr>
      <w:r>
        <w:rPr>
          <w:rStyle w:val="6"/>
          <w:rFonts w:hint="eastAsia" w:ascii="宋体" w:hAnsi="宋体" w:eastAsia="宋体"/>
        </w:rPr>
        <w:t>7.发布公告的媒介</w:t>
      </w:r>
    </w:p>
    <w:p>
      <w:pPr>
        <w:pStyle w:val="3"/>
        <w:spacing w:line="250" w:lineRule="atLeast"/>
        <w:ind w:firstLine="280"/>
      </w:pPr>
      <w:r>
        <w:rPr>
          <w:rFonts w:hint="eastAsia" w:ascii="宋体" w:hAnsi="宋体" w:eastAsia="宋体"/>
        </w:rPr>
        <w:t>本次招标公告同时在</w:t>
      </w:r>
      <w:r>
        <w:rPr>
          <w:rFonts w:hint="eastAsia" w:ascii="宋体" w:hAnsi="宋体" w:eastAsia="宋体"/>
          <w:u w:val="single"/>
        </w:rPr>
        <w:t>《全国公共资源交易平台（四川省</w:t>
      </w:r>
      <w:r>
        <w:rPr>
          <w:rFonts w:hint="eastAsia" w:ascii="宋体" w:hAnsi="宋体" w:eastAsia="宋体"/>
          <w:color w:val="0000FF"/>
          <w:u w:val="single"/>
        </w:rPr>
        <w:t xml:space="preserve">·攀枝花市）》、《全国公共资源交易平台（四川省）》 </w:t>
      </w:r>
      <w:r>
        <w:rPr>
          <w:rFonts w:hint="eastAsia" w:ascii="宋体" w:hAnsi="宋体" w:eastAsia="宋体"/>
        </w:rPr>
        <w:t>（发布公告的媒介名称）上发布。</w:t>
      </w:r>
    </w:p>
    <w:p>
      <w:pPr>
        <w:pStyle w:val="3"/>
        <w:spacing w:line="250" w:lineRule="atLeast"/>
        <w:ind w:left="100"/>
      </w:pPr>
      <w:r>
        <w:rPr>
          <w:rFonts w:hint="eastAsia" w:ascii="宋体" w:hAnsi="宋体" w:eastAsia="宋体"/>
          <w:sz w:val="2"/>
          <w:szCs w:val="2"/>
        </w:rPr>
        <w:t> </w:t>
      </w:r>
    </w:p>
    <w:p>
      <w:pPr>
        <w:pStyle w:val="3"/>
        <w:spacing w:line="250" w:lineRule="atLeast"/>
      </w:pPr>
      <w:r>
        <w:rPr>
          <w:rStyle w:val="6"/>
          <w:rFonts w:hint="eastAsia" w:ascii="宋体" w:hAnsi="宋体" w:eastAsia="宋体"/>
        </w:rPr>
        <w:t>8.联系方式</w:t>
      </w:r>
    </w:p>
    <w:tbl>
      <w:tblPr>
        <w:tblStyle w:val="4"/>
        <w:tblW w:w="5000" w:type="pct"/>
        <w:tblInd w:w="0" w:type="dxa"/>
        <w:tblLayout w:type="autofit"/>
        <w:tblCellMar>
          <w:top w:w="15" w:type="dxa"/>
          <w:left w:w="15" w:type="dxa"/>
          <w:bottom w:w="15" w:type="dxa"/>
          <w:right w:w="15" w:type="dxa"/>
        </w:tblCellMar>
      </w:tblPr>
      <w:tblGrid>
        <w:gridCol w:w="1353"/>
        <w:gridCol w:w="1715"/>
        <w:gridCol w:w="1353"/>
        <w:gridCol w:w="4025"/>
      </w:tblGrid>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招标人：</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米易县交通建设事务中心</w:t>
            </w:r>
          </w:p>
        </w:tc>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招标代理机构：</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u w:val="single"/>
              </w:rPr>
              <w:t>四川省鑫跃建设项目管理有限公司</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地    址：</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米易县攀莲镇同和路12号政务服务中心8楼</w:t>
            </w:r>
          </w:p>
        </w:tc>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地    址：</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u w:val="single"/>
              </w:rPr>
              <w:t>成都市锦江区金石路366号新希望中鼎国际3栋1502</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邮政编码：</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  61700   </w:t>
            </w:r>
          </w:p>
        </w:tc>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邮政编码：</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  610000   </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联 系 人：</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 陈先生</w:t>
            </w:r>
          </w:p>
        </w:tc>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联 系 人：</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   熊先生   </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电    话：</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0812-8172519</w:t>
            </w:r>
          </w:p>
        </w:tc>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电    话：</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 028-84095168            </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传    真：</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     </w:t>
            </w:r>
          </w:p>
        </w:tc>
        <w:tc>
          <w:tcPr>
            <w:tcW w:w="1420" w:type="dxa"/>
            <w:tcMar>
              <w:top w:w="0" w:type="dxa"/>
              <w:left w:w="70" w:type="dxa"/>
              <w:bottom w:w="0" w:type="dxa"/>
              <w:right w:w="70" w:type="dxa"/>
            </w:tcMar>
            <w:vAlign w:val="center"/>
          </w:tcPr>
          <w:p>
            <w:pPr>
              <w:pStyle w:val="3"/>
              <w:spacing w:line="250" w:lineRule="atLeast"/>
              <w:jc w:val="both"/>
            </w:pPr>
            <w:r>
              <w:rPr>
                <w:rFonts w:ascii="Calibri" w:hAnsi="Calibri"/>
                <w:sz w:val="15"/>
                <w:szCs w:val="15"/>
              </w:rPr>
              <w:t>传    真：</w:t>
            </w:r>
          </w:p>
        </w:tc>
        <w:tc>
          <w:tcPr>
            <w:tcW w:w="1420" w:type="dxa"/>
            <w:tcMar>
              <w:top w:w="0" w:type="dxa"/>
              <w:left w:w="70" w:type="dxa"/>
              <w:bottom w:w="0" w:type="dxa"/>
              <w:right w:w="70" w:type="dxa"/>
            </w:tcMar>
            <w:vAlign w:val="center"/>
          </w:tcPr>
          <w:p>
            <w:pPr>
              <w:pStyle w:val="3"/>
              <w:spacing w:line="250" w:lineRule="atLeast"/>
              <w:jc w:val="both"/>
            </w:pPr>
            <w:r>
              <w:rPr>
                <w:rFonts w:hint="eastAsia" w:ascii="宋体" w:hAnsi="宋体" w:eastAsia="宋体"/>
                <w:color w:val="0000FF"/>
                <w:u w:val="single"/>
              </w:rPr>
              <w:t> 028-84095168     </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360" w:lineRule="auto"/>
              <w:jc w:val="both"/>
            </w:pPr>
            <w:r>
              <w:rPr>
                <w:rFonts w:ascii="Calibri" w:hAnsi="Calibri"/>
                <w:sz w:val="15"/>
                <w:szCs w:val="15"/>
              </w:rPr>
              <w:t>电子邮件：</w:t>
            </w:r>
          </w:p>
        </w:tc>
        <w:tc>
          <w:tcPr>
            <w:tcW w:w="1420" w:type="dxa"/>
            <w:tcMar>
              <w:top w:w="0" w:type="dxa"/>
              <w:left w:w="70" w:type="dxa"/>
              <w:bottom w:w="0" w:type="dxa"/>
              <w:right w:w="70" w:type="dxa"/>
            </w:tcMar>
            <w:vAlign w:val="center"/>
          </w:tcPr>
          <w:p>
            <w:pPr>
              <w:pStyle w:val="3"/>
              <w:spacing w:line="360" w:lineRule="auto"/>
              <w:jc w:val="both"/>
            </w:pPr>
            <w:r>
              <w:rPr>
                <w:rFonts w:hint="eastAsia" w:ascii="宋体" w:hAnsi="宋体" w:eastAsia="宋体"/>
                <w:color w:val="0000FF"/>
                <w:u w:val="single"/>
              </w:rPr>
              <w:t>     </w:t>
            </w:r>
          </w:p>
        </w:tc>
        <w:tc>
          <w:tcPr>
            <w:tcW w:w="1420" w:type="dxa"/>
            <w:tcMar>
              <w:top w:w="0" w:type="dxa"/>
              <w:left w:w="70" w:type="dxa"/>
              <w:bottom w:w="0" w:type="dxa"/>
              <w:right w:w="70" w:type="dxa"/>
            </w:tcMar>
            <w:vAlign w:val="center"/>
          </w:tcPr>
          <w:p>
            <w:pPr>
              <w:pStyle w:val="3"/>
              <w:spacing w:line="360" w:lineRule="auto"/>
              <w:jc w:val="both"/>
            </w:pPr>
            <w:r>
              <w:rPr>
                <w:rFonts w:ascii="Calibri" w:hAnsi="Calibri"/>
                <w:sz w:val="15"/>
                <w:szCs w:val="15"/>
              </w:rPr>
              <w:t>电子邮件：</w:t>
            </w:r>
          </w:p>
        </w:tc>
        <w:tc>
          <w:tcPr>
            <w:tcW w:w="1420" w:type="dxa"/>
            <w:tcMar>
              <w:top w:w="0" w:type="dxa"/>
              <w:left w:w="70" w:type="dxa"/>
              <w:bottom w:w="0" w:type="dxa"/>
              <w:right w:w="70" w:type="dxa"/>
            </w:tcMar>
            <w:vAlign w:val="center"/>
          </w:tcPr>
          <w:p>
            <w:pPr>
              <w:pStyle w:val="3"/>
              <w:spacing w:line="360" w:lineRule="auto"/>
              <w:jc w:val="both"/>
            </w:pPr>
            <w:r>
              <w:rPr>
                <w:rFonts w:hint="eastAsia" w:ascii="宋体" w:hAnsi="宋体" w:eastAsia="宋体"/>
                <w:color w:val="0000FF"/>
                <w:u w:val="single"/>
              </w:rPr>
              <w:t> /   </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360" w:lineRule="auto"/>
              <w:jc w:val="both"/>
            </w:pPr>
            <w:r>
              <w:rPr>
                <w:rFonts w:ascii="Calibri" w:hAnsi="Calibri"/>
                <w:sz w:val="15"/>
                <w:szCs w:val="15"/>
              </w:rPr>
              <w:t>网    址：</w:t>
            </w:r>
          </w:p>
        </w:tc>
        <w:tc>
          <w:tcPr>
            <w:tcW w:w="1420" w:type="dxa"/>
            <w:tcMar>
              <w:top w:w="0" w:type="dxa"/>
              <w:left w:w="70" w:type="dxa"/>
              <w:bottom w:w="0" w:type="dxa"/>
              <w:right w:w="70" w:type="dxa"/>
            </w:tcMar>
            <w:vAlign w:val="center"/>
          </w:tcPr>
          <w:p>
            <w:pPr>
              <w:pStyle w:val="3"/>
              <w:spacing w:line="360" w:lineRule="auto"/>
              <w:jc w:val="both"/>
            </w:pPr>
            <w:r>
              <w:rPr>
                <w:rFonts w:hint="eastAsia" w:ascii="宋体" w:hAnsi="宋体" w:eastAsia="宋体"/>
                <w:color w:val="0000FF"/>
                <w:u w:val="single"/>
              </w:rPr>
              <w:t>     </w:t>
            </w:r>
          </w:p>
        </w:tc>
        <w:tc>
          <w:tcPr>
            <w:tcW w:w="1420" w:type="dxa"/>
            <w:tcMar>
              <w:top w:w="0" w:type="dxa"/>
              <w:left w:w="70" w:type="dxa"/>
              <w:bottom w:w="0" w:type="dxa"/>
              <w:right w:w="70" w:type="dxa"/>
            </w:tcMar>
            <w:vAlign w:val="center"/>
          </w:tcPr>
          <w:p>
            <w:pPr>
              <w:pStyle w:val="3"/>
              <w:spacing w:line="360" w:lineRule="auto"/>
              <w:jc w:val="both"/>
            </w:pPr>
            <w:r>
              <w:rPr>
                <w:rFonts w:ascii="Calibri" w:hAnsi="Calibri"/>
                <w:sz w:val="15"/>
                <w:szCs w:val="15"/>
              </w:rPr>
              <w:t>网    址：</w:t>
            </w:r>
          </w:p>
        </w:tc>
        <w:tc>
          <w:tcPr>
            <w:tcW w:w="1420" w:type="dxa"/>
            <w:tcMar>
              <w:top w:w="0" w:type="dxa"/>
              <w:left w:w="70" w:type="dxa"/>
              <w:bottom w:w="0" w:type="dxa"/>
              <w:right w:w="70" w:type="dxa"/>
            </w:tcMar>
            <w:vAlign w:val="center"/>
          </w:tcPr>
          <w:p>
            <w:pPr>
              <w:pStyle w:val="3"/>
              <w:spacing w:line="360" w:lineRule="auto"/>
              <w:jc w:val="both"/>
            </w:pPr>
            <w:r>
              <w:rPr>
                <w:rFonts w:hint="eastAsia" w:ascii="宋体" w:hAnsi="宋体" w:eastAsia="宋体"/>
                <w:color w:val="0000FF"/>
                <w:u w:val="single"/>
              </w:rPr>
              <w:t>  /  </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360" w:lineRule="auto"/>
              <w:jc w:val="both"/>
            </w:pPr>
            <w:r>
              <w:rPr>
                <w:rFonts w:ascii="Calibri" w:hAnsi="Calibri"/>
                <w:sz w:val="15"/>
                <w:szCs w:val="15"/>
              </w:rPr>
              <w:t>开户银行：</w:t>
            </w:r>
          </w:p>
        </w:tc>
        <w:tc>
          <w:tcPr>
            <w:tcW w:w="1420" w:type="dxa"/>
            <w:tcMar>
              <w:top w:w="0" w:type="dxa"/>
              <w:left w:w="70" w:type="dxa"/>
              <w:bottom w:w="0" w:type="dxa"/>
              <w:right w:w="70" w:type="dxa"/>
            </w:tcMar>
            <w:vAlign w:val="center"/>
          </w:tcPr>
          <w:p>
            <w:pPr>
              <w:pStyle w:val="3"/>
              <w:spacing w:line="360" w:lineRule="auto"/>
              <w:jc w:val="both"/>
            </w:pPr>
            <w:r>
              <w:rPr>
                <w:rFonts w:hint="eastAsia" w:ascii="宋体" w:hAnsi="宋体" w:eastAsia="宋体"/>
                <w:color w:val="0000FF"/>
                <w:u w:val="single"/>
              </w:rPr>
              <w:t>     </w:t>
            </w:r>
          </w:p>
        </w:tc>
        <w:tc>
          <w:tcPr>
            <w:tcW w:w="1420" w:type="dxa"/>
            <w:tcMar>
              <w:top w:w="0" w:type="dxa"/>
              <w:left w:w="70" w:type="dxa"/>
              <w:bottom w:w="0" w:type="dxa"/>
              <w:right w:w="70" w:type="dxa"/>
            </w:tcMar>
            <w:vAlign w:val="center"/>
          </w:tcPr>
          <w:p>
            <w:pPr>
              <w:pStyle w:val="3"/>
              <w:spacing w:line="360" w:lineRule="auto"/>
              <w:jc w:val="both"/>
            </w:pPr>
            <w:r>
              <w:rPr>
                <w:rFonts w:ascii="Calibri" w:hAnsi="Calibri"/>
                <w:sz w:val="15"/>
                <w:szCs w:val="15"/>
              </w:rPr>
              <w:t>开户银行：</w:t>
            </w:r>
          </w:p>
        </w:tc>
        <w:tc>
          <w:tcPr>
            <w:tcW w:w="1420" w:type="dxa"/>
            <w:tcMar>
              <w:top w:w="0" w:type="dxa"/>
              <w:left w:w="70" w:type="dxa"/>
              <w:bottom w:w="0" w:type="dxa"/>
              <w:right w:w="70" w:type="dxa"/>
            </w:tcMar>
            <w:vAlign w:val="center"/>
          </w:tcPr>
          <w:p>
            <w:pPr>
              <w:pStyle w:val="3"/>
              <w:spacing w:line="360" w:lineRule="auto"/>
              <w:jc w:val="both"/>
            </w:pPr>
            <w:r>
              <w:rPr>
                <w:rFonts w:hint="eastAsia" w:ascii="宋体" w:hAnsi="宋体" w:eastAsia="宋体"/>
                <w:color w:val="0000FF"/>
                <w:u w:val="single"/>
              </w:rPr>
              <w:t> 中国农业银行成都新蓉支行   </w:t>
            </w:r>
          </w:p>
        </w:tc>
      </w:tr>
      <w:tr>
        <w:tblPrEx>
          <w:tblCellMar>
            <w:top w:w="15" w:type="dxa"/>
            <w:left w:w="15" w:type="dxa"/>
            <w:bottom w:w="15" w:type="dxa"/>
            <w:right w:w="15" w:type="dxa"/>
          </w:tblCellMar>
        </w:tblPrEx>
        <w:trPr>
          <w:trHeight w:val="300" w:hRule="atLeast"/>
        </w:trPr>
        <w:tc>
          <w:tcPr>
            <w:tcW w:w="1420" w:type="dxa"/>
            <w:tcMar>
              <w:top w:w="0" w:type="dxa"/>
              <w:left w:w="70" w:type="dxa"/>
              <w:bottom w:w="0" w:type="dxa"/>
              <w:right w:w="70" w:type="dxa"/>
            </w:tcMar>
            <w:vAlign w:val="center"/>
          </w:tcPr>
          <w:p>
            <w:pPr>
              <w:pStyle w:val="3"/>
              <w:spacing w:line="360" w:lineRule="auto"/>
              <w:jc w:val="both"/>
            </w:pPr>
            <w:r>
              <w:rPr>
                <w:rFonts w:ascii="Calibri" w:hAnsi="Calibri"/>
                <w:sz w:val="15"/>
                <w:szCs w:val="15"/>
              </w:rPr>
              <w:t>账    号：</w:t>
            </w:r>
          </w:p>
        </w:tc>
        <w:tc>
          <w:tcPr>
            <w:tcW w:w="1420" w:type="dxa"/>
            <w:tcMar>
              <w:top w:w="0" w:type="dxa"/>
              <w:left w:w="70" w:type="dxa"/>
              <w:bottom w:w="0" w:type="dxa"/>
              <w:right w:w="70" w:type="dxa"/>
            </w:tcMar>
            <w:vAlign w:val="center"/>
          </w:tcPr>
          <w:p>
            <w:pPr>
              <w:pStyle w:val="3"/>
              <w:spacing w:line="360" w:lineRule="auto"/>
              <w:jc w:val="both"/>
            </w:pPr>
            <w:r>
              <w:rPr>
                <w:rFonts w:hint="eastAsia" w:ascii="宋体" w:hAnsi="宋体" w:eastAsia="宋体"/>
                <w:color w:val="0000FF"/>
                <w:u w:val="single"/>
              </w:rPr>
              <w:t>     </w:t>
            </w:r>
          </w:p>
        </w:tc>
        <w:tc>
          <w:tcPr>
            <w:tcW w:w="1420" w:type="dxa"/>
            <w:tcMar>
              <w:top w:w="0" w:type="dxa"/>
              <w:left w:w="70" w:type="dxa"/>
              <w:bottom w:w="0" w:type="dxa"/>
              <w:right w:w="70" w:type="dxa"/>
            </w:tcMar>
            <w:vAlign w:val="center"/>
          </w:tcPr>
          <w:p>
            <w:pPr>
              <w:pStyle w:val="3"/>
              <w:spacing w:line="360" w:lineRule="auto"/>
              <w:jc w:val="both"/>
            </w:pPr>
            <w:r>
              <w:rPr>
                <w:rFonts w:ascii="Calibri" w:hAnsi="Calibri"/>
                <w:sz w:val="15"/>
                <w:szCs w:val="15"/>
              </w:rPr>
              <w:t>账    号：</w:t>
            </w:r>
          </w:p>
        </w:tc>
        <w:tc>
          <w:tcPr>
            <w:tcW w:w="1420" w:type="dxa"/>
            <w:tcMar>
              <w:top w:w="0" w:type="dxa"/>
              <w:left w:w="70" w:type="dxa"/>
              <w:bottom w:w="0" w:type="dxa"/>
              <w:right w:w="70" w:type="dxa"/>
            </w:tcMar>
            <w:vAlign w:val="center"/>
          </w:tcPr>
          <w:p>
            <w:pPr>
              <w:pStyle w:val="3"/>
              <w:spacing w:line="360" w:lineRule="auto"/>
              <w:jc w:val="both"/>
            </w:pPr>
            <w:r>
              <w:rPr>
                <w:rFonts w:hint="eastAsia" w:ascii="宋体" w:hAnsi="宋体" w:eastAsia="宋体"/>
                <w:color w:val="0000FF"/>
                <w:u w:val="single"/>
              </w:rPr>
              <w:t> 22821801040008920   </w:t>
            </w:r>
          </w:p>
        </w:tc>
      </w:tr>
    </w:tbl>
    <w:p>
      <w:pPr>
        <w:pStyle w:val="3"/>
        <w:rPr>
          <w:sz w:val="14"/>
          <w:szCs w:val="14"/>
        </w:rPr>
      </w:pPr>
      <w:r>
        <w:rPr>
          <w:rFonts w:hint="eastAsia" w:ascii="宋体" w:hAnsi="宋体" w:eastAsia="宋体"/>
          <w:sz w:val="13"/>
          <w:szCs w:val="13"/>
        </w:rPr>
        <w:t> </w:t>
      </w:r>
    </w:p>
    <w:p>
      <w:pPr>
        <w:pStyle w:val="3"/>
        <w:jc w:val="right"/>
      </w:pPr>
      <w:r>
        <w:rPr>
          <w:rFonts w:hint="eastAsia" w:ascii="宋体" w:hAnsi="宋体" w:eastAsia="宋体"/>
          <w:color w:val="0000FF"/>
          <w:sz w:val="16"/>
          <w:szCs w:val="16"/>
          <w:u w:val="single"/>
        </w:rPr>
        <w:t>     </w:t>
      </w:r>
      <w:r>
        <w:rPr>
          <w:rFonts w:hint="eastAsia" w:ascii="宋体" w:hAnsi="宋体" w:eastAsia="宋体"/>
          <w:sz w:val="16"/>
          <w:szCs w:val="16"/>
          <w:u w:val="single"/>
        </w:rPr>
        <w:t> </w:t>
      </w:r>
    </w:p>
    <w:p>
      <w:pPr>
        <w:pStyle w:val="3"/>
        <w:spacing w:line="302" w:lineRule="auto"/>
        <w:ind w:left="220"/>
      </w:pPr>
      <w:r>
        <w:rPr>
          <w:rFonts w:hint="eastAsia" w:ascii="宋体" w:hAnsi="宋体" w:eastAsia="宋体"/>
        </w:rPr>
        <w:t>备注：</w:t>
      </w:r>
    </w:p>
    <w:p>
      <w:pPr>
        <w:pStyle w:val="3"/>
        <w:spacing w:line="302" w:lineRule="auto"/>
        <w:ind w:left="220"/>
      </w:pPr>
      <w:r>
        <w:rPr>
          <w:rFonts w:hint="eastAsia" w:ascii="宋体" w:hAnsi="宋体" w:eastAsia="宋体"/>
        </w:rPr>
        <w:t>①本条款一般适用于方案设计招标</w:t>
      </w:r>
    </w:p>
    <w:p>
      <w:pPr>
        <w:pStyle w:val="3"/>
        <w:ind w:left="100"/>
      </w:pPr>
      <w:r>
        <w:rPr>
          <w:rFonts w:hint="eastAsia" w:ascii="宋体" w:hAnsi="宋体" w:eastAsia="宋体"/>
        </w:rPr>
        <w:t>②依法必须进行招标的公路工程，自招标文件开始发售之日起至投标人递交投标文件截止之日止，不得少于</w:t>
      </w:r>
      <w:r>
        <w:rPr>
          <w:rFonts w:hint="eastAsia" w:ascii="宋体" w:hAnsi="宋体" w:eastAsia="宋体"/>
          <w:sz w:val="12"/>
          <w:szCs w:val="12"/>
        </w:rPr>
        <w:t>20</w:t>
      </w:r>
      <w:r>
        <w:rPr>
          <w:rFonts w:hint="eastAsia" w:ascii="宋体" w:hAnsi="宋体" w:eastAsia="宋体"/>
        </w:rPr>
        <w:t>日。</w:t>
      </w:r>
    </w:p>
    <w:p>
      <w:pPr>
        <w:pStyle w:val="3"/>
      </w:pPr>
      <w:r>
        <w:rPr>
          <w:rFonts w:ascii="Calibri" w:hAnsi="Calibri"/>
          <w:sz w:val="15"/>
          <w:szCs w:val="15"/>
        </w:rPr>
        <w:t> </w:t>
      </w:r>
    </w:p>
    <w:p>
      <w:pPr>
        <w:pStyle w:val="2"/>
        <w:rPr>
          <w:rFonts w:ascii="微软雅黑" w:hAnsi="微软雅黑" w:eastAsia="微软雅黑"/>
          <w:color w:val="323232"/>
        </w:rPr>
      </w:pPr>
      <w:r>
        <w:rPr>
          <w:rFonts w:hint="eastAsia" w:ascii="微软雅黑" w:hAnsi="微软雅黑" w:eastAsia="微软雅黑"/>
          <w:color w:val="323232"/>
        </w:rPr>
        <w:t>附件信息</w:t>
      </w:r>
    </w:p>
    <w:tbl>
      <w:tblPr>
        <w:tblStyle w:val="4"/>
        <w:tblW w:w="5000" w:type="pct"/>
        <w:tblInd w:w="0" w:type="dxa"/>
        <w:tblLayout w:type="autofit"/>
        <w:tblCellMar>
          <w:top w:w="0" w:type="dxa"/>
          <w:left w:w="0" w:type="dxa"/>
          <w:bottom w:w="0" w:type="dxa"/>
          <w:right w:w="0" w:type="dxa"/>
        </w:tblCellMar>
      </w:tblPr>
      <w:tblGrid>
        <w:gridCol w:w="1250"/>
        <w:gridCol w:w="7086"/>
      </w:tblGrid>
      <w:tr>
        <w:tblPrEx>
          <w:tblCellMar>
            <w:top w:w="0" w:type="dxa"/>
            <w:left w:w="0" w:type="dxa"/>
            <w:bottom w:w="0" w:type="dxa"/>
            <w:right w:w="0" w:type="dxa"/>
          </w:tblCellMar>
        </w:tblPrEx>
        <w:trPr>
          <w:trHeight w:val="450" w:hRule="atLeast"/>
        </w:trPr>
        <w:tc>
          <w:tcPr>
            <w:tcW w:w="750" w:type="pct"/>
            <w:tcMar>
              <w:top w:w="15" w:type="dxa"/>
              <w:left w:w="15" w:type="dxa"/>
              <w:bottom w:w="15" w:type="dxa"/>
              <w:right w:w="15" w:type="dxa"/>
            </w:tcMar>
            <w:vAlign w:val="center"/>
          </w:tcPr>
          <w:p>
            <w:pPr>
              <w:rPr>
                <w:rFonts w:ascii="微软雅黑" w:hAnsi="微软雅黑" w:eastAsia="微软雅黑" w:cs="宋体"/>
                <w:color w:val="323232"/>
                <w:sz w:val="14"/>
                <w:szCs w:val="14"/>
              </w:rPr>
            </w:pPr>
            <w:r>
              <w:rPr>
                <w:rFonts w:hint="eastAsia" w:ascii="微软雅黑" w:hAnsi="微软雅黑" w:eastAsia="微软雅黑"/>
                <w:color w:val="323232"/>
                <w:sz w:val="14"/>
                <w:szCs w:val="14"/>
              </w:rPr>
              <w:t>招标公告附件：</w:t>
            </w:r>
          </w:p>
        </w:tc>
        <w:tc>
          <w:tcPr>
            <w:tcW w:w="0" w:type="auto"/>
            <w:tcMar>
              <w:top w:w="15" w:type="dxa"/>
              <w:left w:w="15" w:type="dxa"/>
              <w:bottom w:w="15" w:type="dxa"/>
              <w:right w:w="15" w:type="dxa"/>
            </w:tcMar>
            <w:vAlign w:val="center"/>
          </w:tcPr>
          <w:tbl>
            <w:tblPr>
              <w:tblStyle w:val="4"/>
              <w:tblW w:w="5000" w:type="pct"/>
              <w:tblInd w:w="0" w:type="dxa"/>
              <w:tblLayout w:type="autofit"/>
              <w:tblCellMar>
                <w:top w:w="15" w:type="dxa"/>
                <w:left w:w="15" w:type="dxa"/>
                <w:bottom w:w="15" w:type="dxa"/>
                <w:right w:w="15" w:type="dxa"/>
              </w:tblCellMar>
            </w:tblPr>
            <w:tblGrid>
              <w:gridCol w:w="1058"/>
              <w:gridCol w:w="3528"/>
              <w:gridCol w:w="2470"/>
            </w:tblGrid>
            <w:tr>
              <w:tblPrEx>
                <w:tblCellMar>
                  <w:top w:w="15" w:type="dxa"/>
                  <w:left w:w="15" w:type="dxa"/>
                  <w:bottom w:w="15" w:type="dxa"/>
                  <w:right w:w="15" w:type="dxa"/>
                </w:tblCellMar>
              </w:tblPrEx>
              <w:trPr>
                <w:trHeight w:val="450" w:hRule="atLeast"/>
              </w:trPr>
              <w:tc>
                <w:tcPr>
                  <w:tcW w:w="750" w:type="pct"/>
                  <w:vAlign w:val="center"/>
                </w:tcPr>
                <w:p>
                  <w:pPr>
                    <w:jc w:val="center"/>
                    <w:rPr>
                      <w:rFonts w:ascii="微软雅黑" w:hAnsi="微软雅黑" w:eastAsia="微软雅黑" w:cs="宋体"/>
                      <w:b/>
                      <w:bCs/>
                      <w:color w:val="323232"/>
                      <w:sz w:val="14"/>
                      <w:szCs w:val="14"/>
                    </w:rPr>
                  </w:pPr>
                  <w:r>
                    <w:rPr>
                      <w:rFonts w:hint="eastAsia" w:ascii="微软雅黑" w:hAnsi="微软雅黑" w:eastAsia="微软雅黑"/>
                      <w:b/>
                      <w:bCs/>
                      <w:color w:val="323232"/>
                      <w:sz w:val="14"/>
                      <w:szCs w:val="14"/>
                    </w:rPr>
                    <w:t>序号</w:t>
                  </w:r>
                </w:p>
              </w:tc>
              <w:tc>
                <w:tcPr>
                  <w:tcW w:w="2500" w:type="pct"/>
                  <w:vAlign w:val="center"/>
                </w:tcPr>
                <w:p>
                  <w:pPr>
                    <w:jc w:val="center"/>
                    <w:rPr>
                      <w:rFonts w:ascii="微软雅黑" w:hAnsi="微软雅黑" w:eastAsia="微软雅黑" w:cs="宋体"/>
                      <w:b/>
                      <w:bCs/>
                      <w:color w:val="323232"/>
                      <w:sz w:val="14"/>
                      <w:szCs w:val="14"/>
                    </w:rPr>
                  </w:pPr>
                  <w:r>
                    <w:rPr>
                      <w:rFonts w:hint="eastAsia" w:ascii="微软雅黑" w:hAnsi="微软雅黑" w:eastAsia="微软雅黑"/>
                      <w:b/>
                      <w:bCs/>
                      <w:color w:val="323232"/>
                      <w:sz w:val="14"/>
                      <w:szCs w:val="14"/>
                    </w:rPr>
                    <w:t>文件名</w:t>
                  </w:r>
                </w:p>
              </w:tc>
              <w:tc>
                <w:tcPr>
                  <w:tcW w:w="1750" w:type="pct"/>
                  <w:vAlign w:val="center"/>
                </w:tcPr>
                <w:p>
                  <w:pPr>
                    <w:jc w:val="center"/>
                    <w:rPr>
                      <w:rFonts w:ascii="微软雅黑" w:hAnsi="微软雅黑" w:eastAsia="微软雅黑" w:cs="宋体"/>
                      <w:b/>
                      <w:bCs/>
                      <w:color w:val="323232"/>
                      <w:sz w:val="14"/>
                      <w:szCs w:val="14"/>
                    </w:rPr>
                  </w:pPr>
                  <w:r>
                    <w:rPr>
                      <w:rFonts w:hint="eastAsia" w:ascii="微软雅黑" w:hAnsi="微软雅黑" w:eastAsia="微软雅黑"/>
                      <w:b/>
                      <w:bCs/>
                      <w:color w:val="323232"/>
                      <w:sz w:val="14"/>
                      <w:szCs w:val="14"/>
                    </w:rPr>
                    <w:t>创建时间</w:t>
                  </w:r>
                </w:p>
              </w:tc>
            </w:tr>
            <w:tr>
              <w:tblPrEx>
                <w:tblCellMar>
                  <w:top w:w="15" w:type="dxa"/>
                  <w:left w:w="15" w:type="dxa"/>
                  <w:bottom w:w="15" w:type="dxa"/>
                  <w:right w:w="15" w:type="dxa"/>
                </w:tblCellMar>
              </w:tblPrEx>
              <w:trPr>
                <w:trHeight w:val="450" w:hRule="atLeast"/>
              </w:trPr>
              <w:tc>
                <w:tcPr>
                  <w:tcW w:w="0" w:type="auto"/>
                  <w:vAlign w:val="center"/>
                </w:tcPr>
                <w:p>
                  <w:pPr>
                    <w:rPr>
                      <w:rFonts w:ascii="微软雅黑" w:hAnsi="微软雅黑" w:eastAsia="微软雅黑" w:cs="宋体"/>
                      <w:color w:val="323232"/>
                      <w:sz w:val="14"/>
                      <w:szCs w:val="14"/>
                    </w:rPr>
                  </w:pPr>
                  <w:r>
                    <w:rPr>
                      <w:rFonts w:hint="eastAsia" w:ascii="微软雅黑" w:hAnsi="微软雅黑" w:eastAsia="微软雅黑"/>
                      <w:color w:val="323232"/>
                      <w:sz w:val="14"/>
                      <w:szCs w:val="14"/>
                    </w:rPr>
                    <w:t>1</w:t>
                  </w:r>
                </w:p>
              </w:tc>
              <w:tc>
                <w:tcPr>
                  <w:tcW w:w="0" w:type="auto"/>
                  <w:vAlign w:val="center"/>
                </w:tcPr>
                <w:p>
                  <w:pPr>
                    <w:rPr>
                      <w:rFonts w:ascii="微软雅黑" w:hAnsi="微软雅黑" w:eastAsia="微软雅黑" w:cs="宋体"/>
                      <w:color w:val="323232"/>
                      <w:sz w:val="14"/>
                      <w:szCs w:val="14"/>
                    </w:rPr>
                  </w:pPr>
                  <w:r>
                    <w:fldChar w:fldCharType="begin"/>
                  </w:r>
                  <w:r>
                    <w:instrText xml:space="preserve"> HYPERLINK "http://ggzy.panzhihua.gov.cn/pzh-jsgc-file/downloadFile?fileId=b872313c-4e86-4b6e-a6a3-2dbea3d115dc" </w:instrText>
                  </w:r>
                  <w:r>
                    <w:fldChar w:fldCharType="separate"/>
                  </w:r>
                  <w:r>
                    <w:rPr>
                      <w:rStyle w:val="7"/>
                      <w:rFonts w:hint="default"/>
                    </w:rPr>
                    <w:t>公告扫描.pdf</w:t>
                  </w:r>
                  <w:r>
                    <w:rPr>
                      <w:rStyle w:val="7"/>
                      <w:rFonts w:hint="default"/>
                    </w:rPr>
                    <w:fldChar w:fldCharType="end"/>
                  </w:r>
                </w:p>
              </w:tc>
              <w:tc>
                <w:tcPr>
                  <w:tcW w:w="0" w:type="auto"/>
                  <w:vAlign w:val="center"/>
                </w:tcPr>
                <w:p>
                  <w:pPr>
                    <w:rPr>
                      <w:rFonts w:ascii="微软雅黑" w:hAnsi="微软雅黑" w:eastAsia="微软雅黑" w:cs="宋体"/>
                      <w:color w:val="323232"/>
                      <w:sz w:val="14"/>
                      <w:szCs w:val="14"/>
                    </w:rPr>
                  </w:pPr>
                  <w:r>
                    <w:rPr>
                      <w:rFonts w:hint="eastAsia" w:ascii="微软雅黑" w:hAnsi="微软雅黑" w:eastAsia="微软雅黑"/>
                      <w:color w:val="323232"/>
                      <w:sz w:val="14"/>
                      <w:szCs w:val="14"/>
                    </w:rPr>
                    <w:t>2021-07-29 14:14:52</w:t>
                  </w:r>
                </w:p>
              </w:tc>
            </w:tr>
          </w:tbl>
          <w:p>
            <w:pPr>
              <w:rPr>
                <w:rFonts w:ascii="微软雅黑" w:hAnsi="微软雅黑" w:eastAsia="微软雅黑" w:cs="宋体"/>
                <w:color w:val="323232"/>
                <w:sz w:val="14"/>
                <w:szCs w:val="14"/>
              </w:rPr>
            </w:pPr>
          </w:p>
        </w:tc>
      </w:tr>
    </w:tbl>
    <w:p>
      <w:r>
        <w:drawing>
          <wp:inline distT="0" distB="0" distL="0" distR="0">
            <wp:extent cx="5274310" cy="2496820"/>
            <wp:effectExtent l="0" t="0" r="2540"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cstate="print"/>
                    <a:srcRect/>
                    <a:stretch>
                      <a:fillRect/>
                    </a:stretch>
                  </pic:blipFill>
                  <pic:spPr>
                    <a:xfrm>
                      <a:off x="0" y="0"/>
                      <a:ext cx="5274310" cy="2497224"/>
                    </a:xfrm>
                    <a:prstGeom prst="rect">
                      <a:avLst/>
                    </a:prstGeom>
                    <a:noFill/>
                    <a:ln w="9525">
                      <a:noFill/>
                      <a:miter lim="800000"/>
                      <a:headEnd/>
                      <a:tailEnd/>
                    </a:ln>
                  </pic:spPr>
                </pic:pic>
              </a:graphicData>
            </a:graphic>
          </wp:inline>
        </w:drawing>
      </w:r>
    </w:p>
    <w:p>
      <w:pPr>
        <w:widowControl/>
        <w:jc w:val="center"/>
        <w:rPr>
          <w:rFonts w:ascii="微软雅黑" w:hAnsi="微软雅黑" w:eastAsia="微软雅黑" w:cs="宋体"/>
          <w:color w:val="323232"/>
          <w:kern w:val="0"/>
          <w:sz w:val="30"/>
          <w:szCs w:val="30"/>
        </w:rPr>
      </w:pPr>
      <w:r>
        <w:rPr>
          <w:rFonts w:hint="eastAsia" w:ascii="微软雅黑" w:hAnsi="微软雅黑" w:eastAsia="微软雅黑" w:cs="宋体"/>
          <w:color w:val="323232"/>
          <w:kern w:val="0"/>
          <w:sz w:val="30"/>
          <w:szCs w:val="30"/>
        </w:rPr>
        <w:t>G227线安宁河1桥拆除重建工程勘察设计</w:t>
      </w:r>
    </w:p>
    <w:p>
      <w:pPr>
        <w:widowControl/>
        <w:jc w:val="center"/>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8"/>
          <w:szCs w:val="18"/>
        </w:rPr>
        <w:t>来源: 攀枝花市公共资源交易服务中心    发布时间：2021-08-23浏览次数：1155</w:t>
      </w:r>
    </w:p>
    <w:p>
      <w:pPr>
        <w:widowControl/>
        <w:jc w:val="center"/>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免责申明：以下信息由采购人或采购代理发布，信息的真实性、合法性、有效性由采购人或采购代理负责。</w:t>
      </w:r>
    </w:p>
    <w:p>
      <w:pPr>
        <w:widowControl/>
        <w:jc w:val="center"/>
        <w:rPr>
          <w:rFonts w:ascii="微软雅黑" w:hAnsi="微软雅黑" w:eastAsia="微软雅黑" w:cs="宋体"/>
          <w:color w:val="323232"/>
          <w:kern w:val="0"/>
          <w:sz w:val="18"/>
          <w:szCs w:val="18"/>
        </w:rPr>
      </w:pPr>
      <w:r>
        <w:rPr>
          <w:rFonts w:hint="eastAsia" w:ascii="微软雅黑" w:hAnsi="微软雅黑" w:eastAsia="微软雅黑" w:cs="宋体"/>
          <w:color w:val="323232"/>
          <w:kern w:val="0"/>
          <w:sz w:val="18"/>
          <w:szCs w:val="18"/>
        </w:rPr>
        <w:t>G227线安宁河1桥拆除重建工程勘察设计评标结果公示</w:t>
      </w:r>
    </w:p>
    <w:tbl>
      <w:tblPr>
        <w:tblStyle w:val="4"/>
        <w:tblW w:w="5000" w:type="pct"/>
        <w:tblCellSpacing w:w="0" w:type="dxa"/>
        <w:tblInd w:w="0" w:type="dxa"/>
        <w:tblLayout w:type="autofit"/>
        <w:tblCellMar>
          <w:top w:w="0" w:type="dxa"/>
          <w:left w:w="0" w:type="dxa"/>
          <w:bottom w:w="0" w:type="dxa"/>
          <w:right w:w="0" w:type="dxa"/>
        </w:tblCellMar>
      </w:tblPr>
      <w:tblGrid>
        <w:gridCol w:w="2400"/>
        <w:gridCol w:w="2370"/>
        <w:gridCol w:w="2400"/>
        <w:gridCol w:w="1256"/>
      </w:tblGrid>
      <w:tr>
        <w:tblPrEx>
          <w:tblCellMar>
            <w:top w:w="0" w:type="dxa"/>
            <w:left w:w="0" w:type="dxa"/>
            <w:bottom w:w="0" w:type="dxa"/>
            <w:right w:w="0" w:type="dxa"/>
          </w:tblCellMar>
        </w:tblPrEx>
        <w:trPr>
          <w:trHeight w:val="450" w:hRule="atLeast"/>
          <w:tblCellSpacing w:w="0" w:type="dxa"/>
        </w:trPr>
        <w:tc>
          <w:tcPr>
            <w:tcW w:w="24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项目及标段名称</w:t>
            </w:r>
          </w:p>
        </w:tc>
        <w:tc>
          <w:tcPr>
            <w:tcW w:w="0" w:type="auto"/>
            <w:gridSpan w:val="3"/>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G227线安宁河1桥拆除重建工程勘察设计-G227线安宁河1桥拆除重建工程勘察设计-/</w:t>
            </w:r>
          </w:p>
        </w:tc>
      </w:tr>
      <w:tr>
        <w:tblPrEx>
          <w:tblCellMar>
            <w:top w:w="0" w:type="dxa"/>
            <w:left w:w="0" w:type="dxa"/>
            <w:bottom w:w="0" w:type="dxa"/>
            <w:right w:w="0" w:type="dxa"/>
          </w:tblCellMar>
        </w:tblPrEx>
        <w:trPr>
          <w:trHeight w:val="450" w:hRule="atLeast"/>
          <w:tblCellSpacing w:w="0" w:type="dxa"/>
        </w:trPr>
        <w:tc>
          <w:tcPr>
            <w:tcW w:w="24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米易县交通建设事务中心</w:t>
            </w:r>
          </w:p>
        </w:tc>
        <w:tc>
          <w:tcPr>
            <w:tcW w:w="24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项目业主联系电话</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0812-8172159</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招标人</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米易县交通建设事务中心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招标人联系电话</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0812-8172519</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招标代理机构</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四川省鑫跃建设项目管理有限公司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招标代理机构联系电话</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028-84095168</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开标地点</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攀枝花市公共资源交易服务中心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开标时间</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2021-08-19 09:30</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公示期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2021-08-20 16:06 至 2021-08-25 23:59</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投标最高限价（元）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2300000</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1000"/>
        <w:gridCol w:w="3626"/>
        <w:gridCol w:w="1400"/>
        <w:gridCol w:w="1400"/>
        <w:gridCol w:w="1000"/>
      </w:tblGrid>
      <w:tr>
        <w:tblPrEx>
          <w:tblCellMar>
            <w:top w:w="0" w:type="dxa"/>
            <w:left w:w="0" w:type="dxa"/>
            <w:bottom w:w="0" w:type="dxa"/>
            <w:right w:w="0" w:type="dxa"/>
          </w:tblCellMar>
        </w:tblPrEx>
        <w:trPr>
          <w:trHeight w:val="450" w:hRule="atLeast"/>
          <w:tblCellSpacing w:w="0" w:type="dxa"/>
        </w:trPr>
        <w:tc>
          <w:tcPr>
            <w:tcW w:w="1000" w:type="dxa"/>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中标候选人及排序</w:t>
            </w:r>
          </w:p>
        </w:tc>
        <w:tc>
          <w:tcPr>
            <w:tcW w:w="0" w:type="auto"/>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中标候选人名称</w:t>
            </w:r>
          </w:p>
        </w:tc>
        <w:tc>
          <w:tcPr>
            <w:tcW w:w="1400" w:type="dxa"/>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投标报价（元）</w:t>
            </w:r>
          </w:p>
        </w:tc>
        <w:tc>
          <w:tcPr>
            <w:tcW w:w="1400" w:type="dxa"/>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经评审的投标价（元）</w:t>
            </w:r>
          </w:p>
        </w:tc>
        <w:tc>
          <w:tcPr>
            <w:tcW w:w="1000" w:type="dxa"/>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综合评标得分</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第一名</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中国华西工程设计建设有限公司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2198900.00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2198900.00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97.69</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第二名</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山东省交通规划设计院集团有限公司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2189600.00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2189600.00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86.27</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第三名</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四川公路工程咨询监理有限公司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2203500.00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2203500.00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74.94</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1800"/>
        <w:gridCol w:w="378"/>
        <w:gridCol w:w="1805"/>
        <w:gridCol w:w="3334"/>
        <w:gridCol w:w="731"/>
        <w:gridCol w:w="378"/>
      </w:tblGrid>
      <w:tr>
        <w:tblPrEx>
          <w:tblCellMar>
            <w:top w:w="0" w:type="dxa"/>
            <w:left w:w="0" w:type="dxa"/>
            <w:bottom w:w="0" w:type="dxa"/>
            <w:right w:w="0" w:type="dxa"/>
          </w:tblCellMar>
        </w:tblPrEx>
        <w:trPr>
          <w:trHeight w:val="450" w:hRule="atLeast"/>
          <w:tblCellSpacing w:w="0" w:type="dxa"/>
        </w:trPr>
        <w:tc>
          <w:tcPr>
            <w:tcW w:w="0" w:type="auto"/>
            <w:gridSpan w:val="6"/>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第一中标候选人项目管理机构主要人员（中国华西工程设计建设有限公司）</w:t>
            </w:r>
          </w:p>
        </w:tc>
      </w:tr>
      <w:tr>
        <w:tblPrEx>
          <w:tblCellMar>
            <w:top w:w="0" w:type="dxa"/>
            <w:left w:w="0" w:type="dxa"/>
            <w:bottom w:w="0" w:type="dxa"/>
            <w:right w:w="0" w:type="dxa"/>
          </w:tblCellMar>
        </w:tblPrEx>
        <w:trPr>
          <w:trHeight w:val="450" w:hRule="atLeast"/>
          <w:tblCellSpacing w:w="0" w:type="dxa"/>
        </w:trPr>
        <w:tc>
          <w:tcPr>
            <w:tcW w:w="1800" w:type="dxa"/>
            <w:vMerge w:val="restar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职务</w:t>
            </w:r>
          </w:p>
        </w:tc>
        <w:tc>
          <w:tcPr>
            <w:tcW w:w="0" w:type="auto"/>
            <w:vMerge w:val="restar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姓名</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执业或职业资格</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w:t>
            </w:r>
          </w:p>
        </w:tc>
      </w:tr>
      <w:tr>
        <w:tblPrEx>
          <w:tblCellMar>
            <w:top w:w="0" w:type="dxa"/>
            <w:left w:w="0" w:type="dxa"/>
            <w:bottom w:w="0" w:type="dxa"/>
            <w:right w:w="0" w:type="dxa"/>
          </w:tblCellMar>
        </w:tblPrEx>
        <w:trPr>
          <w:trHeight w:val="450" w:hRule="atLeast"/>
          <w:tblCellSpacing w:w="0" w:type="dxa"/>
        </w:trPr>
        <w:tc>
          <w:tcPr>
            <w:tcW w:w="0" w:type="auto"/>
            <w:vMerge w:val="continue"/>
            <w:tcBorders>
              <w:top w:val="single" w:color="212121" w:sz="4" w:space="0"/>
              <w:left w:val="single" w:color="212121" w:sz="4" w:space="0"/>
              <w:bottom w:val="single" w:color="212121" w:sz="4" w:space="0"/>
              <w:right w:val="single" w:color="212121" w:sz="4" w:space="0"/>
            </w:tcBorders>
            <w:vAlign w:val="center"/>
          </w:tcPr>
          <w:p>
            <w:pPr>
              <w:widowControl/>
              <w:jc w:val="left"/>
              <w:rPr>
                <w:rFonts w:ascii="微软雅黑" w:hAnsi="微软雅黑" w:eastAsia="微软雅黑" w:cs="宋体"/>
                <w:color w:val="212121"/>
                <w:kern w:val="0"/>
                <w:sz w:val="14"/>
                <w:szCs w:val="14"/>
              </w:rPr>
            </w:pPr>
          </w:p>
        </w:tc>
        <w:tc>
          <w:tcPr>
            <w:tcW w:w="0" w:type="auto"/>
            <w:vMerge w:val="continue"/>
            <w:tcBorders>
              <w:top w:val="single" w:color="212121" w:sz="4" w:space="0"/>
              <w:left w:val="single" w:color="212121" w:sz="4" w:space="0"/>
              <w:bottom w:val="single" w:color="212121" w:sz="4" w:space="0"/>
              <w:right w:val="single" w:color="212121" w:sz="4" w:space="0"/>
            </w:tcBorders>
            <w:vAlign w:val="center"/>
          </w:tcPr>
          <w:p>
            <w:pPr>
              <w:widowControl/>
              <w:jc w:val="left"/>
              <w:rPr>
                <w:rFonts w:ascii="微软雅黑" w:hAnsi="微软雅黑" w:eastAsia="微软雅黑" w:cs="宋体"/>
                <w:color w:val="212121"/>
                <w:kern w:val="0"/>
                <w:sz w:val="14"/>
                <w:szCs w:val="14"/>
              </w:rPr>
            </w:pP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证书名称</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证书编号</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职称专业</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级别</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范亮</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职称证</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00064426</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道桥</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高级</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项目技术负责人</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李景恺</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职称证/注册土木工程师（道路）/注册土木工程师（岩土）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工-88623/20201002051000000499/AY185101268</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岩土工程</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中级</w:t>
            </w:r>
          </w:p>
        </w:tc>
      </w:tr>
      <w:tr>
        <w:tblPrEx>
          <w:tblCellMar>
            <w:top w:w="0" w:type="dxa"/>
            <w:left w:w="0" w:type="dxa"/>
            <w:bottom w:w="0" w:type="dxa"/>
            <w:right w:w="0" w:type="dxa"/>
          </w:tblCellMar>
        </w:tblPrEx>
        <w:trPr>
          <w:trHeight w:val="450" w:hRule="atLeast"/>
          <w:tblCellSpacing w:w="0" w:type="dxa"/>
        </w:trPr>
        <w:tc>
          <w:tcPr>
            <w:tcW w:w="0" w:type="auto"/>
            <w:gridSpan w:val="6"/>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第二中标候选人项目管理机构主要人员（山东省交通规划设计院集团有限公司）</w:t>
            </w:r>
          </w:p>
        </w:tc>
      </w:tr>
      <w:tr>
        <w:tblPrEx>
          <w:tblCellMar>
            <w:top w:w="0" w:type="dxa"/>
            <w:left w:w="0" w:type="dxa"/>
            <w:bottom w:w="0" w:type="dxa"/>
            <w:right w:w="0" w:type="dxa"/>
          </w:tblCellMar>
        </w:tblPrEx>
        <w:trPr>
          <w:trHeight w:val="450" w:hRule="atLeast"/>
          <w:tblCellSpacing w:w="0" w:type="dxa"/>
        </w:trPr>
        <w:tc>
          <w:tcPr>
            <w:tcW w:w="1800" w:type="dxa"/>
            <w:vMerge w:val="restar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职务</w:t>
            </w:r>
          </w:p>
        </w:tc>
        <w:tc>
          <w:tcPr>
            <w:tcW w:w="0" w:type="auto"/>
            <w:vMerge w:val="restar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姓名</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执业或职业资格</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w:t>
            </w:r>
          </w:p>
        </w:tc>
      </w:tr>
      <w:tr>
        <w:tblPrEx>
          <w:tblCellMar>
            <w:top w:w="0" w:type="dxa"/>
            <w:left w:w="0" w:type="dxa"/>
            <w:bottom w:w="0" w:type="dxa"/>
            <w:right w:w="0" w:type="dxa"/>
          </w:tblCellMar>
        </w:tblPrEx>
        <w:trPr>
          <w:trHeight w:val="450" w:hRule="atLeast"/>
          <w:tblCellSpacing w:w="0" w:type="dxa"/>
        </w:trPr>
        <w:tc>
          <w:tcPr>
            <w:tcW w:w="0" w:type="auto"/>
            <w:vMerge w:val="continue"/>
            <w:tcBorders>
              <w:top w:val="single" w:color="212121" w:sz="4" w:space="0"/>
              <w:left w:val="single" w:color="212121" w:sz="4" w:space="0"/>
              <w:bottom w:val="single" w:color="212121" w:sz="4" w:space="0"/>
              <w:right w:val="single" w:color="212121" w:sz="4" w:space="0"/>
            </w:tcBorders>
            <w:vAlign w:val="center"/>
          </w:tcPr>
          <w:p>
            <w:pPr>
              <w:widowControl/>
              <w:jc w:val="left"/>
              <w:rPr>
                <w:rFonts w:ascii="微软雅黑" w:hAnsi="微软雅黑" w:eastAsia="微软雅黑" w:cs="宋体"/>
                <w:color w:val="212121"/>
                <w:kern w:val="0"/>
                <w:sz w:val="14"/>
                <w:szCs w:val="14"/>
              </w:rPr>
            </w:pPr>
          </w:p>
        </w:tc>
        <w:tc>
          <w:tcPr>
            <w:tcW w:w="0" w:type="auto"/>
            <w:vMerge w:val="continue"/>
            <w:tcBorders>
              <w:top w:val="single" w:color="212121" w:sz="4" w:space="0"/>
              <w:left w:val="single" w:color="212121" w:sz="4" w:space="0"/>
              <w:bottom w:val="single" w:color="212121" w:sz="4" w:space="0"/>
              <w:right w:val="single" w:color="212121" w:sz="4" w:space="0"/>
            </w:tcBorders>
            <w:vAlign w:val="center"/>
          </w:tcPr>
          <w:p>
            <w:pPr>
              <w:widowControl/>
              <w:jc w:val="left"/>
              <w:rPr>
                <w:rFonts w:ascii="微软雅黑" w:hAnsi="微软雅黑" w:eastAsia="微软雅黑" w:cs="宋体"/>
                <w:color w:val="212121"/>
                <w:kern w:val="0"/>
                <w:sz w:val="14"/>
                <w:szCs w:val="14"/>
              </w:rPr>
            </w:pP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证书名称</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证书编号</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职称专业</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级别</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徐洪明</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职称证书/咨询工程师（投资）登记证书</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鲁200001733100173/咨登1820191200400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道路机场与桥隧工程</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正高级</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项目技术负责人</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陈国红</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职称证书/</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鲁160820190265/</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道路与桥梁</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高级</w:t>
            </w:r>
          </w:p>
        </w:tc>
      </w:tr>
      <w:tr>
        <w:tblPrEx>
          <w:tblCellMar>
            <w:top w:w="0" w:type="dxa"/>
            <w:left w:w="0" w:type="dxa"/>
            <w:bottom w:w="0" w:type="dxa"/>
            <w:right w:w="0" w:type="dxa"/>
          </w:tblCellMar>
        </w:tblPrEx>
        <w:trPr>
          <w:trHeight w:val="450" w:hRule="atLeast"/>
          <w:tblCellSpacing w:w="0" w:type="dxa"/>
        </w:trPr>
        <w:tc>
          <w:tcPr>
            <w:tcW w:w="0" w:type="auto"/>
            <w:gridSpan w:val="6"/>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第三中标候选人项目管理机构主要人员（四川公路工程咨询监理有限公司）</w:t>
            </w:r>
          </w:p>
        </w:tc>
      </w:tr>
      <w:tr>
        <w:tblPrEx>
          <w:tblCellMar>
            <w:top w:w="0" w:type="dxa"/>
            <w:left w:w="0" w:type="dxa"/>
            <w:bottom w:w="0" w:type="dxa"/>
            <w:right w:w="0" w:type="dxa"/>
          </w:tblCellMar>
        </w:tblPrEx>
        <w:trPr>
          <w:trHeight w:val="450" w:hRule="atLeast"/>
          <w:tblCellSpacing w:w="0" w:type="dxa"/>
        </w:trPr>
        <w:tc>
          <w:tcPr>
            <w:tcW w:w="1800" w:type="dxa"/>
            <w:vMerge w:val="restar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职务</w:t>
            </w:r>
          </w:p>
        </w:tc>
        <w:tc>
          <w:tcPr>
            <w:tcW w:w="0" w:type="auto"/>
            <w:vMerge w:val="restar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姓名</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执业或职业资格</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w:t>
            </w:r>
          </w:p>
        </w:tc>
      </w:tr>
      <w:tr>
        <w:tblPrEx>
          <w:tblCellMar>
            <w:top w:w="0" w:type="dxa"/>
            <w:left w:w="0" w:type="dxa"/>
            <w:bottom w:w="0" w:type="dxa"/>
            <w:right w:w="0" w:type="dxa"/>
          </w:tblCellMar>
        </w:tblPrEx>
        <w:trPr>
          <w:trHeight w:val="450" w:hRule="atLeast"/>
          <w:tblCellSpacing w:w="0" w:type="dxa"/>
        </w:trPr>
        <w:tc>
          <w:tcPr>
            <w:tcW w:w="0" w:type="auto"/>
            <w:vMerge w:val="continue"/>
            <w:tcBorders>
              <w:top w:val="single" w:color="212121" w:sz="4" w:space="0"/>
              <w:left w:val="single" w:color="212121" w:sz="4" w:space="0"/>
              <w:bottom w:val="single" w:color="212121" w:sz="4" w:space="0"/>
              <w:right w:val="single" w:color="212121" w:sz="4" w:space="0"/>
            </w:tcBorders>
            <w:vAlign w:val="center"/>
          </w:tcPr>
          <w:p>
            <w:pPr>
              <w:widowControl/>
              <w:jc w:val="left"/>
              <w:rPr>
                <w:rFonts w:ascii="微软雅黑" w:hAnsi="微软雅黑" w:eastAsia="微软雅黑" w:cs="宋体"/>
                <w:color w:val="212121"/>
                <w:kern w:val="0"/>
                <w:sz w:val="14"/>
                <w:szCs w:val="14"/>
              </w:rPr>
            </w:pPr>
          </w:p>
        </w:tc>
        <w:tc>
          <w:tcPr>
            <w:tcW w:w="0" w:type="auto"/>
            <w:vMerge w:val="continue"/>
            <w:tcBorders>
              <w:top w:val="single" w:color="212121" w:sz="4" w:space="0"/>
              <w:left w:val="single" w:color="212121" w:sz="4" w:space="0"/>
              <w:bottom w:val="single" w:color="212121" w:sz="4" w:space="0"/>
              <w:right w:val="single" w:color="212121" w:sz="4" w:space="0"/>
            </w:tcBorders>
            <w:vAlign w:val="center"/>
          </w:tcPr>
          <w:p>
            <w:pPr>
              <w:widowControl/>
              <w:jc w:val="left"/>
              <w:rPr>
                <w:rFonts w:ascii="微软雅黑" w:hAnsi="微软雅黑" w:eastAsia="微软雅黑" w:cs="宋体"/>
                <w:color w:val="212121"/>
                <w:kern w:val="0"/>
                <w:sz w:val="14"/>
                <w:szCs w:val="14"/>
              </w:rPr>
            </w:pP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证书名称</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证书编号</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职称专业</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级别</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许毅</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道路与桥梁</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正高级</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项目技术负责人</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邱兵</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注册土木工程师（岩土）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AY145100900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高级</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2144"/>
        <w:gridCol w:w="588"/>
        <w:gridCol w:w="1137"/>
        <w:gridCol w:w="1137"/>
        <w:gridCol w:w="1347"/>
        <w:gridCol w:w="975"/>
        <w:gridCol w:w="1098"/>
      </w:tblGrid>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第一中标候选人类似业绩（中国华西工程设计建设有限公司）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遂宁开达投资有限公司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遂宁市黄连沱大桥（渡口改公路桥）项目</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20170828</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20180816</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本项目路线全长2.764公里，其中新建特大桥梁1437米/1座，主桥上部结构采用90+160+90米变截面预应力混凝土连续箱梁结构，箱梁为三向预应力结构；大桥69米1座，桥梁上部结构采用1x10米现浇空心板+1x40米预应力混凝土简支T梁+1x10米现浇空心板，桥面连续，下部结构采用双柱式墩、桩基础；引道长1.258公里。采用一级公路技术标准建设，设计速度60公里/小时；桥梁宽度28.0米。</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11800000.00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范亮、顾涛</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华蓥市通达交通开发有限责任公司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S406明月渠江大桥建设工程</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20170701</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20191219</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路线全长1039米，其中桥梁长799延米，引道长240米。采用一级公路标准建设，设计速度60公里/小时，设计汽车荷载等级为公路-I级，设计人群荷载2.5千牛/平方米，标准轴载BZZ-100；主桥及引桥宽度均为23米，桥梁与路基同宽。桥梁5x40米预应力混凝土简支T梁+（110+210+110）米预应力混凝土矮斜拉桥+4x40米预应力混凝土简支T梁。</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4090000.00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罗飞</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焦作市公路管理局</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G207（原S237）焦作至温县段改建工程勘察设计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20170807</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20181123</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路线全长41.35公里，采用设计速度80公里/小时双向四车道一级公路技术标准。新建特大桥1820.7米/1座（沁河特大桥）、大桥983.8米/3座、中桥96.04米/3座、小桥87.12米/3座；涵洞44道；互通式立交2处，分离式立交3处，管线交叉16处，通道4处，平交37处。总投资137895.27万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19930000.00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吴盛伟</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仁寿县重点交通建设项目领导小组办公室</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仁寿县黑龙滩环湖东路工程勘察设计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20171101</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20181123</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路线全长20.942公里，二级公路标准建设。全线共新建桥梁18座（总长度为5326.5m，其中特大桥1座，大桥13座，中桥4座），黑龙滩特大桥全长886m（9×40+（103+190+103）+3×40，预应力砼简支T梁+预应力（后张）砼变截面连续刚构），本项目配套相应市政设施，估算总投资约28亿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14592000.00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袁兴无</w:t>
            </w:r>
          </w:p>
        </w:tc>
      </w:tr>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第一中标候选人项目负责人类似业绩（中国华西工程设计建设有限公司）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遂宁开达投资有限公司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遂宁市黄连沱大桥（渡口改公路桥）项目</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20170828</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20180816</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本项目路线全长2.764公里，其中新建特大桥梁1437米/1座，主桥上部结构采用90+160+90米变截面预应力混凝土连续箱梁结构，箱梁为三向预应力结构；大桥69米1座，桥梁上部结构采用1x10米现浇空心板+1x40米预应力混凝土简支T梁+1x10米现浇空心板，桥面连续，下部结构采用双柱式墩、桩基础；引道长1.258公里。采用一级公路技术标准建设，设计速度60公里/小时；桥梁宽度28.0米。</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11800000.00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r>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第一中标候选人技术负责人类似业绩（中国华西工程设计建设有限公司）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技术负责人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r>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第二中标候选人类似业绩（山东省交通规划设计院集团有限公司）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昭通市大永高速公路投资开发有限公司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大关至永善高速公路施工图勘察设计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20180316</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20200304</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全线里程长61.691公里，全线设桥梁11648.78米/37座，特大桥2374.12米/2座，大桥11214.78米/29座（其中卢家塆（黄泥嘴）大桥主跨81+150+81米），中桥434米/8座；隧道总长52396米/15座，均为分离式隧道,其中长隧道15783米/8座，特长隧道36602米/7座（耿家塆特长隧道左洞3199米右洞3198米，哈米德特长隧道左洞4956米右洞4860米，石家寨特长隧道左洞4550.099米右洞4575.91米，莲峰特长隧道左洞10984米右洞10995米，顺田特长隧道左洞3835米右洞3843米，椿坪1号特长隧道左洞4477米右洞4444米，鲁溪村特长隧道左洞4655米右洞4632米）；互通立交4处（其中,枢纽式互通立交1处）；含全线交通工程及沿线服务设施，管理、养护及服务设施总建筑面积31723平方米，其中包含收费站4处、停车区1处、监控分中心1处、养护工区1处。全线桥隧比约为94.2%。另有黄华连接线3.89公里，采用二级公路标准建设。</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52597014</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于坤</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昭通市大永高速公路投资开发有限公司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大关至永善高速公路初步勘察设计（第CBSJ-1标）</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20170816</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20190218</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全线里程长61.389公里，全线设桥梁5732.7米/18座，特大桥1200.6米/1座，大桥4308.3米/13座（其中卢家塆（黄泥嘴）大桥主跨81+150+81米），中桥223.8米/4座；隧道总长52134.5米/15座，其中长隧道15686米/8座，特长隧道36448.5米/7座（耿家塆特长隧道左洞3085米右洞3087米，哈米德特长隧道左洞4956米右洞4860米，石家寨特长隧道左洞4547米右洞4580米，莲峰特长隧道左洞10984米右洞10995米，顺田特长隧道左洞3834米右洞3830米，椿坪1号特长隧道左洞4477米右洞4444米，鲁溪村特长隧道左洞4655米右洞4645米）；互通立交4处；含全线交通工程及沿线服务设施，管理、养护及服务设施总建筑面积31723平方米，其中包含收费站4处、停车区1处、监控分中心1处、养护工区1处。全线桥隧比约为94.2%。另有黄华连接线3.458公里，采用二级公路标准建设。</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36971882</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于坤、苏聚卿</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齐鲁新宁高速公路有限公司（山东高速集团有限公司子公司）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董家口至梁山（鲁豫界）公路新泰至宁阳段工程勘察设计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20171020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20190518</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全长6O.177公里，采用双向四车道高速公路标准，设计速度120公里/小时，路基宽度27米。全线设特大桥1座、大桥11座、中桥18座、小桥6座;互通立交6处，其中枢纽互通2处，一般互通4处;分离立交13处、通道46道、天桥32座、涵洞58道;服务区2处、养护工区1处、监控通信分中心1处、匝道收费站4处。设置一条连接线长2.739公里。勘察设计任务：本项目共设一个勘察设计标段，包括全线路线、路基、路面、桥涵、交叉、环保、绿化、交通工程及沿线设施（含养护、服务、房屋建筑等）的勘察、初步设计、施工图设计、征地拆迁图编绘、施工招标文件、监理招标文件（图纸、技术规范、工程量清单等）、概预算文件编制、征地边界施放、界址点埋设后续服务等。初步设计已于2017年10月30日批复，施工图主体设计已于2018年4月4日批复。</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49910000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刘晓威</w:t>
            </w:r>
          </w:p>
        </w:tc>
      </w:tr>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第二中标候选人项目负责人类似业绩（山东省交通规划设计院集团有限公司）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昭通市大永高速公路投资开发有限公司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大关至永善高速公路初步勘察设计（第CBSJ-1标）</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20170824</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20190220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全线里程长61.389公里，全线设桥梁5732.7米/18座，特大桥1200.6米/1座，大桥4308.3米/13座（其中卢家塆（黄泥嘴）大桥主跨81+150+81米），中桥223.8米/4座；隧道总长52134.5米/15座，其中长隧道15686米/8座，特长隧道36448.5米/7座（耿家塆特长隧道左洞3085米右洞3087米，哈米德特长隧道左洞4956米右洞4860米，石家寨特长隧道左洞4547米右洞4580米，莲峰特长隧道左洞10984米右洞10995米，顺田特长隧道左洞3834米右洞3830米，椿坪1号特长隧道左洞4477米右洞4444米，鲁溪村特长隧道左洞4655米右洞4645米）；互通立交4处；含全线交通工程及沿线服务设施，管理、养护及服务设施总建筑面积31723平方米，其中包含收费站4处、停车区1处、监控分中心1处、养护工区1处。全线桥隧比约为94.2%。另有黄华连接线3.458公里，采用二级公路标准建设。</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36971882.00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李振江、刘晓威</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昭通市大永高速公路投资开发有限公司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大关至永善高速公路施工图勘察设计（第SGSJ-1标）（高速公路，全长61.691公里）</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20180316</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20200304</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全线里程长61.691公里，全线设桥梁11648.78米/37座，特大桥2374.12米/2座，大桥11214.78米/29座（其中卢家塆（黄泥嘴）大桥主跨81+150+81米），中桥434米/8座；隧道总长52396米/15座，均为分离式隧道,其中长隧道15783米/8座，特长隧道36602米/7座（耿家塆特长隧道左洞3199米右洞3198米，哈米德特长隧道左洞4956米右洞4860米，石家寨特长隧道左洞4550.099米右洞4575.91米，莲峰特长隧道左洞10984米右洞10995米，顺田特长隧道左洞3835米右洞3843米，椿坪1号特长隧道左洞4477米右洞4444米，鲁溪村特长隧道左洞4655米右洞4632米）；互通立交4处（其中,枢纽式互通立交1处）；含全线交通工程及沿线服务设施，管理、养护及服务设施总建筑面积31723平方米，其中包含收费站4处、停车区1处、监控分中心1处、养护工区1处。全线桥隧比约为94.2%。另有黄华连接线3.89公里，采用二级公路标准建设。</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52597014</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苏聚卿</w:t>
            </w:r>
          </w:p>
        </w:tc>
      </w:tr>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第二中标候选人技术负责人类似业绩（山东省交通规划设计院集团有限公司）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技术负责人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r>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第三中标候选人类似业绩（四川公路工程咨询监理有限公司）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泸州市交通建设工程管理中心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自贡至泸州港公路工程（泸州段）勘察设计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20200610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20200923</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总里程22.856公里,一级公路标准，设计速度80公里/小时，路基宽22.5米，双向四车道，汽车荷载等级为公路-I级，并满足《四川省大件公路设计技术标准规定》，审定预算总额13.058亿元，其中建安费8.5893亿元。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9166073</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许毅</w:t>
            </w:r>
          </w:p>
        </w:tc>
      </w:tr>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第三中标候选人项目负责人类似业绩（四川公路工程咨询监理有限公司）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泸州市交通建设工程管理中心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自贡至泸州港公路工程（泸州段）勘察设计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20200610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20200923</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总里程22.856公里,一级公路标准，设计速度80公里/小时，路基宽22.5米，双向四车道，汽车荷载等级为公路-I级，并满足《四川省大件公路设计技术标准规定》，审定预算总额13.058亿元，其中建安费8.5893亿元。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9166073</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陈建</w:t>
            </w:r>
          </w:p>
        </w:tc>
      </w:tr>
      <w:tr>
        <w:tblPrEx>
          <w:tblCellMar>
            <w:top w:w="0" w:type="dxa"/>
            <w:left w:w="0" w:type="dxa"/>
            <w:bottom w:w="0" w:type="dxa"/>
            <w:right w:w="0" w:type="dxa"/>
          </w:tblCellMar>
        </w:tblPrEx>
        <w:trPr>
          <w:trHeight w:val="450" w:hRule="atLeast"/>
          <w:tblCellSpacing w:w="0" w:type="dxa"/>
        </w:trPr>
        <w:tc>
          <w:tcPr>
            <w:tcW w:w="0" w:type="auto"/>
            <w:gridSpan w:val="7"/>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第三中标候选人技术负责人类似业绩（四川公路工程咨询监理有限公司）</w:t>
            </w:r>
          </w:p>
        </w:tc>
      </w:tr>
      <w:tr>
        <w:tblPrEx>
          <w:tblCellMar>
            <w:top w:w="0" w:type="dxa"/>
            <w:left w:w="0" w:type="dxa"/>
            <w:bottom w:w="0" w:type="dxa"/>
            <w:right w:w="0" w:type="dxa"/>
          </w:tblCellMar>
        </w:tblPrEx>
        <w:trPr>
          <w:trHeight w:val="450" w:hRule="atLeast"/>
          <w:tblCellSpacing w:w="0" w:type="dxa"/>
        </w:trPr>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项目业主</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开工日期</w:t>
            </w:r>
          </w:p>
        </w:tc>
        <w:tc>
          <w:tcPr>
            <w:tcW w:w="15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竣工（交工）日期</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建设规模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合同价格（元）</w:t>
            </w:r>
          </w:p>
        </w:tc>
        <w:tc>
          <w:tcPr>
            <w:tcW w:w="1800" w:type="dxa"/>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技术负责人</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2106"/>
        <w:gridCol w:w="2106"/>
        <w:gridCol w:w="2107"/>
        <w:gridCol w:w="2107"/>
      </w:tblGrid>
      <w:tr>
        <w:tblPrEx>
          <w:tblCellMar>
            <w:top w:w="0" w:type="dxa"/>
            <w:left w:w="0" w:type="dxa"/>
            <w:bottom w:w="0" w:type="dxa"/>
            <w:right w:w="0" w:type="dxa"/>
          </w:tblCellMar>
        </w:tblPrEx>
        <w:trPr>
          <w:trHeight w:val="450" w:hRule="atLeast"/>
          <w:tblCellSpacing w:w="0" w:type="dxa"/>
        </w:trPr>
        <w:tc>
          <w:tcPr>
            <w:tcW w:w="0" w:type="auto"/>
            <w:gridSpan w:val="4"/>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其他投标人（除中标候选人之外的）评审情况</w:t>
            </w:r>
          </w:p>
        </w:tc>
      </w:tr>
      <w:tr>
        <w:tblPrEx>
          <w:tblCellMar>
            <w:top w:w="0" w:type="dxa"/>
            <w:left w:w="0" w:type="dxa"/>
            <w:bottom w:w="0" w:type="dxa"/>
            <w:right w:w="0" w:type="dxa"/>
          </w:tblCellMar>
        </w:tblPrEx>
        <w:trPr>
          <w:trHeight w:val="450" w:hRule="atLeast"/>
          <w:tblCellSpacing w:w="0" w:type="dxa"/>
        </w:trPr>
        <w:tc>
          <w:tcPr>
            <w:tcW w:w="1250" w:type="pc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投标人名称</w:t>
            </w:r>
          </w:p>
        </w:tc>
        <w:tc>
          <w:tcPr>
            <w:tcW w:w="1250" w:type="pc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投标报价（元）或否决投标依据条款（投标文件被认定为不合格所依据的招标文件评标办法中的评审因素和评审标准的条款）</w:t>
            </w:r>
          </w:p>
        </w:tc>
        <w:tc>
          <w:tcPr>
            <w:tcW w:w="1250" w:type="pc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经评审的投标价（元）或否决投标理由（投标文件被认定为不合格的具体事实,不得简单地表述为未响应招标文件实质性内容、某处有问题等）</w:t>
            </w:r>
          </w:p>
        </w:tc>
        <w:tc>
          <w:tcPr>
            <w:tcW w:w="1250" w:type="pc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center"/>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综合评估得分或备注</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其它需公示的内容</w:t>
            </w:r>
          </w:p>
        </w:tc>
        <w:tc>
          <w:tcPr>
            <w:tcW w:w="0" w:type="auto"/>
            <w:gridSpan w:val="3"/>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评标委员会成员名单</w:t>
            </w:r>
          </w:p>
        </w:tc>
        <w:tc>
          <w:tcPr>
            <w:tcW w:w="0" w:type="auto"/>
            <w:gridSpan w:val="3"/>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姓名：邓三军</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单位：中科标禾工程项目管理有限公司</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姓名：杜万平</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单位：攀枝花市花城投资管理有限责任公司</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姓名：郝旭英</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单位：川煤华荣能源大宝鼎矿</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姓名：杨曙光</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单位：攀枝花学院</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姓名：扈模光</w:t>
            </w:r>
          </w:p>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单位：攀枝花学院</w:t>
            </w:r>
          </w:p>
        </w:tc>
      </w:tr>
      <w:tr>
        <w:tblPrEx>
          <w:tblCellMar>
            <w:top w:w="0" w:type="dxa"/>
            <w:left w:w="0" w:type="dxa"/>
            <w:bottom w:w="0" w:type="dxa"/>
            <w:right w:w="0" w:type="dxa"/>
          </w:tblCellMar>
        </w:tblPrEx>
        <w:trPr>
          <w:trHeight w:val="450" w:hRule="atLeast"/>
          <w:tblCellSpacing w:w="0" w:type="dxa"/>
        </w:trPr>
        <w:tc>
          <w:tcPr>
            <w:tcW w:w="0" w:type="auto"/>
            <w:vMerge w:val="restar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监督部门名称及监督电话</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项目审批部门：米易县发改局</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联系电话：/</w:t>
            </w:r>
          </w:p>
        </w:tc>
      </w:tr>
      <w:tr>
        <w:tblPrEx>
          <w:tblCellMar>
            <w:top w:w="0" w:type="dxa"/>
            <w:left w:w="0" w:type="dxa"/>
            <w:bottom w:w="0" w:type="dxa"/>
            <w:right w:w="0" w:type="dxa"/>
          </w:tblCellMar>
        </w:tblPrEx>
        <w:trPr>
          <w:trHeight w:val="450" w:hRule="atLeast"/>
          <w:tblCellSpacing w:w="0" w:type="dxa"/>
        </w:trPr>
        <w:tc>
          <w:tcPr>
            <w:tcW w:w="0" w:type="auto"/>
            <w:vMerge w:val="continue"/>
            <w:tcBorders>
              <w:top w:val="single" w:color="212121" w:sz="4" w:space="0"/>
              <w:left w:val="single" w:color="212121" w:sz="4" w:space="0"/>
              <w:bottom w:val="single" w:color="212121" w:sz="4" w:space="0"/>
              <w:right w:val="single" w:color="212121" w:sz="4" w:space="0"/>
            </w:tcBorders>
            <w:vAlign w:val="center"/>
          </w:tcPr>
          <w:p>
            <w:pPr>
              <w:widowControl/>
              <w:jc w:val="left"/>
              <w:rPr>
                <w:rFonts w:ascii="微软雅黑" w:hAnsi="微软雅黑" w:eastAsia="微软雅黑" w:cs="宋体"/>
                <w:color w:val="212121"/>
                <w:kern w:val="0"/>
                <w:sz w:val="14"/>
                <w:szCs w:val="14"/>
              </w:rPr>
            </w:pP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行业主管部门：米易县交通运输局</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联系电话：/</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异议投诉注意事项</w:t>
            </w:r>
          </w:p>
        </w:tc>
        <w:tc>
          <w:tcPr>
            <w:tcW w:w="0" w:type="auto"/>
            <w:gridSpan w:val="3"/>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1.投标人或者其他利害关系人对依法必须进行招标的项目的评标结果有异议的，应当在中标候选人公示期间提出。招标人应当自收到异议之日起3日内作出答复；作出答复前，应当暂停招标投标活动。</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2.投标人或者其他利害关系人认为评标结果不符合法律、行政法规规定的，可以自知道或者应当知道之日起10日内向有关行政监督部门投诉。投诉前应当先向招标人提出异议，异议答复期间不计算在前款规定的期限内。投诉书应当符合《工程建设项目招标投标活动投诉处理办法》规定。</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3.对评标结果的投诉，涉及投标人弄虚作假骗取中标的由行业主管部门负责受理，涉及评标错误或评标无效的由项目审批部门负责受理。</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4.投诉人就同一事项向两个以上有权受理的行政监督部门投诉的，由最先收到投诉的行政监督部门负责处理。</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5.应先提出异议没有提出异议，超过投诉时效等不符合受理条件的投诉，有关行政监督部门不予受理；</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投诉人故意捏造事实、伪造证明材料或者以非法手段取得证明材料进行投诉，给他人造成损失的，依法承担赔偿责任。</w:t>
            </w:r>
          </w:p>
        </w:tc>
      </w:tr>
      <w:tr>
        <w:tblPrEx>
          <w:tblCellMar>
            <w:top w:w="0" w:type="dxa"/>
            <w:left w:w="0" w:type="dxa"/>
            <w:bottom w:w="0" w:type="dxa"/>
            <w:right w:w="0" w:type="dxa"/>
          </w:tblCellMar>
        </w:tblPrEx>
        <w:trPr>
          <w:trHeight w:val="700" w:hRule="atLeast"/>
          <w:tblCellSpacing w:w="0" w:type="dxa"/>
        </w:trPr>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spacing w:after="240"/>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招标人主要负责人签字、盖单位章：</w:t>
            </w:r>
            <w:r>
              <w:rPr>
                <w:rFonts w:hint="eastAsia" w:ascii="微软雅黑" w:hAnsi="微软雅黑" w:eastAsia="微软雅黑" w:cs="宋体"/>
                <w:color w:val="212121"/>
                <w:kern w:val="0"/>
                <w:sz w:val="14"/>
                <w:szCs w:val="14"/>
              </w:rPr>
              <w:br w:type="textWrapping"/>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spacing w:after="240"/>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招标代理机构主要负责人签字、盖单位章：</w:t>
            </w:r>
            <w:r>
              <w:rPr>
                <w:rFonts w:hint="eastAsia" w:ascii="微软雅黑" w:hAnsi="微软雅黑" w:eastAsia="微软雅黑" w:cs="宋体"/>
                <w:color w:val="212121"/>
                <w:kern w:val="0"/>
                <w:sz w:val="14"/>
                <w:szCs w:val="14"/>
              </w:rPr>
              <w:br w:type="textWrapping"/>
            </w:r>
          </w:p>
        </w:tc>
      </w:tr>
    </w:tbl>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注：1.实行电子评标的，中标候选人公示的内容作为评标报告的一部分，由评标软件自动生成，评标委员会复核，招标人或其委托的招标代理机构电子签名和签章确认；还没有实行电子评标的，招标人应根据公示标准文本要求，严格按评标报告和投标文件真实完整地填报公示信息，不得隐瞒、歪曲应当公示的信息，并对填写的中标候选人公示内容的完整性、真实性、准确性和一致性负责。表中所有空格内容均须填写，不得空白，如确实不须填写或无法填写，应在空格中填写“无”。</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2.中标候选人是联合体的，“中标候选人名称”中联合体各方的名称均应填写。</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3.表中的“中标候选人类似业绩”和“中标候选人项目负责人类似业绩” 应填写中标候选人在投标文件中所附所有业绩。</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4.表中的“项目负责人”施工招标指项目经理、 监理招标指项目总监等；表中的“项目技术负责人”是指项目主要技术人员或项目总工，如设计中只有多个专业技术负责人，应都作为项目技术负责人，扩展表格，分别填写。</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5.表中的“开工日期”和“竣工日期”、“交工日期”以各有关行政监督部门相关规定为准。</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6.日期（年月日）的格式统一以阿拉伯数字表示。如：2015年9月1日，填写为20150901； 2015年9月，填写为201509； 再如2015年，填写为2015，2015/9/15 9:00:00填写为20150915－9:00:00。</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7.表中的“合同价格”，是指承包人按合同约定完成了包括缺陷责任期内的全部承包工作后，发包人应付给承包人的金额，包括在履行合同过程中按合同约定进行的变更和调整。元指人民币元。</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8.表中的“建设规模”采购招标应填写主要货物的数量、类型、规格等技术参数。</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9.参与投标的所有投标人都需要公示，除中标候选人之外，其他投标人在“其他投标人（除中标候选人之外的）评审情况”中填写。没有被否决的投标，填写投标人名称、投标报价（元）、经评审的投标价（元）、综合评标得分；被否决的投标，填写投标人名称、否决投标依据条款、否决投标理由、备注。</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10.所有的评标委员会成员（含业主评标代表）都需要填写；评标委员会成员有多个单位的，都需要填写。</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11.投标人认为评标委员会对本单位的评审可能存在错误的，可以在公示期内要求招标人提供评标报告中关于本单位的评审内容，招标人在收到投标人申请之日起，3日内予以答复。招标人不得泄露其他投标人相关的评标内容。</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12.中标候选人公示纸质文本招标人须加盖单位公章，多页还应加盖骑缝章。</w:t>
      </w:r>
    </w:p>
    <w:p>
      <w:r>
        <w:drawing>
          <wp:inline distT="0" distB="0" distL="0" distR="0">
            <wp:extent cx="5274310" cy="1917700"/>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8" cstate="print"/>
                    <a:srcRect/>
                    <a:stretch>
                      <a:fillRect/>
                    </a:stretch>
                  </pic:blipFill>
                  <pic:spPr>
                    <a:xfrm>
                      <a:off x="0" y="0"/>
                      <a:ext cx="5274310" cy="1917931"/>
                    </a:xfrm>
                    <a:prstGeom prst="rect">
                      <a:avLst/>
                    </a:prstGeom>
                    <a:noFill/>
                    <a:ln w="9525">
                      <a:noFill/>
                      <a:miter lim="800000"/>
                      <a:headEnd/>
                      <a:tailEnd/>
                    </a:ln>
                  </pic:spPr>
                </pic:pic>
              </a:graphicData>
            </a:graphic>
          </wp:inline>
        </w:drawing>
      </w:r>
    </w:p>
    <w:p>
      <w:pPr>
        <w:widowControl/>
        <w:jc w:val="center"/>
        <w:rPr>
          <w:rFonts w:ascii="微软雅黑" w:hAnsi="微软雅黑" w:eastAsia="微软雅黑" w:cs="宋体"/>
          <w:color w:val="323232"/>
          <w:kern w:val="0"/>
          <w:sz w:val="45"/>
          <w:szCs w:val="45"/>
        </w:rPr>
      </w:pPr>
      <w:r>
        <w:rPr>
          <w:rFonts w:hint="eastAsia" w:ascii="微软雅黑" w:hAnsi="微软雅黑" w:eastAsia="微软雅黑" w:cs="宋体"/>
          <w:color w:val="323232"/>
          <w:kern w:val="0"/>
          <w:sz w:val="45"/>
          <w:szCs w:val="45"/>
        </w:rPr>
        <w:t>G227线安宁河1桥拆除重建工程勘察设计</w:t>
      </w:r>
    </w:p>
    <w:p>
      <w:pPr>
        <w:widowControl/>
        <w:jc w:val="center"/>
        <w:rPr>
          <w:rFonts w:ascii="微软雅黑" w:hAnsi="微软雅黑" w:eastAsia="微软雅黑" w:cs="宋体"/>
          <w:color w:val="323232"/>
          <w:kern w:val="0"/>
          <w:szCs w:val="21"/>
        </w:rPr>
      </w:pPr>
      <w:r>
        <w:rPr>
          <w:rFonts w:hint="eastAsia" w:ascii="微软雅黑" w:hAnsi="微软雅黑" w:eastAsia="微软雅黑" w:cs="宋体"/>
          <w:color w:val="323232"/>
          <w:kern w:val="0"/>
          <w:sz w:val="27"/>
          <w:szCs w:val="27"/>
        </w:rPr>
        <w:t>来源: 攀枝花市公共资源交易服务中心    发布时间：2021-08-26浏览次数：1416</w:t>
      </w:r>
    </w:p>
    <w:p>
      <w:pPr>
        <w:widowControl/>
        <w:jc w:val="center"/>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免责申明：以下信息由采购人或采购代理发布，信息的真实性、合法性、有效性由采购人或采购代理负责。</w:t>
      </w:r>
    </w:p>
    <w:p>
      <w:pPr>
        <w:widowControl/>
        <w:spacing w:before="100" w:beforeAutospacing="1" w:after="100" w:afterAutospacing="1" w:line="750" w:lineRule="atLeast"/>
        <w:jc w:val="left"/>
        <w:outlineLvl w:val="1"/>
        <w:rPr>
          <w:rFonts w:ascii="微软雅黑" w:hAnsi="微软雅黑" w:eastAsia="微软雅黑" w:cs="宋体"/>
          <w:b/>
          <w:bCs/>
          <w:color w:val="323232"/>
          <w:kern w:val="0"/>
          <w:sz w:val="36"/>
          <w:szCs w:val="36"/>
        </w:rPr>
      </w:pPr>
      <w:r>
        <w:rPr>
          <w:rFonts w:hint="eastAsia" w:ascii="微软雅黑" w:hAnsi="微软雅黑" w:eastAsia="微软雅黑" w:cs="宋体"/>
          <w:b/>
          <w:bCs/>
          <w:color w:val="323232"/>
          <w:kern w:val="0"/>
          <w:sz w:val="36"/>
          <w:szCs w:val="36"/>
        </w:rPr>
        <w:t>中标结果公告</w:t>
      </w:r>
    </w:p>
    <w:tbl>
      <w:tblPr>
        <w:tblStyle w:val="4"/>
        <w:tblW w:w="4800" w:type="pct"/>
        <w:tblInd w:w="0" w:type="dxa"/>
        <w:tblLayout w:type="autofit"/>
        <w:tblCellMar>
          <w:top w:w="0" w:type="dxa"/>
          <w:left w:w="0" w:type="dxa"/>
          <w:bottom w:w="0" w:type="dxa"/>
          <w:right w:w="0" w:type="dxa"/>
        </w:tblCellMar>
      </w:tblPr>
      <w:tblGrid>
        <w:gridCol w:w="2001"/>
        <w:gridCol w:w="6002"/>
      </w:tblGrid>
      <w:tr>
        <w:tblPrEx>
          <w:tblCellMar>
            <w:top w:w="0" w:type="dxa"/>
            <w:left w:w="0" w:type="dxa"/>
            <w:bottom w:w="0" w:type="dxa"/>
            <w:right w:w="0" w:type="dxa"/>
          </w:tblCellMar>
        </w:tblPrEx>
        <w:trPr>
          <w:trHeight w:val="675" w:hRule="atLeast"/>
        </w:trPr>
        <w:tc>
          <w:tcPr>
            <w:tcW w:w="1250" w:type="pct"/>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标段编号：</w:t>
            </w:r>
          </w:p>
        </w:tc>
        <w:tc>
          <w:tcPr>
            <w:tcW w:w="3750" w:type="pct"/>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GC510421202100029001001</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标段名称：</w:t>
            </w:r>
          </w:p>
        </w:tc>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G227线安宁河1桥拆除重建工程勘察设计-/</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工程类型：</w:t>
            </w:r>
          </w:p>
        </w:tc>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勘察设计</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发布时间：</w:t>
            </w:r>
          </w:p>
        </w:tc>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 xml:space="preserve">2021-08-26 15:00:00 </w:t>
            </w:r>
          </w:p>
        </w:tc>
      </w:tr>
      <w:tr>
        <w:tblPrEx>
          <w:tblCellMar>
            <w:top w:w="0" w:type="dxa"/>
            <w:left w:w="0" w:type="dxa"/>
            <w:bottom w:w="0" w:type="dxa"/>
            <w:right w:w="0" w:type="dxa"/>
          </w:tblCellMar>
        </w:tblPrEx>
        <w:trPr>
          <w:trHeight w:val="675" w:hRule="atLeast"/>
        </w:trPr>
        <w:tc>
          <w:tcPr>
            <w:tcW w:w="1250" w:type="pct"/>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中标人：</w:t>
            </w:r>
          </w:p>
        </w:tc>
        <w:tc>
          <w:tcPr>
            <w:tcW w:w="3750" w:type="pct"/>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b/>
                <w:bCs/>
                <w:color w:val="323232"/>
                <w:kern w:val="0"/>
                <w:szCs w:val="21"/>
              </w:rPr>
              <w:t>中国华西工程设计建设有限公司</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中标价：</w:t>
            </w:r>
          </w:p>
        </w:tc>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b/>
                <w:bCs/>
                <w:color w:val="323232"/>
                <w:kern w:val="0"/>
                <w:szCs w:val="21"/>
              </w:rPr>
              <w:t>219.89万元</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中标工期：</w:t>
            </w:r>
          </w:p>
        </w:tc>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60天</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项目经理：</w:t>
            </w:r>
          </w:p>
        </w:tc>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范亮</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备注说明：</w:t>
            </w:r>
          </w:p>
        </w:tc>
        <w:tc>
          <w:tcPr>
            <w:tcW w:w="0" w:type="auto"/>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p>
        </w:tc>
      </w:tr>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widowControl/>
              <w:spacing w:line="60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附件：</w:t>
            </w:r>
          </w:p>
        </w:tc>
        <w:tc>
          <w:tcPr>
            <w:tcW w:w="4250" w:type="pct"/>
            <w:tcMar>
              <w:top w:w="15" w:type="dxa"/>
              <w:left w:w="15" w:type="dxa"/>
              <w:bottom w:w="15" w:type="dxa"/>
              <w:right w:w="15" w:type="dxa"/>
            </w:tcMar>
            <w:vAlign w:val="center"/>
          </w:tcPr>
          <w:tbl>
            <w:tblPr>
              <w:tblStyle w:val="4"/>
              <w:tblW w:w="5000" w:type="pct"/>
              <w:tblInd w:w="0" w:type="dxa"/>
              <w:tblLayout w:type="autofit"/>
              <w:tblCellMar>
                <w:top w:w="15" w:type="dxa"/>
                <w:left w:w="15" w:type="dxa"/>
                <w:bottom w:w="15" w:type="dxa"/>
                <w:right w:w="15" w:type="dxa"/>
              </w:tblCellMar>
            </w:tblPr>
            <w:tblGrid>
              <w:gridCol w:w="896"/>
              <w:gridCol w:w="2986"/>
              <w:gridCol w:w="2090"/>
            </w:tblGrid>
            <w:tr>
              <w:tblPrEx>
                <w:tblCellMar>
                  <w:top w:w="15" w:type="dxa"/>
                  <w:left w:w="15" w:type="dxa"/>
                  <w:bottom w:w="15" w:type="dxa"/>
                  <w:right w:w="15" w:type="dxa"/>
                </w:tblCellMar>
              </w:tblPrEx>
              <w:trPr>
                <w:trHeight w:val="675" w:hRule="atLeast"/>
              </w:trPr>
              <w:tc>
                <w:tcPr>
                  <w:tcW w:w="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序号</w:t>
                  </w:r>
                </w:p>
              </w:tc>
              <w:tc>
                <w:tcPr>
                  <w:tcW w:w="250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文件名</w:t>
                  </w:r>
                </w:p>
              </w:tc>
              <w:tc>
                <w:tcPr>
                  <w:tcW w:w="1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1</w:t>
                  </w:r>
                </w:p>
              </w:tc>
              <w:tc>
                <w:tcPr>
                  <w:tcW w:w="0" w:type="auto"/>
                  <w:vAlign w:val="center"/>
                </w:tcPr>
                <w:p>
                  <w:pPr>
                    <w:widowControl/>
                    <w:jc w:val="left"/>
                    <w:rPr>
                      <w:rFonts w:ascii="微软雅黑" w:hAnsi="微软雅黑" w:eastAsia="微软雅黑" w:cs="宋体"/>
                      <w:color w:val="323232"/>
                      <w:kern w:val="0"/>
                      <w:szCs w:val="21"/>
                    </w:rPr>
                  </w:pPr>
                  <w:r>
                    <w:fldChar w:fldCharType="begin"/>
                  </w:r>
                  <w:r>
                    <w:instrText xml:space="preserve"> HYPERLINK "http://ggzy.panzhihua.gov.cn/pzh-jsgc-file/downloadFile?fileId=aa4f30ae-e2ba-4037-b1c1-7b68578acc81" \o "点击下载" </w:instrText>
                  </w:r>
                  <w:r>
                    <w:fldChar w:fldCharType="separate"/>
                  </w:r>
                  <w:r>
                    <w:rPr>
                      <w:rFonts w:ascii="微软雅黑" w:hAnsi="微软雅黑" w:eastAsia="微软雅黑" w:cs="宋体"/>
                      <w:color w:val="0000FF"/>
                      <w:kern w:val="0"/>
                    </w:rPr>
                    <w:t>中标通知书（勘察设计）.pdf</w:t>
                  </w:r>
                  <w:r>
                    <w:rPr>
                      <w:rFonts w:ascii="微软雅黑" w:hAnsi="微软雅黑" w:eastAsia="微软雅黑" w:cs="宋体"/>
                      <w:color w:val="0000FF"/>
                      <w:kern w:val="0"/>
                    </w:rPr>
                    <w:fldChar w:fldCharType="end"/>
                  </w:r>
                </w:p>
              </w:tc>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2021-08-26 09:19:03</w:t>
                  </w:r>
                </w:p>
              </w:tc>
            </w:tr>
          </w:tbl>
          <w:p>
            <w:pPr>
              <w:widowControl/>
              <w:jc w:val="left"/>
              <w:rPr>
                <w:rFonts w:ascii="微软雅黑" w:hAnsi="微软雅黑" w:eastAsia="微软雅黑" w:cs="宋体"/>
                <w:color w:val="323232"/>
                <w:kern w:val="0"/>
                <w:szCs w:val="21"/>
              </w:rPr>
            </w:pPr>
          </w:p>
        </w:tc>
      </w:tr>
    </w:tbl>
    <w:p>
      <w:pPr>
        <w:jc w:val="center"/>
        <w:rPr>
          <w:rFonts w:ascii="微软雅黑" w:hAnsi="微软雅黑" w:eastAsia="微软雅黑" w:cs="宋体"/>
          <w:color w:val="323232"/>
          <w:kern w:val="0"/>
          <w:sz w:val="30"/>
          <w:szCs w:val="30"/>
        </w:rPr>
      </w:pPr>
      <w:r>
        <w:rPr>
          <w:rFonts w:hint="eastAsia" w:ascii="微软雅黑" w:hAnsi="微软雅黑" w:eastAsia="微软雅黑" w:cs="宋体"/>
          <w:color w:val="FFFFFF"/>
          <w:kern w:val="0"/>
          <w:szCs w:val="21"/>
        </w:rPr>
        <w:t>攀</w:t>
      </w:r>
      <w:r>
        <w:rPr>
          <w:rFonts w:hint="eastAsia" w:ascii="微软雅黑" w:hAnsi="微软雅黑" w:eastAsia="微软雅黑" w:cs="宋体"/>
          <w:color w:val="FFFFFF"/>
          <w:kern w:val="0"/>
          <w:szCs w:val="21"/>
        </w:rPr>
        <w:drawing>
          <wp:inline distT="0" distB="0" distL="0" distR="0">
            <wp:extent cx="5274310" cy="1920240"/>
            <wp:effectExtent l="0" t="0" r="254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9" cstate="print"/>
                    <a:srcRect/>
                    <a:stretch>
                      <a:fillRect/>
                    </a:stretch>
                  </pic:blipFill>
                  <pic:spPr>
                    <a:xfrm>
                      <a:off x="0" y="0"/>
                      <a:ext cx="5274310" cy="1920353"/>
                    </a:xfrm>
                    <a:prstGeom prst="rect">
                      <a:avLst/>
                    </a:prstGeom>
                    <a:noFill/>
                    <a:ln w="9525">
                      <a:noFill/>
                      <a:miter lim="800000"/>
                      <a:headEnd/>
                      <a:tailEnd/>
                    </a:ln>
                  </pic:spPr>
                </pic:pic>
              </a:graphicData>
            </a:graphic>
          </wp:inline>
        </w:drawing>
      </w:r>
      <w:r>
        <w:rPr>
          <w:rFonts w:hint="eastAsia" w:ascii="微软雅黑" w:hAnsi="微软雅黑" w:eastAsia="微软雅黑" w:cs="宋体"/>
          <w:color w:val="323232"/>
          <w:kern w:val="0"/>
          <w:sz w:val="30"/>
          <w:szCs w:val="30"/>
        </w:rPr>
        <w:t>G227线安宁河1桥拆除重建工程勘察设计-/合同公告</w:t>
      </w:r>
    </w:p>
    <w:p>
      <w:pPr>
        <w:widowControl/>
        <w:jc w:val="center"/>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8"/>
          <w:szCs w:val="18"/>
        </w:rPr>
        <w:t>来源: 攀枝花市公共资源交易服务中心    发布时间：2021-08-28浏览次数：338</w:t>
      </w:r>
    </w:p>
    <w:p>
      <w:pPr>
        <w:widowControl/>
        <w:jc w:val="center"/>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免责申明：以下信息由采购人或采购代理发布，信息的真实性、合法性、有效性由采购人或采购代理负责。</w:t>
      </w:r>
    </w:p>
    <w:p>
      <w:pPr>
        <w:widowControl/>
        <w:jc w:val="center"/>
        <w:rPr>
          <w:rFonts w:ascii="微软雅黑" w:hAnsi="微软雅黑" w:eastAsia="微软雅黑" w:cs="宋体"/>
          <w:color w:val="323232"/>
          <w:kern w:val="0"/>
          <w:sz w:val="18"/>
          <w:szCs w:val="18"/>
        </w:rPr>
      </w:pPr>
      <w:r>
        <w:rPr>
          <w:rFonts w:hint="eastAsia" w:ascii="微软雅黑" w:hAnsi="微软雅黑" w:eastAsia="微软雅黑" w:cs="宋体"/>
          <w:color w:val="323232"/>
          <w:kern w:val="0"/>
          <w:sz w:val="18"/>
          <w:szCs w:val="18"/>
        </w:rPr>
        <w:t>G227线安宁河1桥拆除重建工程勘察设计-/合同公告</w:t>
      </w:r>
    </w:p>
    <w:tbl>
      <w:tblPr>
        <w:tblStyle w:val="4"/>
        <w:tblW w:w="5000" w:type="pct"/>
        <w:tblCellSpacing w:w="0" w:type="dxa"/>
        <w:tblInd w:w="0" w:type="dxa"/>
        <w:tblLayout w:type="autofit"/>
        <w:tblCellMar>
          <w:top w:w="0" w:type="dxa"/>
          <w:left w:w="0" w:type="dxa"/>
          <w:bottom w:w="0" w:type="dxa"/>
          <w:right w:w="0" w:type="dxa"/>
        </w:tblCellMar>
      </w:tblPr>
      <w:tblGrid>
        <w:gridCol w:w="4213"/>
        <w:gridCol w:w="4213"/>
      </w:tblGrid>
      <w:tr>
        <w:tblPrEx>
          <w:tblCellMar>
            <w:top w:w="0" w:type="dxa"/>
            <w:left w:w="0" w:type="dxa"/>
            <w:bottom w:w="0" w:type="dxa"/>
            <w:right w:w="0" w:type="dxa"/>
          </w:tblCellMar>
        </w:tblPrEx>
        <w:trPr>
          <w:trHeight w:val="450" w:hRule="atLeast"/>
          <w:tblCellSpacing w:w="0" w:type="dxa"/>
        </w:trPr>
        <w:tc>
          <w:tcPr>
            <w:tcW w:w="2500" w:type="pct"/>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项目名称</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项目所在地</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G227线安宁河1桥拆除重建工程勘察设计-/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攀莲镇</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2896"/>
        <w:gridCol w:w="4020"/>
        <w:gridCol w:w="1510"/>
      </w:tblGrid>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发包人名称</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发包人地址</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发包人电话</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米易县交通建设事务中心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米易县攀莲镇同和路12号政务服务中心8楼</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18081730016</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承包人名称</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承包人地址</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承包人电话</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中国华西工程设计建设有限公司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成都市金牛区沙湾东二路</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17823971100</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 xml:space="preserve">中国华西工程设计建设有限公司 </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成都市金牛区沙湾东二路</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028-68360848</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3286"/>
        <w:gridCol w:w="5140"/>
      </w:tblGrid>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签约合同价（元）</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签约合同价（其他价格形式）</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2198900</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3370"/>
        <w:gridCol w:w="1685"/>
        <w:gridCol w:w="1685"/>
        <w:gridCol w:w="1686"/>
      </w:tblGrid>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签约合同日期（施工、监理适用）</w:t>
            </w:r>
          </w:p>
        </w:tc>
        <w:tc>
          <w:tcPr>
            <w:tcW w:w="100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计划开工日期</w:t>
            </w:r>
          </w:p>
        </w:tc>
        <w:tc>
          <w:tcPr>
            <w:tcW w:w="100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计划交工日期</w:t>
            </w:r>
          </w:p>
        </w:tc>
        <w:tc>
          <w:tcPr>
            <w:tcW w:w="100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计划竣工日期</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4212"/>
        <w:gridCol w:w="2107"/>
        <w:gridCol w:w="2107"/>
      </w:tblGrid>
      <w:tr>
        <w:trPr>
          <w:trHeight w:val="450" w:hRule="atLeast"/>
          <w:tblCellSpacing w:w="0" w:type="dxa"/>
        </w:trPr>
        <w:tc>
          <w:tcPr>
            <w:tcW w:w="250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签约合同日期（勘察、设计、货物适用）</w:t>
            </w:r>
          </w:p>
        </w:tc>
        <w:tc>
          <w:tcPr>
            <w:tcW w:w="125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计划开始日期</w:t>
            </w:r>
          </w:p>
        </w:tc>
        <w:tc>
          <w:tcPr>
            <w:tcW w:w="125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计划完成日期</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20210828</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20210906</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20211108</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4213"/>
        <w:gridCol w:w="4213"/>
      </w:tblGrid>
      <w:tr>
        <w:tblPrEx>
          <w:tblCellMar>
            <w:top w:w="0" w:type="dxa"/>
            <w:left w:w="0" w:type="dxa"/>
            <w:bottom w:w="0" w:type="dxa"/>
            <w:right w:w="0" w:type="dxa"/>
          </w:tblCellMar>
        </w:tblPrEx>
        <w:trPr>
          <w:trHeight w:val="450" w:hRule="atLeast"/>
          <w:tblCellSpacing w:w="0" w:type="dxa"/>
        </w:trPr>
        <w:tc>
          <w:tcPr>
            <w:tcW w:w="250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承包人承担的工作</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质量要求</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工程初勘、初测、初步设计（含概算）、详勘、详测、施工图设计（含预算），后期服务</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达到国家现行有关勘察设计规范验收合格及通过有关行业主管部门审批。</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2488"/>
        <w:gridCol w:w="1659"/>
        <w:gridCol w:w="2620"/>
        <w:gridCol w:w="1659"/>
      </w:tblGrid>
      <w:tr>
        <w:tblPrEx>
          <w:tblCellMar>
            <w:top w:w="0" w:type="dxa"/>
            <w:left w:w="0" w:type="dxa"/>
            <w:bottom w:w="0" w:type="dxa"/>
            <w:right w:w="0" w:type="dxa"/>
          </w:tblCellMar>
        </w:tblPrEx>
        <w:trPr>
          <w:trHeight w:val="450" w:hRule="atLeast"/>
          <w:tblCellSpacing w:w="0" w:type="dxa"/>
        </w:trPr>
        <w:tc>
          <w:tcPr>
            <w:tcW w:w="150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承包人项目经理（施工适用）</w:t>
            </w:r>
          </w:p>
        </w:tc>
        <w:tc>
          <w:tcPr>
            <w:tcW w:w="100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证件及证号</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技术负责人（项目总工）</w:t>
            </w:r>
          </w:p>
        </w:tc>
        <w:tc>
          <w:tcPr>
            <w:tcW w:w="100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证件及证号</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 xml:space="preserve">范亮 </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道桥专业高级职称证 00064426</w:t>
            </w:r>
          </w:p>
        </w:tc>
      </w:tr>
      <w:tr>
        <w:tblPrEx>
          <w:tblCellMar>
            <w:top w:w="0" w:type="dxa"/>
            <w:left w:w="0" w:type="dxa"/>
            <w:bottom w:w="0" w:type="dxa"/>
            <w:right w:w="0" w:type="dxa"/>
          </w:tblCellMar>
        </w:tblPrEx>
        <w:trPr>
          <w:trHeight w:val="450" w:hRule="atLeast"/>
          <w:tblCellSpacing w:w="0" w:type="dxa"/>
        </w:trPr>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承包人项目负责人（勘察、设计、监理、货物适用）</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证件及证号</w:t>
            </w:r>
          </w:p>
        </w:tc>
      </w:tr>
      <w:tr>
        <w:tblPrEx>
          <w:tblCellMar>
            <w:top w:w="0" w:type="dxa"/>
            <w:left w:w="0" w:type="dxa"/>
            <w:bottom w:w="0" w:type="dxa"/>
            <w:right w:w="0" w:type="dxa"/>
          </w:tblCellMar>
        </w:tblPrEx>
        <w:trPr>
          <w:trHeight w:val="450" w:hRule="atLeast"/>
          <w:tblCellSpacing w:w="0" w:type="dxa"/>
        </w:trPr>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李景恺</w:t>
            </w:r>
          </w:p>
        </w:tc>
        <w:tc>
          <w:tcPr>
            <w:tcW w:w="0" w:type="auto"/>
            <w:gridSpan w:val="2"/>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职称证/注册土木工程师（道路）/注册土木工程师（岩土）工-88623/20201002051000000499/AY185101268</w:t>
            </w:r>
          </w:p>
        </w:tc>
      </w:tr>
    </w:tbl>
    <w:p>
      <w:pPr>
        <w:widowControl/>
        <w:jc w:val="left"/>
        <w:rPr>
          <w:rFonts w:ascii="微软雅黑" w:hAnsi="微软雅黑" w:eastAsia="微软雅黑" w:cs="宋体"/>
          <w:vanish/>
          <w:color w:val="323232"/>
          <w:kern w:val="0"/>
          <w:sz w:val="14"/>
          <w:szCs w:val="14"/>
        </w:rPr>
      </w:pPr>
    </w:p>
    <w:tbl>
      <w:tblPr>
        <w:tblStyle w:val="4"/>
        <w:tblW w:w="5000" w:type="pct"/>
        <w:tblCellSpacing w:w="0" w:type="dxa"/>
        <w:tblInd w:w="0" w:type="dxa"/>
        <w:tblLayout w:type="autofit"/>
        <w:tblCellMar>
          <w:top w:w="0" w:type="dxa"/>
          <w:left w:w="0" w:type="dxa"/>
          <w:bottom w:w="0" w:type="dxa"/>
          <w:right w:w="0" w:type="dxa"/>
        </w:tblCellMar>
      </w:tblPr>
      <w:tblGrid>
        <w:gridCol w:w="2106"/>
        <w:gridCol w:w="6320"/>
      </w:tblGrid>
      <w:tr>
        <w:tblPrEx>
          <w:tblCellMar>
            <w:top w:w="0" w:type="dxa"/>
            <w:left w:w="0" w:type="dxa"/>
            <w:bottom w:w="0" w:type="dxa"/>
            <w:right w:w="0" w:type="dxa"/>
          </w:tblCellMar>
        </w:tblPrEx>
        <w:trPr>
          <w:trHeight w:val="450" w:hRule="atLeast"/>
          <w:tblCellSpacing w:w="0" w:type="dxa"/>
        </w:trPr>
        <w:tc>
          <w:tcPr>
            <w:tcW w:w="1250" w:type="pct"/>
            <w:tcBorders>
              <w:top w:val="nil"/>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项目描述</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本项目分一标段实施，将原安宁河1号桥拆除后重建，按二级公路加市政配套标准，采用双向两车道+非机动车道+人行道，桥梁总宽22.5米，两岸采用平面交叉及引道顺接既有道路。桥梁总长207米，上部结构采用预应力混凝土简支带翼小箱梁+现浇箱梁，下部结构采用三柱式钢筋混凝土圆墩，桥台采用桩柱式桥台。本次招标范围为：工程初勘、初测、初步设计（含概算）、详勘、详测、施工图设计（含预算），后期服务。勘察设计服务期：60日历天</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备注（应至少注明是否为第一中标候选人及不选择第一中标候选人的理由）</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p>
        </w:tc>
      </w:tr>
    </w:tbl>
    <w:p>
      <w:pPr>
        <w:widowControl/>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注：1.项目名称要详细填写，有标段（包）的，应详细到标段（包）。</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2.承包人是联合体的，应扩展表格分别填写。例：</w:t>
      </w:r>
    </w:p>
    <w:tbl>
      <w:tblPr>
        <w:tblStyle w:val="4"/>
        <w:tblW w:w="5000" w:type="pct"/>
        <w:tblCellSpacing w:w="0" w:type="dxa"/>
        <w:tblInd w:w="0" w:type="dxa"/>
        <w:tblLayout w:type="autofit"/>
        <w:tblCellMar>
          <w:top w:w="0" w:type="dxa"/>
          <w:left w:w="0" w:type="dxa"/>
          <w:bottom w:w="0" w:type="dxa"/>
          <w:right w:w="0" w:type="dxa"/>
        </w:tblCellMar>
      </w:tblPr>
      <w:tblGrid>
        <w:gridCol w:w="2808"/>
        <w:gridCol w:w="2809"/>
        <w:gridCol w:w="2809"/>
      </w:tblGrid>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承包人名称</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承包人地址</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承包人电话</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甲公司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乙公司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r>
      <w:tr>
        <w:tblPrEx>
          <w:tblCellMar>
            <w:top w:w="0" w:type="dxa"/>
            <w:left w:w="0" w:type="dxa"/>
            <w:bottom w:w="0" w:type="dxa"/>
            <w:right w:w="0" w:type="dxa"/>
          </w:tblCellMar>
        </w:tblPrEx>
        <w:trPr>
          <w:trHeight w:val="450" w:hRule="atLeast"/>
          <w:tblCellSpacing w:w="0" w:type="dxa"/>
        </w:trPr>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丙公司</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c>
          <w:tcPr>
            <w:tcW w:w="0" w:type="auto"/>
            <w:tcBorders>
              <w:top w:val="single" w:color="212121" w:sz="4" w:space="0"/>
              <w:left w:val="single" w:color="212121" w:sz="4" w:space="0"/>
              <w:bottom w:val="single" w:color="212121" w:sz="4" w:space="0"/>
              <w:right w:val="single" w:color="212121" w:sz="4" w:space="0"/>
            </w:tcBorders>
            <w:tcMar>
              <w:top w:w="50" w:type="dxa"/>
              <w:left w:w="50" w:type="dxa"/>
              <w:bottom w:w="50" w:type="dxa"/>
              <w:right w:w="50" w:type="dxa"/>
            </w:tcMar>
            <w:vAlign w:val="center"/>
          </w:tcPr>
          <w:p>
            <w:pPr>
              <w:widowControl/>
              <w:jc w:val="left"/>
              <w:rPr>
                <w:rFonts w:ascii="微软雅黑" w:hAnsi="微软雅黑" w:eastAsia="微软雅黑" w:cs="宋体"/>
                <w:color w:val="212121"/>
                <w:kern w:val="0"/>
                <w:sz w:val="14"/>
                <w:szCs w:val="14"/>
              </w:rPr>
            </w:pPr>
            <w:r>
              <w:rPr>
                <w:rFonts w:hint="eastAsia" w:ascii="微软雅黑" w:hAnsi="微软雅黑" w:eastAsia="微软雅黑" w:cs="宋体"/>
                <w:color w:val="212121"/>
                <w:kern w:val="0"/>
                <w:sz w:val="14"/>
                <w:szCs w:val="14"/>
              </w:rPr>
              <w:t>...</w:t>
            </w:r>
          </w:p>
        </w:tc>
      </w:tr>
    </w:tbl>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3.签约合同价（其他价格形式），是指除元（人民币）外的其他价格形式。如在某某标准下“下浮15%”等。签约合同价（元）应以阿拉伯数字填写。</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4.日期（年月日）的格式统一以阿拉伯数字表示。如：2015年9月1日，填写为20150901； 2015年9月，填写为201509； 2015年，填写为2015；2015/9/15 9:00:00填写为20150915－9:00:00。</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5.招标人如未按照评标委员会提出的中标候选人名单排序依次确定中标人的，须在备注栏中填写理由。</w:t>
      </w:r>
    </w:p>
    <w:p>
      <w:pPr>
        <w:widowControl/>
        <w:spacing w:line="240" w:lineRule="atLeast"/>
        <w:jc w:val="left"/>
        <w:rPr>
          <w:rFonts w:ascii="微软雅黑" w:hAnsi="微软雅黑" w:eastAsia="微软雅黑" w:cs="宋体"/>
          <w:color w:val="323232"/>
          <w:kern w:val="0"/>
          <w:sz w:val="14"/>
          <w:szCs w:val="14"/>
        </w:rPr>
      </w:pPr>
      <w:r>
        <w:rPr>
          <w:rFonts w:hint="eastAsia" w:ascii="微软雅黑" w:hAnsi="微软雅黑" w:eastAsia="微软雅黑" w:cs="宋体"/>
          <w:color w:val="323232"/>
          <w:kern w:val="0"/>
          <w:sz w:val="14"/>
          <w:szCs w:val="14"/>
        </w:rPr>
        <w:t>6.发包人和其委托的代理机构（如有）在合同公告纸质文本上加盖单位公章（多页还应加盖骑缝章）并和电子文档一起上传到全国公共资源交易平台（四川省）。上传的电子文档作公告正文，纸质文本作为公告附件。</w:t>
      </w:r>
    </w:p>
    <w:p>
      <w:pPr>
        <w:widowControl/>
        <w:spacing w:line="450" w:lineRule="atLeast"/>
        <w:jc w:val="center"/>
        <w:rPr>
          <w:rFonts w:ascii="微软雅黑" w:hAnsi="微软雅黑" w:eastAsia="微软雅黑" w:cs="宋体"/>
          <w:color w:val="FFFFFF"/>
          <w:kern w:val="0"/>
          <w:szCs w:val="21"/>
        </w:rPr>
      </w:pPr>
      <w:r>
        <w:rPr>
          <w:rFonts w:hint="eastAsia" w:ascii="微软雅黑" w:hAnsi="微软雅黑" w:eastAsia="微软雅黑" w:cs="宋体"/>
          <w:color w:val="FFFFFF"/>
          <w:kern w:val="0"/>
          <w:szCs w:val="21"/>
        </w:rPr>
        <w:t xml:space="preserve">枝花市公共资源交易服务中心 主办 </w:t>
      </w:r>
      <w:r>
        <w:fldChar w:fldCharType="begin"/>
      </w:r>
      <w:r>
        <w:instrText xml:space="preserve"> HYPERLINK "http://www.beian.gov.cn/portal/registerSystemInfo?recordcode=51040202000203" \t "_blank" </w:instrText>
      </w:r>
      <w:r>
        <w:fldChar w:fldCharType="separate"/>
      </w:r>
      <w:r>
        <w:rPr>
          <w:rFonts w:ascii="微软雅黑" w:hAnsi="微软雅黑" w:eastAsia="微软雅黑" w:cs="宋体"/>
          <w:color w:val="FFFFFF"/>
          <w:kern w:val="0"/>
        </w:rPr>
        <w:t>川公网安备 51040202000203</w:t>
      </w:r>
      <w:r>
        <w:rPr>
          <w:rFonts w:ascii="微软雅黑" w:hAnsi="微软雅黑" w:eastAsia="微软雅黑" w:cs="宋体"/>
          <w:color w:val="FFFFFF"/>
          <w:kern w:val="0"/>
        </w:rPr>
        <w:fldChar w:fldCharType="end"/>
      </w:r>
    </w:p>
    <w:p/>
    <w:p/>
    <w:p/>
    <w:p/>
    <w:p/>
    <w:p/>
    <w:p/>
    <w:p/>
    <w:p/>
    <w:p/>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S Mincho">
    <w:panose1 w:val="02020609040205080304"/>
    <w:charset w:val="80"/>
    <w:family w:val="modern"/>
    <w:pitch w:val="default"/>
    <w:sig w:usb0="A00002BF" w:usb1="68C7FCFB" w:usb2="00000010"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45E53"/>
    <w:rsid w:val="0A650816"/>
    <w:rsid w:val="123B2E86"/>
    <w:rsid w:val="172838C5"/>
    <w:rsid w:val="1B805502"/>
    <w:rsid w:val="1CF71E10"/>
    <w:rsid w:val="1E581BD9"/>
    <w:rsid w:val="23E03AAF"/>
    <w:rsid w:val="2ED469E2"/>
    <w:rsid w:val="38640BC5"/>
    <w:rsid w:val="3E0946EB"/>
    <w:rsid w:val="3EA101AF"/>
    <w:rsid w:val="3EE16C89"/>
    <w:rsid w:val="42D65DA7"/>
    <w:rsid w:val="47496B5A"/>
    <w:rsid w:val="49311FC0"/>
    <w:rsid w:val="4F52376A"/>
    <w:rsid w:val="56C90CF1"/>
    <w:rsid w:val="576A52CA"/>
    <w:rsid w:val="6C9D75C1"/>
    <w:rsid w:val="6E7A2174"/>
    <w:rsid w:val="71323BAC"/>
    <w:rsid w:val="75B44C6A"/>
    <w:rsid w:val="773A0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nhideWhenUsed/>
    <w:uiPriority w:val="99"/>
    <w:pPr>
      <w:widowControl/>
      <w:jc w:val="left"/>
    </w:pPr>
    <w:rPr>
      <w:rFonts w:ascii="微软雅黑" w:hAnsi="微软雅黑" w:eastAsia="微软雅黑" w:cs="宋体"/>
      <w:color w:val="323232"/>
      <w:kern w:val="0"/>
      <w:szCs w:val="21"/>
    </w:rPr>
  </w:style>
  <w:style w:type="character" w:styleId="6">
    <w:name w:val="Strong"/>
    <w:basedOn w:val="5"/>
    <w:qFormat/>
    <w:uiPriority w:val="22"/>
    <w:rPr>
      <w:b/>
      <w:bCs/>
    </w:rPr>
  </w:style>
  <w:style w:type="character" w:styleId="7">
    <w:name w:val="Hyperlink"/>
    <w:basedOn w:val="5"/>
    <w:semiHidden/>
    <w:unhideWhenUsed/>
    <w:uiPriority w:val="99"/>
    <w:rPr>
      <w:rFonts w:hint="eastAsia" w:ascii="微软雅黑" w:hAnsi="微软雅黑" w:eastAsia="微软雅黑"/>
      <w:color w:val="323232"/>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2021-10-08T02:57:00Z</dcterms:created>
  <dc:creator>admin</dc:creator>
  <cp:lastModifiedBy>周可</cp:lastModifiedBy>
  <dcterms:modified xsi:type="dcterms:W3CDTF">2021-10-20T09:55:16Z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2302817820C140A9A882C729C36E4A15</vt:lpwstr>
  </property>
</Properties>
</file>